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A5EFD" w14:paraId="6529A235" w14:textId="77777777" w:rsidTr="0010095E">
        <w:trPr>
          <w:trHeight w:hRule="exact" w:val="1418"/>
        </w:trPr>
        <w:tc>
          <w:tcPr>
            <w:tcW w:w="6804" w:type="dxa"/>
            <w:shd w:val="clear" w:color="auto" w:fill="auto"/>
            <w:vAlign w:val="center"/>
          </w:tcPr>
          <w:p w14:paraId="3919C9F5" w14:textId="77777777" w:rsidR="00751A4A" w:rsidRPr="00CA5EFD" w:rsidRDefault="00C53FE2" w:rsidP="0010095E">
            <w:pPr>
              <w:pStyle w:val="EPName"/>
            </w:pPr>
            <w:r w:rsidRPr="00CA5EFD">
              <w:t>Európai Parlament</w:t>
            </w:r>
          </w:p>
          <w:p w14:paraId="2D658642" w14:textId="77777777" w:rsidR="00751A4A" w:rsidRPr="00CA5EFD" w:rsidRDefault="005F1B17" w:rsidP="005F1B17">
            <w:pPr>
              <w:pStyle w:val="EPTerm"/>
              <w:rPr>
                <w:rStyle w:val="HideTWBExt"/>
                <w:noProof w:val="0"/>
                <w:vanish w:val="0"/>
                <w:color w:val="auto"/>
              </w:rPr>
            </w:pPr>
            <w:r w:rsidRPr="00CA5EFD">
              <w:t>2024</w:t>
            </w:r>
            <w:r w:rsidR="00817416" w:rsidRPr="00CA5EFD">
              <w:t>-202</w:t>
            </w:r>
            <w:r w:rsidRPr="00CA5EFD">
              <w:t>9</w:t>
            </w:r>
          </w:p>
        </w:tc>
        <w:tc>
          <w:tcPr>
            <w:tcW w:w="2268" w:type="dxa"/>
            <w:shd w:val="clear" w:color="auto" w:fill="auto"/>
          </w:tcPr>
          <w:p w14:paraId="2ADC6C0B" w14:textId="77777777" w:rsidR="00751A4A" w:rsidRPr="00CA5EFD" w:rsidRDefault="00187494" w:rsidP="0010095E">
            <w:pPr>
              <w:pStyle w:val="EPLogo"/>
            </w:pPr>
            <w:r w:rsidRPr="00CA5EFD">
              <w:rPr>
                <w:noProof/>
                <w:lang w:eastAsia="ja-JP"/>
              </w:rPr>
              <w:drawing>
                <wp:inline distT="0" distB="0" distL="0" distR="0" wp14:anchorId="214FCAAD" wp14:editId="0D1F00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40BEA6" w14:textId="77777777" w:rsidR="00D058B8" w:rsidRPr="00CA5EFD" w:rsidRDefault="00D058B8" w:rsidP="004C5D52">
      <w:pPr>
        <w:pStyle w:val="LineTop"/>
      </w:pPr>
    </w:p>
    <w:p w14:paraId="13DE8F4B" w14:textId="77777777" w:rsidR="00680577" w:rsidRPr="00CA5EFD" w:rsidRDefault="00C53FE2" w:rsidP="00680577">
      <w:pPr>
        <w:pStyle w:val="EPBodyTA1"/>
      </w:pPr>
      <w:r w:rsidRPr="00CA5EFD">
        <w:t>ELFOGADOTT SZÖVEGEK</w:t>
      </w:r>
    </w:p>
    <w:p w14:paraId="5C2BF16F" w14:textId="77777777" w:rsidR="00D058B8" w:rsidRPr="00CA5EFD" w:rsidRDefault="00D058B8" w:rsidP="00D058B8">
      <w:pPr>
        <w:pStyle w:val="LineBottom"/>
      </w:pPr>
    </w:p>
    <w:p w14:paraId="1CDA0A37" w14:textId="62E07130" w:rsidR="00C53FE2" w:rsidRPr="00CA5EFD" w:rsidRDefault="00C53FE2" w:rsidP="00C53FE2">
      <w:pPr>
        <w:pStyle w:val="ATHeading1"/>
      </w:pPr>
      <w:bookmarkStart w:id="0" w:name="TANumber"/>
      <w:r w:rsidRPr="00CA5EFD">
        <w:t>P10_</w:t>
      </w:r>
      <w:proofErr w:type="gramStart"/>
      <w:r w:rsidRPr="00CA5EFD">
        <w:t>TA(</w:t>
      </w:r>
      <w:proofErr w:type="gramEnd"/>
      <w:r w:rsidRPr="00CA5EFD">
        <w:t>2026)0</w:t>
      </w:r>
      <w:r w:rsidR="00CA5EFD">
        <w:t>182</w:t>
      </w:r>
      <w:bookmarkEnd w:id="0"/>
    </w:p>
    <w:p w14:paraId="73C6A01E" w14:textId="19876ECE" w:rsidR="00C53FE2" w:rsidRPr="00CA5EFD" w:rsidRDefault="00CE51A6" w:rsidP="00C53FE2">
      <w:pPr>
        <w:pStyle w:val="ATHeading2"/>
      </w:pPr>
      <w:bookmarkStart w:id="1" w:name="title"/>
      <w:r w:rsidRPr="00CA5EFD">
        <w:t>Ajánlás az Egyesült Nemzetek Szervezete Közgyűlésének 81. ülésszakáról</w:t>
      </w:r>
      <w:bookmarkEnd w:id="1"/>
    </w:p>
    <w:p w14:paraId="25F98B52" w14:textId="001F133E" w:rsidR="00C53FE2" w:rsidRPr="00CA5EFD" w:rsidRDefault="00C53FE2" w:rsidP="00C53FE2">
      <w:pPr>
        <w:rPr>
          <w:i/>
          <w:vanish/>
        </w:rPr>
      </w:pPr>
      <w:r w:rsidRPr="00CA5EFD">
        <w:rPr>
          <w:i/>
        </w:rPr>
        <w:fldChar w:fldCharType="begin"/>
      </w:r>
      <w:r w:rsidRPr="00CA5EFD">
        <w:rPr>
          <w:i/>
        </w:rPr>
        <w:instrText xml:space="preserve"> TC"(</w:instrText>
      </w:r>
      <w:bookmarkStart w:id="2" w:name="DocNumber"/>
      <w:r w:rsidRPr="00CA5EFD">
        <w:rPr>
          <w:i/>
        </w:rPr>
        <w:instrText>A10-0103/2026</w:instrText>
      </w:r>
      <w:bookmarkEnd w:id="2"/>
      <w:r w:rsidR="00617D8C" w:rsidRPr="00CA5EFD">
        <w:rPr>
          <w:i/>
        </w:rPr>
        <w:instrText xml:space="preserve"> – Előadó: Andrey Kovatchev</w:instrText>
      </w:r>
      <w:r w:rsidRPr="00CA5EFD">
        <w:rPr>
          <w:i/>
        </w:rPr>
        <w:instrText xml:space="preserve">)"\l3 \n&gt; \* MERGEFORMAT </w:instrText>
      </w:r>
      <w:r w:rsidRPr="00CA5EFD">
        <w:rPr>
          <w:i/>
        </w:rPr>
        <w:fldChar w:fldCharType="end"/>
      </w:r>
    </w:p>
    <w:p w14:paraId="71629C55" w14:textId="77777777" w:rsidR="00C53FE2" w:rsidRPr="00CA5EFD" w:rsidRDefault="00C53FE2" w:rsidP="00C53FE2">
      <w:pPr>
        <w:rPr>
          <w:vanish/>
        </w:rPr>
      </w:pPr>
      <w:bookmarkStart w:id="3" w:name="PE"/>
      <w:r w:rsidRPr="00CA5EFD">
        <w:rPr>
          <w:vanish/>
        </w:rPr>
        <w:t>PE778.304</w:t>
      </w:r>
      <w:bookmarkEnd w:id="3"/>
    </w:p>
    <w:p w14:paraId="6F145705" w14:textId="662958CA" w:rsidR="00C53FE2" w:rsidRPr="00CA5EFD" w:rsidRDefault="00C53FE2" w:rsidP="00C53FE2">
      <w:pPr>
        <w:pStyle w:val="ATHeading3"/>
      </w:pPr>
      <w:bookmarkStart w:id="4" w:name="Sujet"/>
      <w:r w:rsidRPr="00CA5EFD">
        <w:t xml:space="preserve">Az Európai Parlament 2026. </w:t>
      </w:r>
      <w:r w:rsidR="00CE51A6" w:rsidRPr="00CA5EFD">
        <w:t>május</w:t>
      </w:r>
      <w:r w:rsidRPr="00CA5EFD">
        <w:t xml:space="preserve"> </w:t>
      </w:r>
      <w:r w:rsidR="00617D8C" w:rsidRPr="00CA5EFD">
        <w:t>20-</w:t>
      </w:r>
      <w:r w:rsidRPr="00CA5EFD">
        <w:t xml:space="preserve">i </w:t>
      </w:r>
      <w:r w:rsidR="00784690" w:rsidRPr="00CA5EFD">
        <w:t>ajánlása</w:t>
      </w:r>
      <w:r w:rsidRPr="00CA5EFD">
        <w:t xml:space="preserve"> a Tanácshoz, a Bizottsághoz és a Bizottság alelnökéhez / az Unió kül- és biztonságpolitikai főképviselőjéhez intézett, az Egyesült Nemzetek Szervezete Közgyűlésének 81. ülésszakáról </w:t>
      </w:r>
      <w:bookmarkStart w:id="5" w:name="References"/>
      <w:bookmarkEnd w:id="4"/>
      <w:r w:rsidRPr="00CA5EFD">
        <w:t>(2025/2167(INI))</w:t>
      </w:r>
      <w:bookmarkEnd w:id="5"/>
    </w:p>
    <w:p w14:paraId="7D1CDA94" w14:textId="77777777" w:rsidR="00E74346" w:rsidRPr="00CA5EFD" w:rsidRDefault="00E74346" w:rsidP="00E74346">
      <w:pPr>
        <w:pStyle w:val="EPComma"/>
      </w:pPr>
      <w:r w:rsidRPr="00CA5EFD">
        <w:rPr>
          <w:i/>
        </w:rPr>
        <w:t>Az Európai Parlament</w:t>
      </w:r>
      <w:r w:rsidRPr="00CA5EFD">
        <w:t>,</w:t>
      </w:r>
    </w:p>
    <w:p w14:paraId="56FA66C9" w14:textId="77777777" w:rsidR="00E74346" w:rsidRPr="00CA5EFD" w:rsidRDefault="00E74346" w:rsidP="00E47CCB">
      <w:pPr>
        <w:pStyle w:val="NormalHanging12a"/>
        <w:widowControl/>
      </w:pPr>
      <w:r w:rsidRPr="00CA5EFD">
        <w:t>–</w:t>
      </w:r>
      <w:r w:rsidRPr="00CA5EFD">
        <w:tab/>
        <w:t xml:space="preserve">tekintettel az ENSZ </w:t>
      </w:r>
      <w:r w:rsidRPr="00CA5EFD">
        <w:rPr>
          <w:snapToGrid w:val="0"/>
        </w:rPr>
        <w:t>Alapokmányára</w:t>
      </w:r>
      <w:r w:rsidRPr="00CA5EFD">
        <w:t>,</w:t>
      </w:r>
    </w:p>
    <w:p w14:paraId="5F461325" w14:textId="77777777" w:rsidR="00E74346" w:rsidRPr="00CA5EFD" w:rsidRDefault="00E74346" w:rsidP="00E47CCB">
      <w:pPr>
        <w:pStyle w:val="NormalHanging12a"/>
        <w:widowControl/>
      </w:pPr>
      <w:r w:rsidRPr="00CA5EFD">
        <w:t>–</w:t>
      </w:r>
      <w:r w:rsidRPr="00CA5EFD">
        <w:tab/>
        <w:t>tekintettel az Európai Unióról szóló szerződésre (EUSZ) és különösen annak 21., 34. és 36. cikkére,</w:t>
      </w:r>
    </w:p>
    <w:p w14:paraId="1E596263" w14:textId="77777777" w:rsidR="00E74346" w:rsidRPr="00CA5EFD" w:rsidRDefault="00E74346" w:rsidP="00E47CCB">
      <w:pPr>
        <w:pStyle w:val="NormalHanging12a"/>
        <w:widowControl/>
      </w:pPr>
      <w:r w:rsidRPr="00CA5EFD">
        <w:t>–</w:t>
      </w:r>
      <w:r w:rsidRPr="00CA5EFD">
        <w:tab/>
        <w:t>tekintettel az Európai Unió működéséről szóló szerződésre (EUMSZ) és különösen annak 208., 214. és 220. cikkére,</w:t>
      </w:r>
    </w:p>
    <w:p w14:paraId="662031AD" w14:textId="77777777" w:rsidR="00E74346" w:rsidRPr="00CA5EFD" w:rsidRDefault="00E74346" w:rsidP="00E47CCB">
      <w:pPr>
        <w:pStyle w:val="NormalHanging12a"/>
        <w:widowControl/>
        <w:rPr>
          <w:bCs/>
          <w:iCs/>
        </w:rPr>
      </w:pPr>
      <w:r w:rsidRPr="00CA5EFD">
        <w:t>–</w:t>
      </w:r>
      <w:r w:rsidRPr="00CA5EFD">
        <w:tab/>
        <w:t xml:space="preserve">tekintettel az Emberi Jogok Egyetemes Nyilatkozatára, különösen annak preambulumára és 18. cikkére, valamint az ahhoz kapcsolódó emberi jogi ENSZ-egyezményekre és azok fakultatív jegyzőkönyveire, </w:t>
      </w:r>
    </w:p>
    <w:p w14:paraId="7C1E9F26" w14:textId="77777777" w:rsidR="00E74346" w:rsidRPr="00CA5EFD" w:rsidRDefault="00E74346" w:rsidP="00E47CCB">
      <w:pPr>
        <w:pStyle w:val="NormalHanging12a"/>
        <w:widowControl/>
        <w:rPr>
          <w:bCs/>
          <w:iCs/>
        </w:rPr>
      </w:pPr>
      <w:r w:rsidRPr="00CA5EFD">
        <w:t>–</w:t>
      </w:r>
      <w:r w:rsidRPr="00CA5EFD">
        <w:tab/>
        <w:t xml:space="preserve">tekintettel az ENSZ 2030-ig tartó időszakra vonatkozó fenntartható fejlődési menetrendjére és a fenntartható fejlődési célokra, </w:t>
      </w:r>
    </w:p>
    <w:p w14:paraId="3DCC64D3" w14:textId="77777777" w:rsidR="00E74346" w:rsidRPr="00CA5EFD" w:rsidRDefault="00E74346" w:rsidP="00E47CCB">
      <w:pPr>
        <w:pStyle w:val="NormalHanging12a"/>
        <w:widowControl/>
        <w:rPr>
          <w:bCs/>
          <w:iCs/>
        </w:rPr>
      </w:pPr>
      <w:r w:rsidRPr="00CA5EFD">
        <w:t>–</w:t>
      </w:r>
      <w:r w:rsidRPr="00CA5EFD">
        <w:tab/>
        <w:t xml:space="preserve">tekintettel a Fegyverkereskedelmi Szerződésre (ATT), </w:t>
      </w:r>
    </w:p>
    <w:p w14:paraId="6544BB68" w14:textId="77777777" w:rsidR="00E74346" w:rsidRPr="00CA5EFD" w:rsidRDefault="00E74346" w:rsidP="00E47CCB">
      <w:pPr>
        <w:pStyle w:val="NormalHanging12a"/>
        <w:widowControl/>
        <w:rPr>
          <w:bCs/>
          <w:iCs/>
        </w:rPr>
      </w:pPr>
      <w:r w:rsidRPr="00CA5EFD">
        <w:t>–</w:t>
      </w:r>
      <w:r w:rsidRPr="00CA5EFD">
        <w:tab/>
        <w:t xml:space="preserve">tekintettel a nőkkel szemben alkalmazott hátrányos megkülönböztetés minden formájának kiküszöböléséről szóló ENSZ-egyezményre, </w:t>
      </w:r>
    </w:p>
    <w:p w14:paraId="18D66CEF" w14:textId="77777777" w:rsidR="00E74346" w:rsidRPr="00CA5EFD" w:rsidRDefault="00E74346" w:rsidP="00E47CCB">
      <w:pPr>
        <w:pStyle w:val="NormalHanging12a"/>
        <w:widowControl/>
      </w:pPr>
      <w:r w:rsidRPr="00CA5EFD">
        <w:t>–</w:t>
      </w:r>
      <w:r w:rsidRPr="00CA5EFD">
        <w:tab/>
        <w:t>tekintettel az Egyesült Nemzetek Szervezete Közgyűlésének 80.ülésszakára, valamint a főtitkár üzenetére az ENSZ 80. évfordulója alkalmából,</w:t>
      </w:r>
    </w:p>
    <w:p w14:paraId="751DD2BB" w14:textId="77777777" w:rsidR="00E74346" w:rsidRPr="00CA5EFD" w:rsidRDefault="00E74346" w:rsidP="00E47CCB">
      <w:pPr>
        <w:pStyle w:val="NormalHanging12a"/>
        <w:widowControl/>
      </w:pPr>
      <w:r w:rsidRPr="00CA5EFD">
        <w:t>–</w:t>
      </w:r>
      <w:r w:rsidRPr="00CA5EFD">
        <w:tab/>
        <w:t>tekintettel az ENSZ Közgyűlésének az ENSZ80-kezdeményezésről szóló, 2025. július 18-i 79/318. számú határozatára,</w:t>
      </w:r>
    </w:p>
    <w:p w14:paraId="142A3BD5" w14:textId="77777777" w:rsidR="00E74346" w:rsidRPr="00CA5EFD" w:rsidRDefault="00E74346" w:rsidP="00E47CCB">
      <w:pPr>
        <w:pStyle w:val="NormalHanging12a"/>
        <w:widowControl/>
      </w:pPr>
      <w:r w:rsidRPr="00CA5EFD">
        <w:t>–</w:t>
      </w:r>
      <w:r w:rsidRPr="00CA5EFD">
        <w:tab/>
        <w:t>tekintettel az ENSZ Közgyűlésének „Az átfogó, igazságos és tartós béke előmozdítása Ukrajnában” című, 2025. február 24-i ES-11/7. számú határozatára,</w:t>
      </w:r>
    </w:p>
    <w:p w14:paraId="3346236F" w14:textId="77777777" w:rsidR="00E74346" w:rsidRPr="00CA5EFD" w:rsidRDefault="00E74346" w:rsidP="00E47CCB">
      <w:pPr>
        <w:pStyle w:val="NormalHanging12a"/>
        <w:widowControl/>
      </w:pPr>
      <w:r w:rsidRPr="00CA5EFD">
        <w:lastRenderedPageBreak/>
        <w:t>–</w:t>
      </w:r>
      <w:r w:rsidRPr="00CA5EFD">
        <w:tab/>
        <w:t>tekintettel az ENSZ Közgyűlésének a vallás és meggyőződés szabadságáról szóló, 2024. december 17-i 79/174. számú határozatára,</w:t>
      </w:r>
    </w:p>
    <w:p w14:paraId="24CA36FD" w14:textId="77777777" w:rsidR="00E74346" w:rsidRPr="00CA5EFD" w:rsidRDefault="00E74346" w:rsidP="00E47CCB">
      <w:pPr>
        <w:pStyle w:val="NormalHanging12a"/>
        <w:widowControl/>
      </w:pPr>
      <w:r w:rsidRPr="00CA5EFD">
        <w:t>–</w:t>
      </w:r>
      <w:r w:rsidRPr="00CA5EFD">
        <w:tab/>
        <w:t>tekintettel az ENSZ Közgyűlésének a jövőt szolgáló paktumról szóló, 2024. szeptember 22-i 79/1. számú határozatára,</w:t>
      </w:r>
    </w:p>
    <w:p w14:paraId="7CAC3D55" w14:textId="77777777" w:rsidR="00E74346" w:rsidRPr="00CA5EFD" w:rsidRDefault="00E74346" w:rsidP="00E47CCB">
      <w:pPr>
        <w:pStyle w:val="NormalHanging12a"/>
        <w:widowControl/>
      </w:pPr>
      <w:r w:rsidRPr="00CA5EFD">
        <w:t>–</w:t>
      </w:r>
      <w:r w:rsidRPr="00CA5EFD">
        <w:tab/>
        <w:t xml:space="preserve">tekintettel az ENSZ Közgyűlésének Ukrajna területi integritásáról szóló, 2022. október 12-i ES-11/4. számú határozatára, </w:t>
      </w:r>
    </w:p>
    <w:p w14:paraId="76B9D345" w14:textId="77777777" w:rsidR="00E74346" w:rsidRPr="00CA5EFD" w:rsidRDefault="00E74346" w:rsidP="00E47CCB">
      <w:pPr>
        <w:pStyle w:val="NormalHanging12a"/>
        <w:widowControl/>
      </w:pPr>
      <w:r w:rsidRPr="00CA5EFD">
        <w:t>–</w:t>
      </w:r>
      <w:r w:rsidRPr="00CA5EFD">
        <w:tab/>
      </w:r>
      <w:r w:rsidRPr="00CA5EFD">
        <w:rPr>
          <w:snapToGrid w:val="0"/>
        </w:rPr>
        <w:t>tekintettel az ENSZ Közgyűlésének</w:t>
      </w:r>
      <w:r w:rsidRPr="00CA5EFD">
        <w:t xml:space="preserve"> </w:t>
      </w:r>
      <w:r w:rsidRPr="00CA5EFD">
        <w:rPr>
          <w:snapToGrid w:val="0"/>
        </w:rPr>
        <w:t>az Európai Uniónak az ENSZ munkájában történő részvételéről szóló, 2011. május 10-i 65/276. számú határozatára</w:t>
      </w:r>
      <w:r w:rsidRPr="00CA5EFD">
        <w:t>,</w:t>
      </w:r>
    </w:p>
    <w:p w14:paraId="51EB05C3" w14:textId="77777777" w:rsidR="00E74346" w:rsidRPr="00CA5EFD" w:rsidRDefault="00E74346" w:rsidP="00E47CCB">
      <w:pPr>
        <w:pStyle w:val="NormalHanging12a"/>
        <w:widowControl/>
      </w:pPr>
      <w:r w:rsidRPr="00CA5EFD">
        <w:t>–</w:t>
      </w:r>
      <w:r w:rsidRPr="00CA5EFD">
        <w:tab/>
        <w:t xml:space="preserve">tekintettel az ENSZ Közgyűlésének „Uniting for Peace” [Egyesülve a békéért] című, 1950. november 3-i 377. számú határozatára, </w:t>
      </w:r>
    </w:p>
    <w:p w14:paraId="4048E1E2" w14:textId="77777777" w:rsidR="00E74346" w:rsidRPr="00CA5EFD" w:rsidRDefault="00E74346" w:rsidP="00E47CCB">
      <w:pPr>
        <w:pStyle w:val="NormalHanging12a"/>
        <w:widowControl/>
      </w:pPr>
      <w:r w:rsidRPr="00CA5EFD">
        <w:t>–</w:t>
      </w:r>
      <w:r w:rsidRPr="00CA5EFD">
        <w:tab/>
        <w:t xml:space="preserve">tekintettel az ENSZ Biztonsági Tanácsának a nőkről, a békéről és a biztonságról szóló, 2000. október 31-i 1325. számú határozatára, </w:t>
      </w:r>
    </w:p>
    <w:p w14:paraId="470E5EFD" w14:textId="77777777" w:rsidR="00E74346" w:rsidRPr="00CA5EFD" w:rsidRDefault="00E74346" w:rsidP="00E47CCB">
      <w:pPr>
        <w:pStyle w:val="NormalHanging12a"/>
        <w:widowControl/>
      </w:pPr>
      <w:r w:rsidRPr="00CA5EFD">
        <w:t>–</w:t>
      </w:r>
      <w:r w:rsidRPr="00CA5EFD">
        <w:tab/>
        <w:t xml:space="preserve">tekintettel az ENSZ Biztonsági Tanácsának a gázai tűzszüneti terv elfogadásáról szóló 2025. november 17-i 2803. számú határozatára, </w:t>
      </w:r>
    </w:p>
    <w:p w14:paraId="0D5ED91E" w14:textId="529724CB" w:rsidR="00E74346" w:rsidRPr="00CA5EFD" w:rsidRDefault="00E74346" w:rsidP="00E47CCB">
      <w:pPr>
        <w:pStyle w:val="NormalHanging12a"/>
        <w:widowControl/>
      </w:pPr>
      <w:r w:rsidRPr="00CA5EFD">
        <w:t>–</w:t>
      </w:r>
      <w:r w:rsidRPr="00CA5EFD">
        <w:tab/>
        <w:t>tekintettel az ENSZ Biztonsági Tanácsának a szomáliai helyzetről szóló, 202</w:t>
      </w:r>
      <w:r w:rsidR="003D20BC">
        <w:t>6</w:t>
      </w:r>
      <w:r w:rsidRPr="00CA5EFD">
        <w:t>. március 1</w:t>
      </w:r>
      <w:r w:rsidR="003D20BC">
        <w:t>1</w:t>
      </w:r>
      <w:r w:rsidRPr="00CA5EFD">
        <w:t>-i 2817 számú határozatára,</w:t>
      </w:r>
    </w:p>
    <w:p w14:paraId="0ABC1923" w14:textId="77777777" w:rsidR="00E74346" w:rsidRPr="00CA5EFD" w:rsidRDefault="00E74346" w:rsidP="00E47CCB">
      <w:pPr>
        <w:pStyle w:val="NormalHanging12a"/>
        <w:widowControl/>
      </w:pPr>
      <w:r w:rsidRPr="00CA5EFD">
        <w:t>–</w:t>
      </w:r>
      <w:r w:rsidRPr="00CA5EFD">
        <w:tab/>
        <w:t xml:space="preserve">tekintettel az ENSZ80-kezdeményezés 2025. november 21-i akciótervére, </w:t>
      </w:r>
    </w:p>
    <w:p w14:paraId="6D1D00E5" w14:textId="77777777" w:rsidR="00E74346" w:rsidRPr="00CA5EFD" w:rsidRDefault="00E74346" w:rsidP="00E47CCB">
      <w:pPr>
        <w:pStyle w:val="NormalHanging12a"/>
        <w:widowControl/>
        <w:rPr>
          <w:snapToGrid w:val="0"/>
          <w:szCs w:val="24"/>
        </w:rPr>
      </w:pPr>
      <w:r w:rsidRPr="00CA5EFD">
        <w:t>–</w:t>
      </w:r>
      <w:r w:rsidRPr="00CA5EFD">
        <w:tab/>
      </w:r>
      <w:r w:rsidRPr="00CA5EFD">
        <w:rPr>
          <w:snapToGrid w:val="0"/>
        </w:rPr>
        <w:t>tekintettel az ENSZ-főtitkár „Shifting Paradigms: United to Deliver” („Paradigmaváltás: összefogás a célok elérése érdekében”) című, 2025. szeptember 18-i jelentésére,</w:t>
      </w:r>
    </w:p>
    <w:p w14:paraId="0CB83F57" w14:textId="77777777" w:rsidR="00E74346" w:rsidRPr="00CA5EFD" w:rsidRDefault="00E74346" w:rsidP="00E47CCB">
      <w:pPr>
        <w:pStyle w:val="NormalHanging12a"/>
        <w:widowControl/>
      </w:pPr>
      <w:r w:rsidRPr="00CA5EFD">
        <w:t>–</w:t>
      </w:r>
      <w:r w:rsidRPr="00CA5EFD">
        <w:tab/>
      </w:r>
      <w:r w:rsidRPr="00CA5EFD">
        <w:rPr>
          <w:snapToGrid w:val="0"/>
        </w:rPr>
        <w:t>tekintettel az ENSZ főtitkárának a</w:t>
      </w:r>
      <w:r w:rsidRPr="00CA5EFD">
        <w:t xml:space="preserve"> 2026-ra javasolt programköltségvetésre és a békefenntartó műveletek 2025/26-os időszakra vonatkozó támogatási számlájának felülvizsgált becsléseiről szóló, 2025. szeptember 4-i jelentésére, </w:t>
      </w:r>
    </w:p>
    <w:p w14:paraId="1362A0AF" w14:textId="77777777" w:rsidR="00E74346" w:rsidRPr="00CA5EFD" w:rsidRDefault="00E74346" w:rsidP="00E47CCB">
      <w:pPr>
        <w:pStyle w:val="NormalHanging12a"/>
        <w:widowControl/>
      </w:pPr>
      <w:r w:rsidRPr="00CA5EFD">
        <w:t>–</w:t>
      </w:r>
      <w:r w:rsidRPr="00CA5EFD">
        <w:tab/>
      </w:r>
      <w:r w:rsidRPr="00CA5EFD">
        <w:rPr>
          <w:snapToGrid w:val="0"/>
        </w:rPr>
        <w:t>tekintettel az ENSZ-főtitkár</w:t>
      </w:r>
      <w:r w:rsidRPr="00CA5EFD">
        <w:t xml:space="preserve"> „Report of the mandate implementation review” („A megbízatás végrehajtásának felülvizsgálatáról szóló jelentés”) című, 2025. július 31-i jelentésére,</w:t>
      </w:r>
    </w:p>
    <w:p w14:paraId="49BB1644" w14:textId="77777777" w:rsidR="00E74346" w:rsidRPr="00CA5EFD" w:rsidRDefault="00E74346" w:rsidP="00E47CCB">
      <w:pPr>
        <w:widowControl/>
        <w:spacing w:after="240"/>
        <w:ind w:left="567" w:hanging="567"/>
      </w:pPr>
      <w:r w:rsidRPr="00CA5EFD">
        <w:t>–</w:t>
      </w:r>
      <w:r w:rsidRPr="00CA5EFD">
        <w:tab/>
        <w:t>tekintettel „A közös kül- és biztonságpolitika végrehajtása – 2025. évi éves jelentés” című</w:t>
      </w:r>
      <w:r w:rsidRPr="00CA5EFD">
        <w:rPr>
          <w:rStyle w:val="FootnoteReference"/>
        </w:rPr>
        <w:footnoteReference w:id="1"/>
      </w:r>
      <w:r w:rsidRPr="00CA5EFD">
        <w:t>,, valamint „Az emberi jogok és a demokrácia helyzete a világban és az Európai Unió ezzel kapcsolatos politikája – 2025. évi éves jelentés” című</w:t>
      </w:r>
      <w:r w:rsidRPr="00CA5EFD">
        <w:rPr>
          <w:rStyle w:val="FootnoteReference"/>
        </w:rPr>
        <w:footnoteReference w:id="2"/>
      </w:r>
      <w:r w:rsidRPr="00CA5EFD">
        <w:t xml:space="preserve">, 2026. január 21-i állásfoglalásaira, </w:t>
      </w:r>
    </w:p>
    <w:p w14:paraId="29520D7D" w14:textId="77777777" w:rsidR="00E74346" w:rsidRPr="00CA5EFD" w:rsidRDefault="00E74346" w:rsidP="00E47CCB">
      <w:pPr>
        <w:widowControl/>
        <w:spacing w:after="240"/>
        <w:ind w:left="567" w:hanging="567"/>
        <w:rPr>
          <w:snapToGrid w:val="0"/>
          <w:szCs w:val="24"/>
        </w:rPr>
      </w:pPr>
      <w:r w:rsidRPr="00CA5EFD">
        <w:t>–</w:t>
      </w:r>
      <w:r w:rsidRPr="00CA5EFD">
        <w:tab/>
      </w:r>
      <w:r w:rsidRPr="00CA5EFD">
        <w:rPr>
          <w:snapToGrid w:val="0"/>
        </w:rPr>
        <w:t>tekintettel az ENSZ Közgyűlésének 75. és 76. ülésszaka kapcsán a Tanácshoz intézett, 2021. június 9-i ajánlására</w:t>
      </w:r>
      <w:r w:rsidRPr="00CA5EFD">
        <w:rPr>
          <w:rStyle w:val="FootnoteReference"/>
          <w:snapToGrid w:val="0"/>
          <w:szCs w:val="24"/>
        </w:rPr>
        <w:footnoteReference w:id="3"/>
      </w:r>
      <w:r w:rsidRPr="00CA5EFD">
        <w:rPr>
          <w:snapToGrid w:val="0"/>
        </w:rPr>
        <w:t>,</w:t>
      </w:r>
    </w:p>
    <w:p w14:paraId="4BDC45A2" w14:textId="77777777" w:rsidR="00E74346" w:rsidRPr="00CA5EFD" w:rsidRDefault="00E74346" w:rsidP="00E47CCB">
      <w:pPr>
        <w:widowControl/>
        <w:spacing w:after="240"/>
        <w:ind w:left="567" w:hanging="567"/>
      </w:pPr>
      <w:r w:rsidRPr="00CA5EFD">
        <w:lastRenderedPageBreak/>
        <w:t>–</w:t>
      </w:r>
      <w:r w:rsidRPr="00CA5EFD">
        <w:tab/>
        <w:t>tekintettel a 2758. sz. ENSZ-határozatnak a Kínai Népköztársaság általi félreértelmezéséről és Tajvan körüli folyamatos katonai provokációiról szóló, 2024. október 24-i állásfoglalására</w:t>
      </w:r>
      <w:r w:rsidRPr="00CA5EFD">
        <w:rPr>
          <w:rStyle w:val="FootnoteReference"/>
        </w:rPr>
        <w:footnoteReference w:id="4"/>
      </w:r>
      <w:r w:rsidRPr="00CA5EFD">
        <w:t>,</w:t>
      </w:r>
    </w:p>
    <w:p w14:paraId="5C682DCB" w14:textId="77777777" w:rsidR="00E74346" w:rsidRPr="00CA5EFD" w:rsidRDefault="00E74346" w:rsidP="00E47CCB">
      <w:pPr>
        <w:widowControl/>
        <w:spacing w:after="240"/>
        <w:ind w:left="567" w:hanging="567"/>
        <w:rPr>
          <w:snapToGrid w:val="0"/>
        </w:rPr>
      </w:pPr>
      <w:r w:rsidRPr="00CA5EFD">
        <w:t>–</w:t>
      </w:r>
      <w:r w:rsidRPr="00CA5EFD">
        <w:tab/>
        <w:t>tekintettel „A nemek közötti egyenlőség az EU kül- és biztonságpolitikájában” című, 2020. október 23-i állásfoglalására</w:t>
      </w:r>
      <w:r w:rsidRPr="00CA5EFD">
        <w:rPr>
          <w:rStyle w:val="FootnoteReference"/>
        </w:rPr>
        <w:footnoteReference w:id="5"/>
      </w:r>
      <w:r w:rsidRPr="00CA5EFD">
        <w:t>, amelyben említésre kerül a feminista külpolitika,</w:t>
      </w:r>
    </w:p>
    <w:p w14:paraId="23B1ABB3" w14:textId="77777777" w:rsidR="00E74346" w:rsidRPr="00CA5EFD" w:rsidRDefault="00E74346" w:rsidP="00E47CCB">
      <w:pPr>
        <w:widowControl/>
        <w:spacing w:after="240"/>
        <w:ind w:left="567" w:hanging="567"/>
        <w:rPr>
          <w:szCs w:val="24"/>
        </w:rPr>
      </w:pPr>
      <w:r w:rsidRPr="00CA5EFD">
        <w:t>–</w:t>
      </w:r>
      <w:r w:rsidRPr="00CA5EFD">
        <w:tab/>
      </w:r>
      <w:r w:rsidRPr="00CA5EFD">
        <w:rPr>
          <w:snapToGrid w:val="0"/>
        </w:rPr>
        <w:t xml:space="preserve">tekintettel „Az EU és az ENSZ közötti, a békére és biztonságra irányuló stratégiai partnerség továbbfejlesztése: a 2025 és 2028 közötti időszakra vonatkozó közös prioritások” című, 2025. október 20-i tanácsi következtetésekre, </w:t>
      </w:r>
    </w:p>
    <w:p w14:paraId="7214BB87" w14:textId="1EDFFC3B" w:rsidR="00E74346" w:rsidRPr="00CA5EFD" w:rsidRDefault="00E74346" w:rsidP="00E47CCB">
      <w:pPr>
        <w:pStyle w:val="NormalHanging12a"/>
        <w:widowControl/>
      </w:pPr>
      <w:r w:rsidRPr="00CA5EFD">
        <w:t>–</w:t>
      </w:r>
      <w:r w:rsidRPr="00CA5EFD">
        <w:tab/>
        <w:t xml:space="preserve">tekintettel az ENSZ-ben az ENSZ Közgyűlésének 80. ülésszakán, </w:t>
      </w:r>
      <w:r w:rsidR="00617D8C" w:rsidRPr="00CA5EFD">
        <w:t xml:space="preserve">a </w:t>
      </w:r>
      <w:r w:rsidRPr="00CA5EFD">
        <w:t xml:space="preserve">2025. szeptember és 2026. szeptember között képviselendő uniós prioritásokról szóló, </w:t>
      </w:r>
      <w:r w:rsidRPr="00CA5EFD">
        <w:rPr>
          <w:snapToGrid w:val="0"/>
        </w:rPr>
        <w:t>2025. június 23-i tanácsi következtetésekre</w:t>
      </w:r>
      <w:r w:rsidRPr="00CA5EFD">
        <w:t xml:space="preserve">, </w:t>
      </w:r>
    </w:p>
    <w:p w14:paraId="206B3184" w14:textId="77777777" w:rsidR="00E74346" w:rsidRPr="00CA5EFD" w:rsidRDefault="00E74346" w:rsidP="00E47CCB">
      <w:pPr>
        <w:pStyle w:val="NormalHanging12a"/>
        <w:widowControl/>
      </w:pPr>
      <w:r w:rsidRPr="00CA5EFD">
        <w:t>–</w:t>
      </w:r>
      <w:r w:rsidRPr="00CA5EFD">
        <w:tab/>
        <w:t>tekintettel az ENSZ emberi jogi fórumain 2025-ben képviselendő uniós prioritásokról szóló, 2025. január 27-i tanácsi következtetésekre,</w:t>
      </w:r>
    </w:p>
    <w:p w14:paraId="4B575803" w14:textId="77777777" w:rsidR="00E74346" w:rsidRPr="00CA5EFD" w:rsidRDefault="00E74346" w:rsidP="00E47CCB">
      <w:pPr>
        <w:pStyle w:val="NormalHanging12a"/>
        <w:widowControl/>
      </w:pPr>
      <w:r w:rsidRPr="00CA5EFD">
        <w:t>–</w:t>
      </w:r>
      <w:r w:rsidRPr="00CA5EFD">
        <w:tab/>
        <w:t>tekintettel az Európai Tanács 2025. március 20-i következtetéseire,</w:t>
      </w:r>
    </w:p>
    <w:p w14:paraId="70D85ABB" w14:textId="77777777" w:rsidR="00E74346" w:rsidRPr="00CA5EFD" w:rsidRDefault="00E74346" w:rsidP="00E47CCB">
      <w:pPr>
        <w:pStyle w:val="NormalHanging12a"/>
        <w:widowControl/>
        <w:rPr>
          <w:bCs/>
          <w:iCs/>
        </w:rPr>
      </w:pPr>
      <w:r w:rsidRPr="00CA5EFD">
        <w:t>–</w:t>
      </w:r>
      <w:r w:rsidRPr="00CA5EFD">
        <w:tab/>
        <w:t xml:space="preserve">tekintettel António Costa elnök szóbeli következtetéseire az Európai Tanács tagjainak 2026. január 22-i, nem hivatalos ülését követően, </w:t>
      </w:r>
    </w:p>
    <w:p w14:paraId="371DAA80" w14:textId="77777777" w:rsidR="00E74346" w:rsidRPr="00CA5EFD" w:rsidRDefault="00E74346" w:rsidP="00E47CCB">
      <w:pPr>
        <w:pStyle w:val="NormalHanging12a"/>
        <w:widowControl/>
      </w:pPr>
      <w:r w:rsidRPr="00CA5EFD">
        <w:t>–</w:t>
      </w:r>
      <w:r w:rsidRPr="00CA5EFD">
        <w:tab/>
        <w:t>tekintettel eljárási szabályzata 121. cikkére,</w:t>
      </w:r>
    </w:p>
    <w:p w14:paraId="0822C001" w14:textId="77777777" w:rsidR="00E74346" w:rsidRPr="00CA5EFD" w:rsidRDefault="00E74346" w:rsidP="00E47CCB">
      <w:pPr>
        <w:pStyle w:val="NormalHanging12a"/>
        <w:widowControl/>
      </w:pPr>
      <w:r w:rsidRPr="00CA5EFD">
        <w:t>–</w:t>
      </w:r>
      <w:r w:rsidRPr="00CA5EFD">
        <w:tab/>
        <w:t>tekintettel a Külügyi Bizottság jelentésére (A10-0103/2026),</w:t>
      </w:r>
    </w:p>
    <w:p w14:paraId="382C8F20" w14:textId="77777777" w:rsidR="00E74346" w:rsidRPr="00CA5EFD" w:rsidRDefault="00E74346" w:rsidP="00E47CCB">
      <w:pPr>
        <w:pStyle w:val="NormalHanging"/>
        <w:widowControl/>
        <w:ind w:left="567" w:hanging="567"/>
      </w:pPr>
      <w:r w:rsidRPr="00CA5EFD">
        <w:t>A.</w:t>
      </w:r>
      <w:r w:rsidRPr="00CA5EFD">
        <w:tab/>
        <w:t>mivel a jelenlegi geopolitikai környezetben döntő fontosságú a szabályokon alapuló nemzetközi rend fenntartása és megerősítése, valamint a kormányközi szervezetek hatékony működésének biztosítása;</w:t>
      </w:r>
    </w:p>
    <w:p w14:paraId="207B9146" w14:textId="77777777" w:rsidR="00E74346" w:rsidRPr="00CA5EFD" w:rsidRDefault="00E74346" w:rsidP="00E47CCB">
      <w:pPr>
        <w:pStyle w:val="NormalHanging"/>
        <w:widowControl/>
        <w:ind w:left="567" w:hanging="567"/>
      </w:pPr>
      <w:r w:rsidRPr="00CA5EFD">
        <w:t>B.</w:t>
      </w:r>
      <w:r w:rsidRPr="00CA5EFD">
        <w:tab/>
        <w:t xml:space="preserve">mivel a demokrácia, annak rendszerei, normái és értékei a jelenlegi multilaterális rendszer alapvető pillérei; mivel a demokráciák előmozdítják a szabályokon alapuló multilaterális rendszert, mivel azok kölcsönösen előnyösek; mivel az érett demokratikus rendszerekként értelmezett demokráciák világa összességében biztonságosabb világ, tekintettel jelentős fékeikre és ellensúlyaikra, amelyek megakadályozzák az önkényuralmak kiszámíthatatlan viselkedését a nemzetközi színtéren; mivel a demokráciát a nemzetközi színtéren autoriter, totalitárius és illiberális rezsimek ostromolják, és határaikon belül és kívül egyaránt támadást intéznek ellene; </w:t>
      </w:r>
    </w:p>
    <w:p w14:paraId="3F80EB51" w14:textId="77777777" w:rsidR="00E74346" w:rsidRPr="00CA5EFD" w:rsidRDefault="00E74346" w:rsidP="00E47CCB">
      <w:pPr>
        <w:pStyle w:val="NormalHanging"/>
        <w:widowControl/>
        <w:ind w:left="567" w:hanging="567"/>
      </w:pPr>
      <w:r w:rsidRPr="00CA5EFD">
        <w:t>C.</w:t>
      </w:r>
      <w:r w:rsidRPr="00CA5EFD">
        <w:tab/>
        <w:t xml:space="preserve">mivel a multilaterális rendszer egyre növekvő fenyegetésekkel néz szembe, amilyen például Oroszország Ukrajna ellen indított jogtalan agressziós háborúja – amely a globális béke- és biztonsági struktúra, többek között az ENSZ Biztonsági Tanácsa (ENSZ BT) elleni támadásnak is minősül –, Kína növekvő befolyása és az Egyesült Államok nemzetközi szervezetekből való aggasztó kivonulása, valamint az olyan kritikus területeket érintő finanszírozás csökkentése, mint a humanitárius segítségnyújtás, az oktatás, az éghajlatváltozás, a hibrid fenyegetések, a nemzetközi jog, az egészségügy és a békeépítés; mivel a multilaterális rendszer helyzetét az EU demokratikus országai és (természetes) szövetségesei is bírálják; mivel az, hogy az </w:t>
      </w:r>
      <w:r w:rsidRPr="00CA5EFD">
        <w:lastRenderedPageBreak/>
        <w:t xml:space="preserve">ENSZ BT és annak állandó tagjai képtelenek fellépni az ENSZ Alapokmányának súlyos megsértése esetén, hozzájárult az ENSZ egészével szembeni nyilvános kritikák erősödéséhez; </w:t>
      </w:r>
    </w:p>
    <w:p w14:paraId="4FD067CE" w14:textId="77777777" w:rsidR="00E74346" w:rsidRPr="00CA5EFD" w:rsidRDefault="00E74346" w:rsidP="00E47CCB">
      <w:pPr>
        <w:pStyle w:val="NormalHanging12a"/>
        <w:widowControl/>
        <w:rPr>
          <w:bCs/>
          <w:iCs/>
        </w:rPr>
      </w:pPr>
      <w:bookmarkStart w:id="6" w:name="_Hlk224066174"/>
      <w:r w:rsidRPr="00CA5EFD">
        <w:t>D.</w:t>
      </w:r>
      <w:r w:rsidRPr="00CA5EFD">
        <w:tab/>
        <w:t xml:space="preserve">mivel az olyan gazdasági eszközök, mint a vámok, az exportellenőrzés és a szankciók multilaterális kereteken kívüli geopolitikai célok elérése érdekében történő alkalmazása gyengítheti a Kereskedelmi Világszervezetet, széttagolhatja a világgazdaságot, elmélyítheti a globális egyenlőtlenségeket, és hatással lehet a fejlődő országokra és a kiszolgáltatott népességcsoportokra; </w:t>
      </w:r>
      <w:bookmarkEnd w:id="6"/>
    </w:p>
    <w:p w14:paraId="092B1A76" w14:textId="77777777" w:rsidR="00E74346" w:rsidRPr="00CA5EFD" w:rsidRDefault="00E74346" w:rsidP="00E47CCB">
      <w:pPr>
        <w:pStyle w:val="NormalHanging12a"/>
        <w:widowControl/>
        <w:rPr>
          <w:bCs/>
          <w:iCs/>
        </w:rPr>
      </w:pPr>
      <w:bookmarkStart w:id="7" w:name="_Hlk224066326"/>
      <w:r w:rsidRPr="00CA5EFD">
        <w:t>E.</w:t>
      </w:r>
      <w:r w:rsidRPr="00CA5EFD">
        <w:tab/>
        <w:t xml:space="preserve">mivel az ENSZ békefenntartó és békeépítő struktúrájának gyengítésére irányuló kísérletek – ideértve az ENSZ Békeépítési Bizottságát és a szélesebb körű békefenntartó struktúrákat ért támadásokat – arra irányulnak, hogy aláássák az ENSZ képességét a konfliktusok megelőzésére, a konfliktusok utáni újjáépítés támogatására, valamint a nemzetközi béke és biztonság garantálására; </w:t>
      </w:r>
    </w:p>
    <w:bookmarkEnd w:id="7"/>
    <w:p w14:paraId="55A2E56D" w14:textId="77777777" w:rsidR="00E74346" w:rsidRPr="00CA5EFD" w:rsidRDefault="00E74346" w:rsidP="00E47CCB">
      <w:pPr>
        <w:pStyle w:val="NormalHanging12a"/>
        <w:widowControl/>
        <w:rPr>
          <w:bCs/>
          <w:iCs/>
        </w:rPr>
      </w:pPr>
      <w:r w:rsidRPr="00CA5EFD">
        <w:t>F.</w:t>
      </w:r>
      <w:r w:rsidRPr="00CA5EFD">
        <w:tab/>
        <w:t xml:space="preserve">mivel a globalizáció és az olyan kihívások, mint például az éghajlatváltozás, a tömegpusztító fegyverek elterjedésének megakadályozása, a világjárványok, a terrorizmus, valamint a szervezett bűnözés és a kábítószer- és emberkereskedelem elleni küzdelem és a migrációs áramlások kezelése multilaterális válaszlépéseket igényelnek; mivel a finanszírozás csökkentése és a kulcsfontosságú multilaterális szervezetekből és fórumokból való kivonulás gyengítette a nemzetközi közösség azon képességét, hogy hatékonyan reagáljon az ilyen válságokra; </w:t>
      </w:r>
    </w:p>
    <w:p w14:paraId="65486827" w14:textId="77777777" w:rsidR="00E74346" w:rsidRPr="00CA5EFD" w:rsidRDefault="00E74346" w:rsidP="00E47CCB">
      <w:pPr>
        <w:pStyle w:val="NormalHanging12a"/>
        <w:widowControl/>
        <w:rPr>
          <w:bCs/>
          <w:iCs/>
        </w:rPr>
      </w:pPr>
      <w:r w:rsidRPr="00CA5EFD">
        <w:t>G.</w:t>
      </w:r>
      <w:r w:rsidRPr="00CA5EFD">
        <w:tab/>
        <w:t xml:space="preserve">mivel az ENSZ-rendszer a jelenlegi multilaterális rendszer sarokköve; mivel továbbra is ez a legmegfelelőbb keret a további előrelépéshez, amelynek alapvető célja a béke, az emberi jogok és a fenntartható fejlődés globális szintű előmozdítása; mivel az ENSZ-rendszer strukturális kifáradást tapasztalhat, részben amiatt, hogy nem alkalmazkodott az elveit osztó új nemzetközi szereplőkhöz, például az EU-hoz; </w:t>
      </w:r>
    </w:p>
    <w:p w14:paraId="25D08D0A" w14:textId="77777777" w:rsidR="00E74346" w:rsidRPr="00CA5EFD" w:rsidRDefault="00E74346" w:rsidP="00E47CCB">
      <w:pPr>
        <w:pStyle w:val="NormalHanging12a"/>
        <w:widowControl/>
        <w:rPr>
          <w:bCs/>
          <w:iCs/>
        </w:rPr>
      </w:pPr>
      <w:r w:rsidRPr="00CA5EFD">
        <w:t>H.</w:t>
      </w:r>
      <w:r w:rsidRPr="00CA5EFD">
        <w:tab/>
        <w:t xml:space="preserve">mivel az ENSZ BT a nemzetközi béke és biztonság fenntartása szempontjából rendkívül fontos szerv, amelynek a jelenlegi kihívások komolysága és összetettsége miatt hatékonyabb és határozottabb szerepet kell játszania; </w:t>
      </w:r>
    </w:p>
    <w:p w14:paraId="4CBF8F8D" w14:textId="77777777" w:rsidR="00E74346" w:rsidRPr="00CA5EFD" w:rsidRDefault="00E74346" w:rsidP="00E47CCB">
      <w:pPr>
        <w:pStyle w:val="NormalHanging12a"/>
        <w:widowControl/>
        <w:rPr>
          <w:bCs/>
          <w:iCs/>
        </w:rPr>
      </w:pPr>
      <w:r w:rsidRPr="00CA5EFD">
        <w:t>I.</w:t>
      </w:r>
      <w:r w:rsidRPr="00CA5EFD">
        <w:tab/>
        <w:t xml:space="preserve">mivel az ENSZ-rendszert meg kell reformálni annak biztosításához, hogy az alkalmas legyen céljai elérésére; mivel az ENSZ80-kezdeményezés üdvözlendő kezdeményezés; mivel nem várható el az ENSZ-től, hogy kevesebb erőforrással többet teljesítsen; </w:t>
      </w:r>
      <w:bookmarkStart w:id="8" w:name="_Hlk224066205"/>
    </w:p>
    <w:bookmarkEnd w:id="8"/>
    <w:p w14:paraId="6BF2E2AC" w14:textId="77777777" w:rsidR="00E74346" w:rsidRPr="00CA5EFD" w:rsidRDefault="00E74346" w:rsidP="00E47CCB">
      <w:pPr>
        <w:pStyle w:val="NormalHanging12a"/>
        <w:widowControl/>
        <w:rPr>
          <w:bCs/>
          <w:iCs/>
        </w:rPr>
      </w:pPr>
      <w:r w:rsidRPr="00CA5EFD">
        <w:t>J.</w:t>
      </w:r>
      <w:r w:rsidRPr="00CA5EFD">
        <w:tab/>
        <w:t xml:space="preserve">mivel a Dán Királyság és Grönland szuverenitását és területi integritását, valamint a grönlandi nép önrendelkezési jogát fenyegető nyilatkozatok és fellépések a nemzetközi jog alapelveinek – többek között a szuverenitás, a területi integritás és az önrendelkezés tiszteletben tartásának – megsértését jelentik, és hozzájárulnak a kényszerítő diplomácia normalizálásához; </w:t>
      </w:r>
    </w:p>
    <w:p w14:paraId="5FEEC124" w14:textId="77777777" w:rsidR="00E74346" w:rsidRPr="00CA5EFD" w:rsidRDefault="00E74346" w:rsidP="00E47CCB">
      <w:pPr>
        <w:pStyle w:val="NormalHanging12a"/>
        <w:widowControl/>
        <w:rPr>
          <w:bCs/>
          <w:iCs/>
        </w:rPr>
      </w:pPr>
      <w:r w:rsidRPr="00CA5EFD">
        <w:t>K.</w:t>
      </w:r>
      <w:r w:rsidRPr="00CA5EFD">
        <w:tab/>
        <w:t xml:space="preserve">mivel az ENSZ BT 2803. számú határozata üdvözölte a Béketanács – egy nemzetközi jogi személyiséggel rendelkező átmeneti közigazgatási szerv – létrehozását, amely az átfogó tervnek megfelelően és a vonatkozó nemzetközi jogi elvekkel összhangban meghatározza Gáza újjáépítésének keretét és koordinálja annak finanszírozását a kétállami megoldáshoz vezető hiteles út érdekében; mivel többek között Costa úr, az Európai Tanács elnöke komoly kétségeinek adott hangot a Béketanács alapokmányának számos elemét illetően, amelyek annak hatályával, irányításával és az ENSZ </w:t>
      </w:r>
      <w:r w:rsidRPr="00CA5EFD">
        <w:lastRenderedPageBreak/>
        <w:t>Alapokmányával való összeegyeztethetőségével kapcsolatosak; mivel a Parlament szolidaritását fejezi ki a telepesek által Ciszjordániában elkövetett erőszak áldozataival;</w:t>
      </w:r>
    </w:p>
    <w:p w14:paraId="65746834" w14:textId="77777777" w:rsidR="00E74346" w:rsidRPr="00CA5EFD" w:rsidRDefault="00E74346" w:rsidP="00E47CCB">
      <w:pPr>
        <w:pStyle w:val="NormalHanging12a"/>
        <w:widowControl/>
        <w:rPr>
          <w:bCs/>
          <w:iCs/>
        </w:rPr>
      </w:pPr>
      <w:r w:rsidRPr="00CA5EFD">
        <w:t>L.</w:t>
      </w:r>
      <w:r w:rsidRPr="00CA5EFD">
        <w:tab/>
        <w:t xml:space="preserve">mivel 2025 augusztusában a Trump-kormány megtiltotta Mahmúd Abbász palesztin elnöknek és 80 palesztin tisztviselőnek, hogy részt vegyenek a világ vezetőinek az ENSZ Közgyűlésén New Yorkban tartott ülésén; mivel az ENSZ rendszerének alapjául szolgáló inkluzivitás és egyetemesség elvét mindenkor tiszteletben kell tartani; </w:t>
      </w:r>
    </w:p>
    <w:p w14:paraId="3DCE82D5" w14:textId="77777777" w:rsidR="00E74346" w:rsidRPr="00CA5EFD" w:rsidRDefault="00E74346" w:rsidP="00E47CCB">
      <w:pPr>
        <w:pStyle w:val="NormalHanging12a"/>
        <w:widowControl/>
        <w:rPr>
          <w:bCs/>
          <w:iCs/>
        </w:rPr>
      </w:pPr>
      <w:r w:rsidRPr="00CA5EFD">
        <w:t>M.</w:t>
      </w:r>
      <w:r w:rsidRPr="00CA5EFD">
        <w:tab/>
        <w:t xml:space="preserve">mivel az EU továbbra is elkötelezett a nemzetközi jog, az ENSZ Alapokmánya és annak szabályai és elvei, többek között a szuverenitás, a területi integritás és az önrendelkezés, valamint az emberi jogok és alapvető szabadságok mellett, és határozottan támogatja a nemzetközi jogra épülő multilaterális rendszert, amelynek középpontjában az ENSZ áll; </w:t>
      </w:r>
    </w:p>
    <w:p w14:paraId="367E0D75" w14:textId="77777777" w:rsidR="00E74346" w:rsidRPr="00CA5EFD" w:rsidRDefault="00E74346" w:rsidP="00E47CCB">
      <w:pPr>
        <w:pStyle w:val="NormalHanging12a"/>
        <w:widowControl/>
        <w:rPr>
          <w:bCs/>
          <w:iCs/>
        </w:rPr>
      </w:pPr>
      <w:r w:rsidRPr="00CA5EFD">
        <w:t>N.</w:t>
      </w:r>
      <w:r w:rsidRPr="00CA5EFD">
        <w:tab/>
        <w:t xml:space="preserve">mivel az </w:t>
      </w:r>
      <w:proofErr w:type="gramStart"/>
      <w:r w:rsidRPr="00CA5EFD">
        <w:t>EU-nak</w:t>
      </w:r>
      <w:proofErr w:type="gramEnd"/>
      <w:r w:rsidRPr="00CA5EFD">
        <w:t xml:space="preserve"> mint globális szereplőnek erősebb szerepet kell játszania az ENSZ-ben; mivel az EU fokozatosan növeli biztonsági és védelmi képességeit azzal a céllal, hogy nagyobb felelősséget vállaljon a konfliktusmegelőzés, a válságkezelés, a védelem és a béketeremtés terén; </w:t>
      </w:r>
    </w:p>
    <w:p w14:paraId="1CD70072" w14:textId="77777777" w:rsidR="00E74346" w:rsidRPr="00CA5EFD" w:rsidRDefault="00E74346" w:rsidP="00E47CCB">
      <w:pPr>
        <w:pStyle w:val="NormalHanging12a"/>
        <w:widowControl/>
        <w:rPr>
          <w:bCs/>
          <w:iCs/>
        </w:rPr>
      </w:pPr>
      <w:r w:rsidRPr="00CA5EFD">
        <w:t>O.</w:t>
      </w:r>
      <w:r w:rsidRPr="00CA5EFD">
        <w:tab/>
        <w:t xml:space="preserve">mivel elengedhetetlennek tűnik, hogy az EU fokozza együttműködését minden partnerével, beleértve az ENSZ-t és annak ügynökségeit, hogy közösen előmozdítsák az ENSZ belső reformfolyamatát, és így biztosítsák, hogy az ENSZ továbbra is eredményes és költséghatékony maradjon, valamint képes legyen kezelni korunk egyre növekvő globális kihívásait; </w:t>
      </w:r>
    </w:p>
    <w:p w14:paraId="7F38DF11" w14:textId="77777777" w:rsidR="00E74346" w:rsidRPr="00CA5EFD" w:rsidRDefault="00E74346" w:rsidP="00E47CCB">
      <w:pPr>
        <w:pStyle w:val="NormalHanging12a"/>
        <w:widowControl/>
        <w:rPr>
          <w:bCs/>
          <w:iCs/>
        </w:rPr>
      </w:pPr>
      <w:r w:rsidRPr="00CA5EFD">
        <w:t>P.</w:t>
      </w:r>
      <w:r w:rsidRPr="00CA5EFD">
        <w:tab/>
        <w:t xml:space="preserve">mivel a Parlament Külügyi Bizottsága (AFET) felel többek között az ENSZ-szel való kapcsolatokért a hatáskörébe tartozó ügyekben, valamint az EU közös kül- és biztonságpolitikájának előmozdításáért, végrehajtásáért és nyomon követéséért, többek között a nemzetközi partnerekkel folytatott eszmecserék és parlamenti diplomácia révén,  mivel az ENSZ Közgyűlésének éves ülésszaka kulcsfontosságú multilaterális fórum az EU külpolitikai prioritásainak előmozdítása és a parlamenti felügyelet szempontjából; mivel a fentiekre tekintettel az ENSZ Közgyűlés üléseire rendszeresen indított AFET bizottsági küldöttségek támogatnák ezt a megbízatást, lehetővé téve a Parlament számára, hogy kapcsolatba lépjen partnereivel, megerősítse szerepét a multilaterális ügyekben, és fenntartsa a hatékony és koherens külső fellépés iránti uniós elkötelezettséget; </w:t>
      </w:r>
    </w:p>
    <w:p w14:paraId="43D27E38" w14:textId="77777777" w:rsidR="00E74346" w:rsidRPr="00CA5EFD" w:rsidRDefault="00E74346" w:rsidP="00E47CCB">
      <w:pPr>
        <w:pStyle w:val="NormalHanging12a"/>
        <w:widowControl/>
      </w:pPr>
      <w:r w:rsidRPr="00CA5EFD">
        <w:t>1.</w:t>
      </w:r>
      <w:r w:rsidRPr="00CA5EFD">
        <w:tab/>
        <w:t>a következő ajánlásokat fogalmazza meg a Tanács, a Bizottság, illetve a Bizottság alelnöke / az Unió külügyi és biztonságpolitikai főképviselője felé:</w:t>
      </w:r>
    </w:p>
    <w:p w14:paraId="7D410BAC" w14:textId="77777777" w:rsidR="00E74346" w:rsidRPr="00CA5EFD" w:rsidRDefault="00E74346" w:rsidP="00E47CCB">
      <w:pPr>
        <w:widowControl/>
        <w:spacing w:after="240"/>
        <w:ind w:left="1134" w:hanging="567"/>
        <w:rPr>
          <w:b/>
          <w:i/>
          <w:iCs/>
          <w:szCs w:val="24"/>
        </w:rPr>
      </w:pPr>
      <w:r w:rsidRPr="00CA5EFD">
        <w:rPr>
          <w:b/>
          <w:i/>
        </w:rPr>
        <w:t>A multilateralizmus megőrzése és megerősítése</w:t>
      </w:r>
    </w:p>
    <w:p w14:paraId="4369C3D0" w14:textId="3D0825D3" w:rsidR="00E74346" w:rsidRPr="00CA5EFD" w:rsidRDefault="00E74346" w:rsidP="00E47CCB">
      <w:pPr>
        <w:pStyle w:val="NormalHangingLeft12a"/>
        <w:widowControl/>
      </w:pPr>
      <w:r w:rsidRPr="00CA5EFD">
        <w:t>a)</w:t>
      </w:r>
      <w:r w:rsidRPr="00CA5EFD">
        <w:tab/>
        <w:t xml:space="preserve">továbbra is támogassák a hatékony multilateralizmust – középpontjában az ENSZ-szel, kiegészítve az EU harmadik országokkal fenntartott kétoldalú kapcsolataival –, amelyben a jogszabályok és normák erősebbek a konfliktusoknál, annak érdekében, hogy elsőbbséget biztosítsanak a hatékonyságnak, előmozdítsák és védjék a nemzetközi jogot, valamint gondoskodjanak az ENSZ Alapokmányában foglalt szabályok és elvek tiszteletben tartásáról, beleértve a szuverenitást, a területi integritást (beleértve az ENSZ Tengerjogi Egyezményében meghatározott tengeri övezeteket), az erőszak alkalmazásának mellőzését, a politikai függetlenséget, az önrendelkezést, valamint az emberi jogok és az alapvető szabadságok védelmét, továbbá ellenezzék a kényszerítő diplomáciát és bármely </w:t>
      </w:r>
      <w:r w:rsidRPr="00CA5EFD">
        <w:lastRenderedPageBreak/>
        <w:t>állam arra irányuló kísérleteit, hogy aláássa vagy gyengítse a szabályokon alapuló multilaterális rendet;</w:t>
      </w:r>
    </w:p>
    <w:p w14:paraId="4B89E5FE" w14:textId="7C9FF2EE" w:rsidR="00E74346" w:rsidRPr="00CA5EFD" w:rsidRDefault="00E74346" w:rsidP="00E47CCB">
      <w:pPr>
        <w:pStyle w:val="NormalHangingLeft12a"/>
        <w:widowControl/>
      </w:pPr>
      <w:r w:rsidRPr="00CA5EFD">
        <w:t>b)</w:t>
      </w:r>
      <w:r w:rsidRPr="00CA5EFD">
        <w:tab/>
        <w:t>továbbra is szilárdan védelmezzék az egyetemes emberi jogok, a demokrácia, az emberi méltóság, az egyenlőség és a jogállamiság tiszteletben tartását, védelmét és érvényesítését, valamint az átlátható, hiteles és inkluzív választási folyamatokat, összhangban az ENSZ emberi jogi fórumain képviselendő uniós prioritásokról szóló 2025. évi tanácsi következtetésekkel; határozottan álljanak ki az emberi jogok egyetemességének, oszthatatlanságának, egymástól való függőségének és egymással való kapcsolódásának elve mellett, függetlenül attól, hogy polgári, kulturális, gazdasági, politikai vagy szociális jogokról van szó;</w:t>
      </w:r>
    </w:p>
    <w:p w14:paraId="04491C8A" w14:textId="1F378827" w:rsidR="00E74346" w:rsidRPr="00CA5EFD" w:rsidRDefault="00E74346" w:rsidP="00E47CCB">
      <w:pPr>
        <w:pStyle w:val="NormalHangingLeft12a"/>
        <w:widowControl/>
      </w:pPr>
      <w:r w:rsidRPr="00CA5EFD">
        <w:t>c)</w:t>
      </w:r>
      <w:r w:rsidRPr="00CA5EFD">
        <w:tab/>
        <w:t>erősítsék meg a multilaterális szervezetek alapvető szerepét, amelyek elengedhetetlen platformként szolgálnak a konfliktusok rendezésében és a globális kormányzásban, valamint olyan nagy globális kihívásokra adott válaszok kidolgozásában, mint az éghajlatváltozás, a migrációs áramlások kezelése, a tömegpusztító fegyverek elterjedésének megakadályozása, a világjárványok, a terrorizmus és a szervezett bűnözés és kábítószer-kereskedelem elleni küzdelem, továbbá és az EU hasonló gondolkodású partnereivel szoros együttműködésben vállaljanak úttörő szerepet olyan, a globális normákban szilárdan beágyazott multilaterális kezdeményezésekben, amelyek hozzájárulnak Európa biztonságának és jólétének biztosításához;</w:t>
      </w:r>
    </w:p>
    <w:p w14:paraId="03D896C1" w14:textId="306F0507" w:rsidR="00E74346" w:rsidRPr="00CA5EFD" w:rsidRDefault="00E74346" w:rsidP="00E47CCB">
      <w:pPr>
        <w:pStyle w:val="NormalHangingLeft12a"/>
        <w:widowControl/>
      </w:pPr>
      <w:r w:rsidRPr="00CA5EFD">
        <w:t>d)</w:t>
      </w:r>
      <w:r w:rsidRPr="00CA5EFD">
        <w:tab/>
        <w:t xml:space="preserve">hangsúlyozzák, hogy egy stabil, megbízható és méltányos multilaterális rendszer és az ENSZ-hez hasonló multilaterális fórumok elengedhetetlenek a béke és a biztonság garantálásához a fokozódó geopolitikai feszültségek és a világszerte fokozódó geopolitikai feszültségek és az összetett humanitárius válsággócok közepette, és ezeknek az EU biztonsági architektúrájának részét kell képezniük; </w:t>
      </w:r>
    </w:p>
    <w:p w14:paraId="271C1B91" w14:textId="2E20B49C" w:rsidR="00E74346" w:rsidRPr="00CA5EFD" w:rsidRDefault="00E74346" w:rsidP="00E47CCB">
      <w:pPr>
        <w:pStyle w:val="NormalHangingLeft12a"/>
        <w:widowControl/>
      </w:pPr>
      <w:r w:rsidRPr="00CA5EFD">
        <w:t>e)</w:t>
      </w:r>
      <w:r w:rsidRPr="00CA5EFD">
        <w:tab/>
        <w:t>fejezzék ki aggodalmukat a különböző szereplők arra irányuló kísérleteit, hogy aláássák az ENSZ legitimitását, tekintélyét és egyetemességét, gyengítsék a békefenntartó struktúrákat és átpolitizálják az ENSZ szerveinek működését;</w:t>
      </w:r>
    </w:p>
    <w:p w14:paraId="7C5A5F04" w14:textId="37BDA10F" w:rsidR="00E74346" w:rsidRPr="00CA5EFD" w:rsidRDefault="00E74346" w:rsidP="00E47CCB">
      <w:pPr>
        <w:pStyle w:val="NormalHangingLeft12a"/>
        <w:widowControl/>
      </w:pPr>
      <w:bookmarkStart w:id="9" w:name="_Hlk224062540"/>
      <w:r w:rsidRPr="00CA5EFD">
        <w:t>f)</w:t>
      </w:r>
      <w:r w:rsidRPr="00CA5EFD">
        <w:tab/>
        <w:t xml:space="preserve">ismerjék el a jelentős hozzájárulók késedelmes fizetésének vagy a fizetés elmaradásának negatív hatását; hangsúlyozzák az Egyesült Államok határozott részvételének fontosságát az ENSZ-rendszer pénzügyi fenntarthatóságának garantálásában, ugyanakkor lépjenek fel minden olyan kísérlettel szemben, amelynek célja a multilaterális együttműködés gyengítése egy olyan időszakban, amikor arra a legnagyobb szükség van, és az ENSZ megbízatása megvalósításának akadályozása, különösen a humanitárius területen; hangsúlyozzák, hogy aktívan vissza kell fogni az önkényuralmi és revizionista szereplők arra irányuló erőfeszítéseit, hogy kihasználják a nyugati hatalmak nemzetközi szervezetekből való kilépését vagy visszavonulását; </w:t>
      </w:r>
      <w:bookmarkEnd w:id="9"/>
    </w:p>
    <w:p w14:paraId="31FC1863" w14:textId="00D894DE" w:rsidR="00E74346" w:rsidRPr="00CA5EFD" w:rsidRDefault="00E74346" w:rsidP="00E47CCB">
      <w:pPr>
        <w:pStyle w:val="NormalHangingLeft12a"/>
        <w:widowControl/>
      </w:pPr>
      <w:r w:rsidRPr="00CA5EFD">
        <w:t>g)</w:t>
      </w:r>
      <w:r w:rsidRPr="00CA5EFD">
        <w:tab/>
        <w:t xml:space="preserve">tegyenek meg minden tőlük telhetőt annak biztosítása érdekében, hogy a 2025-ös költségvetési hiányt a lehető leggyorsabban pótolni lehessen a pénzügyi összeomlás elkerülése érdekében, valamint a programok világszerte történő folytatásának, az ENSZ-székház hatékony működésének és az ENSZ-közgyűlés 81. ülésszaka megtartásának biztosításához; </w:t>
      </w:r>
    </w:p>
    <w:p w14:paraId="2F40523A" w14:textId="0FD3C904" w:rsidR="00E74346" w:rsidRPr="00CA5EFD" w:rsidRDefault="00E74346" w:rsidP="00E47CCB">
      <w:pPr>
        <w:pStyle w:val="NormalHangingLeft12a"/>
        <w:widowControl/>
      </w:pPr>
      <w:r w:rsidRPr="00CA5EFD">
        <w:lastRenderedPageBreak/>
        <w:t>h)</w:t>
      </w:r>
      <w:r w:rsidRPr="00CA5EFD">
        <w:tab/>
        <w:t>hangsúlyozzák a nemek közötti egyenlőség előmozdításának, a nők és a fiatalok szerepvállalása előmozdításának, valamint a vonatkozó nemzetközi kötelezettségvállalások – többek között a nőkkel, a békével és a biztonsággal kapcsolatos menetrend, az ENSZ ifjúsággal, békével és biztonsággal kapcsolatos menetrendje és az ENSZ nőjogi szervezete programja – teljes körű végrehajtásának fontosságát; aktívan támogassák a nemek közötti egyenlőség általános érvényesítését az ENSZ valamennyi politikájában és programjában, biztosítva a nők és a fiatalok egyenlő részvételét a vezetésben és a többoldalú döntéshozatali folyamatokban, többek között strukturált ifjúsági tanácsadó mechanizmusok, megfelelő erőforrások biztosítása, valamint a nők és lányok jogainak a nemzetközi normákkal összhangban történő védelme és előmozdítása révén; ismerjék el, hogy a nők és a lányok aránytalanul nagy mértékben érintettek a fegyveres konfliktusokban, ugyanakkor egyben a változás erőteljes mozgatórugói a konfliktusmegelőzés, a közvetítés, a béketeremtés és a konfliktus utáni helyreállítás során; szólítsanak fel a nők teljes, egyenlő és érdemi részvételére a békefolyamatokban és a döntéshozatalban, valamint a nőkkel, a békével és a biztonsággal kapcsolatos kötelezettségvállalások végrehajtásához szükséges megfelelő források biztosítására és az elszámoltathatóságra az ENSZ békefenntartó műveletei és közvetítési erőfeszítései során;</w:t>
      </w:r>
    </w:p>
    <w:p w14:paraId="519F40C1" w14:textId="4AD3530E" w:rsidR="00E74346" w:rsidRPr="00CA5EFD" w:rsidRDefault="00E74346" w:rsidP="00E47CCB">
      <w:pPr>
        <w:pStyle w:val="NormalHangingLeft12a"/>
        <w:widowControl/>
      </w:pPr>
      <w:r w:rsidRPr="00CA5EFD">
        <w:t>i)</w:t>
      </w:r>
      <w:r w:rsidRPr="00CA5EFD">
        <w:tab/>
        <w:t>hangsúlyozzák a következő ENSZ-főtitkár közelgő kiválasztásának stratégiai fontosságát; összehangolt és átlátható módon járjanak el egy nyílt, inkluzív és érdemeken alapuló kiválasztási folyamat támogatása érdekében, azzal a céllal, hogy biztosítsák egy olyan jelölt kinevezését, aki bizonyította vezetői képességeit, független és elkötelezett az ENSZ Alapokmánya, a nemzetközi jog és a hatékony multilateralizmus iránt, és képes előmozdítani az ENSZ reformját, megerősíteni a konfliktusmegelőzést, és határozottan reagálni a jelenlegi és újonnan felmerülő globális biztonsági kihívásokra; fordítsanak kellő figyelmet a nemek közötti egyenlőség előmozdítására, amennyiben a jelöltek egyformán jól képzettek, többek között azzal a céllal, hogy női főtitkár kinevezésére kerüljön sor;</w:t>
      </w:r>
    </w:p>
    <w:p w14:paraId="6584031A" w14:textId="77777777" w:rsidR="00E74346" w:rsidRPr="00CA5EFD" w:rsidRDefault="00E74346" w:rsidP="00E47CCB">
      <w:pPr>
        <w:pStyle w:val="NormalHangingLeft12a"/>
        <w:widowControl/>
        <w:rPr>
          <w:b/>
          <w:i/>
          <w:iCs/>
          <w:szCs w:val="24"/>
        </w:rPr>
      </w:pPr>
      <w:r w:rsidRPr="00CA5EFD">
        <w:rPr>
          <w:b/>
          <w:i/>
        </w:rPr>
        <w:t>Az ENSZ rendszerének reformja</w:t>
      </w:r>
    </w:p>
    <w:p w14:paraId="1477F83B" w14:textId="282612B2" w:rsidR="00E74346" w:rsidRPr="00CA5EFD" w:rsidRDefault="00E74346" w:rsidP="00E47CCB">
      <w:pPr>
        <w:pStyle w:val="NormalHangingLeft12a"/>
        <w:widowControl/>
      </w:pPr>
      <w:bookmarkStart w:id="10" w:name="_Hlk215756362"/>
      <w:r w:rsidRPr="00CA5EFD">
        <w:t>j)</w:t>
      </w:r>
      <w:r w:rsidRPr="00CA5EFD">
        <w:tab/>
      </w:r>
      <w:bookmarkStart w:id="11" w:name="_Hlk226618203"/>
      <w:r w:rsidRPr="00CA5EFD">
        <w:t>támogassák az ENSZ rendszerének ambiciózus reformjait, és működjenek együtt az ENSZ tagállamaival, az ENSZ-rendszerrel és az ENSZ főtitkárával az ENSZ80-reformprogram előmozdítása és annak biztosítása érdekében, hogy az ENSZ képes legyen hatékonyan fellépni a három pillér – béke és biztonság, fenntartható fejlődés és emberi jogok – területén, valamint eredményesebb, hatékonyabb, pártatlan, átlátható, pénzügyileg fenntartható és reagálóképes legyen, és képes legyen kezelni a jelenlegi és újonnan felmerülő globális kihívásokat;</w:t>
      </w:r>
      <w:bookmarkEnd w:id="11"/>
    </w:p>
    <w:p w14:paraId="597AA59B" w14:textId="57A80749" w:rsidR="00E74346" w:rsidRPr="00CA5EFD" w:rsidRDefault="00E74346" w:rsidP="00E47CCB">
      <w:pPr>
        <w:pStyle w:val="NormalHangingLeft12a"/>
        <w:widowControl/>
      </w:pPr>
      <w:bookmarkStart w:id="12" w:name="_Hlk224062964"/>
      <w:r w:rsidRPr="00CA5EFD">
        <w:t>k)</w:t>
      </w:r>
      <w:r w:rsidRPr="00CA5EFD">
        <w:tab/>
        <w:t>vegyék tudomásul az ENSZ80-kezdeményezésre vonatkozó cselekvési terv következő lépéseit, és vegyenek részt azok megvalósításában annak biztosítása érdekében, hogy az ne váljon pusztán költségvetési átcsoportosítássá, amely veszélyezteti annak megfelelő működését olyan kulcsfontosságú területeken, mint az emberi jogok; aktívan vegyenek részt az ENSZ költségvetésébe befizetendő pénzügyi hozzájárulások és visszatérítések rendszerének reformjáról szóló vitákban, annak érdekében, hogy biztosítsák a hozzájárulások időben történő beszedését és az erőforrások hatékony elosztását, így eloszlatva az ENSZ-hez befizetett hozzájárulások megfelelő felhasználásával kapcsolatos aggályokat;</w:t>
      </w:r>
    </w:p>
    <w:bookmarkEnd w:id="12"/>
    <w:p w14:paraId="513011A9" w14:textId="00C984FC" w:rsidR="00E74346" w:rsidRPr="00CA5EFD" w:rsidRDefault="00E74346" w:rsidP="00E47CCB">
      <w:pPr>
        <w:pStyle w:val="NormalHangingLeft12a"/>
        <w:widowControl/>
      </w:pPr>
      <w:r w:rsidRPr="00CA5EFD">
        <w:lastRenderedPageBreak/>
        <w:t>l)</w:t>
      </w:r>
      <w:r w:rsidRPr="00CA5EFD">
        <w:tab/>
        <w:t>hangsúlyozzák, hogy más globális szereplők, különösen hagyományos szövetségeseink kivonulása esetén az EU-nak nagyobb felelősséget kell vállalnia a multilaterális intézmények, köztük az ENSZ támogatásáért, finanszírozásáért és megerősítéséért, különösen a Biztonsági Tanács reformja révén, hogy az jobban tükrözze a mai világot, valamint az ENSZ-nek és ügynökségeinek nyújtott alapvető támogatás fenntartása és növelése révén; e tekintetben működjenek együtt harmadik országokkal, például Kínával vagy az Egyesült Államokkal annak biztosítása érdekében, hogy az ENSZ rendszeréhez való önkéntes hozzájárulásaik arányosak legyenek gazdasági fejlettségükkel és az ENSZ BT tagjaként betöltött kiemelkedő szerepükkel; emlékeztessenek az Egyesült Államok alapvető szerepére az ENSZ rendszerének kiépítésében; adjanak hangot amiatti aggodalmuknak, hogy szövetségesünk megváltoztatta az ENSZ-szel és a tágabb multilaterális rendszerrel kapcsolatos hozzáállását;</w:t>
      </w:r>
      <w:r w:rsidR="00CA5EFD">
        <w:t xml:space="preserve"> </w:t>
      </w:r>
      <w:r w:rsidR="00CA5EFD" w:rsidRPr="00CA5EFD">
        <w:t>sürgessék az Egyesült Államokat mint az ENSZ BT állandó tagját, hogy teljesítse kötelezettségeit, tartsa fenn a szabályokon alapuló nemzetközi rendet és a nemzetközi jog betartását, és aktívan járuljon hozzá a békéhez;</w:t>
      </w:r>
    </w:p>
    <w:p w14:paraId="3C225EE1" w14:textId="1662DE9C" w:rsidR="00E74346" w:rsidRPr="00CA5EFD" w:rsidRDefault="00E74346" w:rsidP="00E47CCB">
      <w:pPr>
        <w:pStyle w:val="NormalHangingLeft12a"/>
        <w:widowControl/>
      </w:pPr>
      <w:r w:rsidRPr="00CA5EFD">
        <w:t>m)</w:t>
      </w:r>
      <w:r w:rsidRPr="00CA5EFD">
        <w:tab/>
        <w:t xml:space="preserve">erősítsék meg a jövőt szolgáló paktum iránti elkötelezettségüket, amely fontos lépés az ENSZ újjáélesztése, a 2030-ig tartó időszakra szóló menetrend és a fenntartható fejlődési célok elérése, valamint a nemzetközi béke és biztonság fenntartása felé; </w:t>
      </w:r>
    </w:p>
    <w:p w14:paraId="0D9EB974" w14:textId="6A02CD2D" w:rsidR="00E74346" w:rsidRPr="00CA5EFD" w:rsidRDefault="00E74346" w:rsidP="00E47CCB">
      <w:pPr>
        <w:pStyle w:val="NormalHangingLeft12a"/>
        <w:widowControl/>
        <w:rPr>
          <w:bCs/>
          <w:iCs/>
        </w:rPr>
      </w:pPr>
      <w:r w:rsidRPr="00CA5EFD">
        <w:t>n)</w:t>
      </w:r>
      <w:r w:rsidRPr="00CA5EFD">
        <w:tab/>
        <w:t>hangsúlyozzák, hogy a nemzetközi rend legitimitása és fenntarthatósága az ENSZ BT átfogó reformjától függ, amelynek célja, hogy a testület hatékonyabbá, inkluzívabbá, átláthatóbbá, demokratikusabbá és elszámoltathatóbbá váljon, biztosítva, hogy az jobban tükrözze napjaink globális realitásait, olyan feltételeket teremtve, amelyek szigorúan korlátozzák a vétó alkalmazását, amikor az – különösen háborús bűncselekmények és emberiesség elleni bűncselekmények esetén – megakadályozza az ENSZ alapvető intézkedéseit, azzal a céllal, hogy ezt a jogot a jövőben teljesen eltöröljék; hangsúlyozzák, hogy Oroszország elvesztette erkölcsi legitimitását az ENSZ Biztonsági Tanácsának állandó tagjaként azáltal, hogy nyíltan megsértette az ENSZ Alapokmányának alapelveit, különösen azáltal, hogy agressziós háborút folytat Ukrajna ellen, és vétójogával megakadályozta a saját jogellenes cselekményeire vonatkozó döntések meghozatalát;</w:t>
      </w:r>
    </w:p>
    <w:p w14:paraId="1D3D5735" w14:textId="088634A2" w:rsidR="00E74346" w:rsidRPr="00CA5EFD" w:rsidRDefault="00E74346" w:rsidP="00E47CCB">
      <w:pPr>
        <w:pStyle w:val="NormalHangingLeft12a"/>
        <w:widowControl/>
        <w:rPr>
          <w:bCs/>
          <w:iCs/>
          <w:shd w:val="clear" w:color="auto" w:fill="FFFFFF" w:themeFill="background1"/>
        </w:rPr>
      </w:pPr>
      <w:bookmarkStart w:id="13" w:name="_Hlk215756386"/>
      <w:bookmarkEnd w:id="10"/>
      <w:r w:rsidRPr="00CA5EFD">
        <w:t>o)</w:t>
      </w:r>
      <w:r w:rsidRPr="00CA5EFD">
        <w:tab/>
      </w:r>
      <w:r w:rsidRPr="00CA5EFD">
        <w:rPr>
          <w:shd w:val="clear" w:color="auto" w:fill="FFFFFF" w:themeFill="background1"/>
        </w:rPr>
        <w:t>az említett testület konszenzusra épülő jövőbeli reformjának keretében</w:t>
      </w:r>
      <w:r w:rsidRPr="00CA5EFD">
        <w:t xml:space="preserve"> törekedjenek arra, hogy a Franciaország által már betöltött hely mellett </w:t>
      </w:r>
      <w:r w:rsidRPr="00CA5EFD">
        <w:rPr>
          <w:shd w:val="clear" w:color="auto" w:fill="FFFFFF" w:themeFill="background1"/>
        </w:rPr>
        <w:t>az EU is állandó helyet kapjon az ENSZ BT-ben</w:t>
      </w:r>
      <w:r w:rsidRPr="00CA5EFD">
        <w:t>;</w:t>
      </w:r>
      <w:r w:rsidRPr="00CA5EFD">
        <w:rPr>
          <w:shd w:val="clear" w:color="auto" w:fill="FFFFFF" w:themeFill="background1"/>
        </w:rPr>
        <w:t xml:space="preserve"> törekedjenek arra, hogy az EU minden többoldalú fórumon állandó helyet kapjon annak érdekében, hogy megszilárdítsák az EU szerepét a harmadik országokkal folytatott párbeszédben;</w:t>
      </w:r>
    </w:p>
    <w:p w14:paraId="55474B58" w14:textId="1F9DD2F1" w:rsidR="00E74346" w:rsidRPr="00CA5EFD" w:rsidRDefault="00E74346" w:rsidP="00E47CCB">
      <w:pPr>
        <w:pStyle w:val="NormalHangingLeft12a"/>
        <w:widowControl/>
        <w:rPr>
          <w:bCs/>
          <w:iCs/>
        </w:rPr>
      </w:pPr>
      <w:r w:rsidRPr="00CA5EFD">
        <w:t>p)</w:t>
      </w:r>
      <w:r w:rsidRPr="00CA5EFD">
        <w:tab/>
        <w:t xml:space="preserve">fejezzék ki elismerésüket az ENSZ-nek és ügynökségeinek különösen a konfliktusövezetekben betöltött szerepükért; fokozzák a multilateralizmus támogatását az ENSZ és ügynökségei munkájához nyújtott politikai és pénzügyi támogatás növelésével, annak hangsúlyozása mellett, hogy a szervezetek közötti és szervezeten belüli rendszerszintű széttagoltsággal, a párhuzamosságokkal, valamint a megbízatások és a finanszírozás ENSZ-struktúrák és -szervek közötti összehangolás hiányával is foglalkozni kell; biztosítsák, hogy a következő többéves pénzügyi keret célzott, elegendő és kiszámítható finanszírozást nyújtson az ENSZ és ügynökségei számára; </w:t>
      </w:r>
    </w:p>
    <w:p w14:paraId="2B224690" w14:textId="6CA6DEF4" w:rsidR="00E74346" w:rsidRPr="00CA5EFD" w:rsidRDefault="00E74346" w:rsidP="00E47CCB">
      <w:pPr>
        <w:pStyle w:val="NormalHangingLeft12a"/>
        <w:widowControl/>
        <w:rPr>
          <w:bCs/>
          <w:iCs/>
        </w:rPr>
      </w:pPr>
      <w:r w:rsidRPr="00CA5EFD">
        <w:lastRenderedPageBreak/>
        <w:t>q)</w:t>
      </w:r>
      <w:r w:rsidRPr="00CA5EFD">
        <w:tab/>
        <w:t xml:space="preserve">támogassák azt az álláspontot, hogy Oroszországnak az ENSZ Biztonsági Tanácsa állandó tagjaként betöltött helye jogilag megkérdőjelezhető, mivel az ENSZ Alapokmányának 23. cikke a Szovjetuniót nevezi meg állandó tagként, nem pedig Oroszországot; </w:t>
      </w:r>
    </w:p>
    <w:p w14:paraId="5CF9C2C0" w14:textId="40C94172" w:rsidR="00E74346" w:rsidRPr="00CA5EFD" w:rsidRDefault="00E74346" w:rsidP="00E47CCB">
      <w:pPr>
        <w:pStyle w:val="NormalHangingLeft12a"/>
        <w:widowControl/>
      </w:pPr>
      <w:r w:rsidRPr="00CA5EFD">
        <w:t>r)</w:t>
      </w:r>
      <w:r w:rsidRPr="00CA5EFD">
        <w:tab/>
        <w:t>ösztönözzék arra a tagállamokat, hogy hangolják össze és koordinálják fellépéseiket az ENSZ szervein és ügynökségein belül, és törekedjenek az ENSZ különleges előadói rendszerének reformjára; ismételten hangsúlyozzák annak fontosságát, hogy valamennyi ország újra elkötelezze magát amellett, hogy teljes körű hozzáférést biztosít az ENSZ különleges előadói számára; fogadjanak el eljárásokat az ENSZ-ügynökségek megbízatását veszélyeztető esetleges elfogultságok, hatékonysági problémák, akadályok vagy korlátozások hatékony kezelésére, többek között az uniós hozzájárulások és finanszírozás tekintetében, biztosítva a személyzet megfelelő átvilágítását és felügyeletét;</w:t>
      </w:r>
    </w:p>
    <w:bookmarkEnd w:id="13"/>
    <w:p w14:paraId="74B121AE" w14:textId="03E0946D" w:rsidR="00E74346" w:rsidRPr="00CA5EFD" w:rsidRDefault="00E74346" w:rsidP="00E47CCB">
      <w:pPr>
        <w:pStyle w:val="NormalHangingLeft12a"/>
        <w:widowControl/>
      </w:pPr>
      <w:r w:rsidRPr="00CA5EFD">
        <w:t>s)</w:t>
      </w:r>
      <w:r w:rsidRPr="00CA5EFD">
        <w:tab/>
      </w:r>
      <w:bookmarkStart w:id="14" w:name="_Hlk224063337"/>
      <w:r w:rsidRPr="00CA5EFD">
        <w:t>a konszenzusépítés és a hatékony multilaterális rend előmozdítása érdekében folytassák az együttműködés erősítését a partnerekkel, különösen a hasonlóan gondolkodó országokkal, valamint a multilaterális rendszer tiszteletben tartására, az ahhoz való hozzájárulásra és annak megerősítésére hajlandó országokkal; hangsúlyozzák, hogy az ilyen együttműködésnek a multilateralizmus, a nemzetközi jog, az emberi jogok és a nemzetközi intézményeken belüli közös döntéshozatal tiszteletben tartásán kell alapulnia, biztosítva ugyanakkor az EU politikai, pénzügyi és intézményi kapacitásainak fejlesztését, hogy önállóan tudjon fellépni, amennyiben a partnerek elfordulnak a multilaterális keretektől, aláássák vagy eszközként használják fel azokat;</w:t>
      </w:r>
      <w:bookmarkEnd w:id="14"/>
      <w:r w:rsidRPr="00CA5EFD">
        <w:t xml:space="preserve"> hangsúlyozzák, hogy a multilaterális intézmények, a nemzetközi jog és az államok szuverén egyenlőségének tiszteletben tartása elengedhetetlen a globális békéhez, biztonsághoz és fenntartható fejlődéshez;</w:t>
      </w:r>
    </w:p>
    <w:p w14:paraId="4A65F98F" w14:textId="59AABD30" w:rsidR="00E74346" w:rsidRPr="00CA5EFD" w:rsidRDefault="00E74346" w:rsidP="00E47CCB">
      <w:pPr>
        <w:pStyle w:val="NormalHangingLeft12a"/>
        <w:widowControl/>
      </w:pPr>
      <w:r w:rsidRPr="00CA5EFD">
        <w:t>t)</w:t>
      </w:r>
      <w:r w:rsidRPr="00CA5EFD">
        <w:tab/>
        <w:t xml:space="preserve">az EU sürgősen, valódi és strukturált módon lépjen kapcsolatba a globális dél országaival mint egyenlő partnerekkel a globális kormányzásban, többek között a döntéshozó szervekben való fokozott képviselet, a finanszírozáshoz és a technológiához való méltányos hozzáférés, valamint a nemzetközi kezdeményezésekben való közös szerepvállalás révén olyan területeken, mint a fejlesztés, az éghajlat-politika, a digitális kormányzás és a béketeremtés; a tagállamokkal együttműködve fokozzák az EU szerepvállalását ezekben az országokban; </w:t>
      </w:r>
    </w:p>
    <w:p w14:paraId="4523CBC6" w14:textId="0628BEFF" w:rsidR="00E74346" w:rsidRPr="00CA5EFD" w:rsidRDefault="00E74346" w:rsidP="00E47CCB">
      <w:pPr>
        <w:pStyle w:val="NormalHangingLeft12a"/>
        <w:widowControl/>
      </w:pPr>
      <w:r w:rsidRPr="00CA5EFD">
        <w:t>u)</w:t>
      </w:r>
      <w:r w:rsidRPr="00CA5EFD">
        <w:tab/>
        <w:t xml:space="preserve">fokozzák az együttműködést a latin-amerikai országokkal – amelyekkel az EU számos kapcsolatot ápol, és amelyek közös elképzeléssel rendelkeznek a szabályokon és multilateralizmuson alapuló nemzetközi rendről –, tekintettel arra, hogy a két régió együttesen a szavazati jogok egyharmadát adja az ENSZ-ben; </w:t>
      </w:r>
    </w:p>
    <w:p w14:paraId="094D4931" w14:textId="6433E6F8" w:rsidR="00E74346" w:rsidRPr="00CA5EFD" w:rsidRDefault="00E74346" w:rsidP="00E47CCB">
      <w:pPr>
        <w:pStyle w:val="NormalHangingLeft12a"/>
        <w:widowControl/>
      </w:pPr>
      <w:r w:rsidRPr="00CA5EFD">
        <w:t>v)</w:t>
      </w:r>
      <w:r w:rsidRPr="00CA5EFD">
        <w:tab/>
        <w:t xml:space="preserve">emlékeztessenek az ENSZ BT és különösen állandó tagjainak a nemzetközi béke és biztonság fenntartásával és a nemzetközi jog megsértése esetén az elszámoltathatóság biztosításával kapcsolatos felelősségére, tartózkodva a kettős mércétől és a nemzetközi szabályok szelektív alkalmazásától; tárják fel, hogy miként lehetne megerősíteni az ENSZ-közgyűlés szerepét ezen a területen olyan innovatív és demokratikus szavazási rendszerek révén, amelyek révén az ENSZ-közgyűlés minősített többsége – az Egyesült Nemzetek „Egyesülve a békéért” </w:t>
      </w:r>
      <w:r w:rsidRPr="00CA5EFD">
        <w:lastRenderedPageBreak/>
        <w:t xml:space="preserve">elvével összhangban – feloldhatja az ENSZ BT vétójoga körül kialakult patthelyzetet; </w:t>
      </w:r>
    </w:p>
    <w:p w14:paraId="74FDA39B" w14:textId="3630A9FC" w:rsidR="00E74346" w:rsidRPr="00CA5EFD" w:rsidRDefault="00E74346" w:rsidP="00E47CCB">
      <w:pPr>
        <w:pStyle w:val="NormalHangingLeft12a"/>
        <w:widowControl/>
        <w:rPr>
          <w:b/>
          <w:i/>
        </w:rPr>
      </w:pPr>
      <w:r w:rsidRPr="00CA5EFD">
        <w:t>w)</w:t>
      </w:r>
      <w:r w:rsidRPr="00CA5EFD">
        <w:tab/>
        <w:t>támogassák a védelmi felelősséget, amely a fenyegetésekkel, kihívásokkal és változással foglalkozó magas szintű munkacsoport, valamint az intervenció és az állami szuverenitás nemzetközi bizottsága által javasolt, kialakulóban lévő norma, és javasolják, hogy az ENSZ keretein belül a védelmi felelősség szolgáljon alapul a súlyos veszélyben lévő lakosság védelmére irányuló kollektív fellépéshez, amennyiben kormányaik nem képesek vagy nem hajlandók cselekedni;</w:t>
      </w:r>
    </w:p>
    <w:p w14:paraId="417A6419" w14:textId="77777777" w:rsidR="00E74346" w:rsidRPr="00CA5EFD" w:rsidRDefault="00E74346" w:rsidP="00E47CCB">
      <w:pPr>
        <w:pStyle w:val="NormalHangingLeft12a"/>
        <w:widowControl/>
      </w:pPr>
      <w:r w:rsidRPr="00CA5EFD">
        <w:rPr>
          <w:b/>
          <w:i/>
        </w:rPr>
        <w:t>Béke és biztonság</w:t>
      </w:r>
      <w:bookmarkStart w:id="15" w:name="_Hlk215761387"/>
    </w:p>
    <w:p w14:paraId="0F5EF76A" w14:textId="03F605FD" w:rsidR="00E74346" w:rsidRPr="00CA5EFD" w:rsidRDefault="00E74346" w:rsidP="00E47CCB">
      <w:pPr>
        <w:pStyle w:val="NormalHangingLeft12a"/>
        <w:widowControl/>
      </w:pPr>
      <w:r w:rsidRPr="00CA5EFD">
        <w:t>x)</w:t>
      </w:r>
      <w:r w:rsidRPr="00CA5EFD">
        <w:tab/>
        <w:t>erősítsék meg, hogy határozottan elítélik Oroszország Ukrajna elleni jogellenes agressziós háborúját és a globális béke és biztonság struktúrája, többek között az ENSZ BT eszközei elleni támadásait; támogassák a teljes tűzszünetet a polgári szenvedés enyhítése érdekében, valamint az átfogó, igazságos és tartós békét Ukrajna számára, beleértve az ENSZ Alapokmányán és a nemzetközi jogon alapuló szilárd biztonsági garanciákat, amelyek megakadályozzák és azonnal ellensúlyozzák az esetleges újabb agressziót, biztosítva ugyanakkor a háborús bűncselekmények teljes körű elszámoltathatóságát és az elrabolt ukrán gyermekek, bebörtönzött polgári személyek és hadifoglyok visszatérését; támogassák az ENSZ-t olyan jogi mechanizmusok meghatározásában, amelyekkel a befagyasztott orosz vagyon mozgósítható Ukrajna újjáépítése érdekében anélkül, hogy az EU tagállamaira pénzügyi terhet róna; törekedjenek az Oroszország és szövetségesei által harmadik országbeli szervezetek és személyek ellen elkövetett kibertámadások elítélésére;</w:t>
      </w:r>
      <w:bookmarkStart w:id="16" w:name="_Hlk215655429"/>
      <w:bookmarkEnd w:id="15"/>
    </w:p>
    <w:p w14:paraId="4946594D" w14:textId="10505B6F" w:rsidR="00E74346" w:rsidRPr="00CA5EFD" w:rsidRDefault="00E74346" w:rsidP="00E47CCB">
      <w:pPr>
        <w:pStyle w:val="NormalHangingLeft12a"/>
        <w:widowControl/>
      </w:pPr>
      <w:bookmarkStart w:id="17" w:name="_Hlk224063987"/>
      <w:bookmarkEnd w:id="16"/>
      <w:r w:rsidRPr="00CA5EFD">
        <w:t>y)</w:t>
      </w:r>
      <w:r w:rsidRPr="00CA5EFD">
        <w:tab/>
        <w:t xml:space="preserve">hangsúlyozzák, hogy az Északi-Sarkvidék egyre fokozódó geopolitikai feszültségek színtere, amelyet a természeti erőforrásokért folytatott verseny és a növekvő katonai jelenlét alakít; fejezzék ki súlyos aggodalmukat Oroszországnak a régióban folytatott destabilizáló biztonsági és stratégiai tevékenységei miatt; hangsúlyozzák annak fontosságát, hogy tiszteletben tartsák a Dán Királyság és Grönland szuverenitását és területi integritását, valamint a grönlandi nép önrendelkezési jogát, megjegyezve, hogy Grönland népe határozottan ellenzi az e státusz szabad akarata és beleegyezése nélküli megváltoztatására irányuló külső kísérleteket; szólítsák fel az EU-t és partnereit, hogy támogassák Dániát és Grönlandot a régió stabilitásának a külső geopolitikai nyomással szembeni védelmében, többek között az Északi-sarkvidékkel való fokozott együttműködés révén; hangsúlyozzák, hogy az EU-nak és az ENSZ-nek nagyobb hangsúlyt kell fektetnie a stabilitásra, a konstruktív párbeszédre, valamint a nemzetközi jog és az ENSZ Alapokmányának maradéktalan tiszteletben tartására az Északi-sarkvidékkel kapcsolatos ügyekben; </w:t>
      </w:r>
    </w:p>
    <w:p w14:paraId="2ADCB6DD" w14:textId="75D05E5A" w:rsidR="00E74346" w:rsidRPr="00CA5EFD" w:rsidRDefault="00E74346" w:rsidP="00E47CCB">
      <w:pPr>
        <w:pStyle w:val="NormalHangingLeft12a"/>
        <w:widowControl/>
      </w:pPr>
      <w:bookmarkStart w:id="18" w:name="_Hlk224288496"/>
      <w:r w:rsidRPr="00CA5EFD">
        <w:t>z)</w:t>
      </w:r>
      <w:r w:rsidRPr="00CA5EFD">
        <w:tab/>
        <w:t xml:space="preserve">aktívan mozdítsák elő Grúzia ENSZ-en belüli erőteljesebb támogatását, emlékeztetve arra, hogy nemzetközileg elismert területének mintegy 20%-a továbbra is illegális orosz megszállás alatt áll; építsenek az ENSZ Emberi Jogi Tanácsának (EJT) a Grúziával való együttműködésről szóló 2024. évi konszenzusos határozatára, amelyben felszólít arra, hogy a nemzetközi emberi jogi mechanizmusok haladéktalanul és akadálytalanul beléphessenek a megszállt régiókba, és kiemeli a folyamatos jogsértéseket, többek között az Abháziában és a Csinvali régióban élő grúz etnikummal szemben; működjenek együtt az ENSZ </w:t>
      </w:r>
      <w:r w:rsidRPr="00CA5EFD">
        <w:lastRenderedPageBreak/>
        <w:t xml:space="preserve">partnereivel a nyomon követés és az elszámoltathatóság megerősítése, Grúzia szuverenitásának és területi integritásának fenntartása, a megszállt területeken fennálló emberi jogi helyzet kezelése, valamint a belső menekültek biztonságos és méltóságteljes visszatérésének támogatása érdekében, a nemzetközi joggal és az ENSZ Alapokmányával teljes összhangban; </w:t>
      </w:r>
    </w:p>
    <w:bookmarkEnd w:id="17"/>
    <w:bookmarkEnd w:id="18"/>
    <w:p w14:paraId="70601898" w14:textId="4914F3B5" w:rsidR="00E74346" w:rsidRPr="00CA5EFD" w:rsidRDefault="00E74346" w:rsidP="00E47CCB">
      <w:pPr>
        <w:pStyle w:val="NormalHangingLeft12a"/>
        <w:widowControl/>
      </w:pPr>
      <w:r w:rsidRPr="00CA5EFD">
        <w:t>aa)</w:t>
      </w:r>
      <w:r w:rsidRPr="00CA5EFD">
        <w:tab/>
        <w:t xml:space="preserve">fejezzék ki komoly aggodalmukat a Közel-Keleten zajló katonai fellépések miatt, beleértve Irán és regionális terrorszervezet-helyettesítő erőinek destabilizáló szerepét; hangsúlyozzák, hogy az Egyesült Államok és Izrael támadásait a szabályokon alapuló multilaterális rendszeren kívül hajtják végre; fejezzék ki teljes szolidaritásukat és támogatásukat az iráni nép iránt, határozottan ítéljék el az iráni rezsimet a békés tüntetések erőszakos elnyomásáért, a tömeggyilkosságokért, az önkényes fogva tartásokért és kivégzésekért, és szólítsanak fel egy független ENSZ tényfeltáró misszió létrehozására és az azzal való teljes körű együttműködésre a nemzetközi emberi jogi normák és a nemzetközi humanitárius jog valamennyi súlyos megsértése miatti elszámoltathatóság biztosítása érdekében; üdvözöljék a 2817 (2026) sz. ENSZ BT-határozat elfogadását, amely a leghatározottabban elítéli és követeli Irán Bahrein, Kuvait, Omán, Katar, Szaúd-Arábia, az Egyesült Arab Emírségek, Jordánia és Irak elleni támadásainak azonnali beszüntetését; ítéljék el Irán Izrael elleni támadásait is; fokozzák a diplomáciai erőfeszítéseket a többoldalú fórumokon, és törekedjenek szorosabb együttműködésre az EU régióbeli partnereivel a dezeszkaláció, az újjáépítés, az érdemi párbeszéd és a fenntartható regionális </w:t>
      </w:r>
      <w:r w:rsidRPr="004E08D0">
        <w:t xml:space="preserve">stabilitás előmozdítása érdekében, a nemzetközi joggal és az ENSZ elveivel összhangban; mérlegeljék a </w:t>
      </w:r>
      <w:r w:rsidR="004E08D0" w:rsidRPr="00A15BC7">
        <w:t xml:space="preserve">stabilitás szempontjából kulcsfontosságú </w:t>
      </w:r>
      <w:r w:rsidRPr="004E08D0">
        <w:t xml:space="preserve">libanoni állami struktúrák megerősítését </w:t>
      </w:r>
      <w:r w:rsidR="00CA5EFD" w:rsidRPr="004E08D0">
        <w:t>az 1701., az 1559. és az 1680. sz. ENSZ BT-határozat teljes körű végrehajtása, a fegyveres nem állami csoportok leszerelése – beleértve a Hezbollah katonai infrastruktúrájának felszámolását is –, a libanoni fegyveres erők teljes körű bevetése – többek között délen is –, valamint Libanon kérésére az 1701. sz. ENSZ BT-határozat szerinti megfelelő nemzetközi támogatás révén, támogatva ugyanakkor az Izraellel való tartós rendezésre irányuló erőfeszítéseket</w:t>
      </w:r>
      <w:r w:rsidRPr="004E08D0">
        <w:t>;</w:t>
      </w:r>
    </w:p>
    <w:p w14:paraId="3F59E8DB" w14:textId="43D649A9" w:rsidR="00CA5EFD" w:rsidRDefault="00CA5EFD" w:rsidP="00E47CCB">
      <w:pPr>
        <w:pStyle w:val="NormalHangingLeft12a"/>
        <w:widowControl/>
      </w:pPr>
      <w:r w:rsidRPr="00CA5EFD">
        <w:t>a</w:t>
      </w:r>
      <w:r w:rsidR="004E08D0">
        <w:t>b</w:t>
      </w:r>
      <w:r w:rsidRPr="00CA5EFD">
        <w:t>)</w:t>
      </w:r>
      <w:r w:rsidRPr="00CA5EFD">
        <w:tab/>
        <w:t>sürgessék az ENSZ Biztonsági Tanácsát, hogy az iráni helyzetet utalja a Nemzetközi Büntetőbíróság elé, ezáltal biztosítva a Nemzetközi Büntetőbíróság joghatóságát a nemzetközi fegyveres konfliktussal és annak tágabb regionális dimenziójával összefüggésben elkövetett bűncselekmények tekintetében annak érdekében, hogy biztosítsa az elszámoltathatóságot a valamennyi fél – köztük az állami és nem állami szereplők – által elkövetett háborús bűncselekmények, emberiesség elleni bűncselekmények és a nemzetközi büntetőjog egyéb súlyos megsértései tekintetében; hangsúlyozzák, hogy az ilyen nemzetközi elszámoltathatósági erőfeszítések részeként foglalkozni kell az iráni biztonsági erők által 2026 januárjában a polgári lakosság ellen elkövetett tömeges gyilkosságokkal</w:t>
      </w:r>
      <w:r>
        <w:t>;</w:t>
      </w:r>
    </w:p>
    <w:p w14:paraId="565E81AF" w14:textId="0F6D88FE" w:rsidR="00CA5EFD" w:rsidRDefault="00CA5EFD" w:rsidP="00E47CCB">
      <w:pPr>
        <w:pStyle w:val="NormalHangingLeft12a"/>
        <w:widowControl/>
      </w:pPr>
      <w:r w:rsidRPr="00CA5EFD">
        <w:t>a</w:t>
      </w:r>
      <w:r w:rsidR="004E08D0">
        <w:t>c</w:t>
      </w:r>
      <w:r w:rsidRPr="00CA5EFD">
        <w:t>)</w:t>
      </w:r>
      <w:r w:rsidRPr="00CA5EFD">
        <w:tab/>
        <w:t xml:space="preserve">határozottan ítéljék el a polgári objektumok – többek között iskolák és lakóövezetek – elleni támadásokat, amelyek gyermekek halálához vezettek, és a nemzetközi humanitárius jog súlyos megsértésének minősülhetnek; emlékeztessenek arra, hogy a polgári objektumok elleni támadások tilalma a nemzetközi humanitárius jog egyik legalapvetőbb elve, emlékeztessenek továbbá arra, hogy a gyermekek a nemzetközi jog értelmében különleges védelemre </w:t>
      </w:r>
      <w:r w:rsidRPr="00CA5EFD">
        <w:lastRenderedPageBreak/>
        <w:t>jogosultak, és szólítsanak fel az ellenük elkövetett valamennyi jogsértésért való teljes körű elszámoltathatóságra;</w:t>
      </w:r>
    </w:p>
    <w:p w14:paraId="319C7708" w14:textId="7741FE70" w:rsidR="00E74346" w:rsidRPr="00CA5EFD" w:rsidRDefault="00E74346" w:rsidP="00E47CCB">
      <w:pPr>
        <w:pStyle w:val="NormalHangingLeft12a"/>
        <w:widowControl/>
      </w:pPr>
      <w:r w:rsidRPr="00CA5EFD">
        <w:t>a</w:t>
      </w:r>
      <w:r w:rsidR="004E08D0">
        <w:t>d</w:t>
      </w:r>
      <w:r w:rsidRPr="00CA5EFD">
        <w:t>)</w:t>
      </w:r>
      <w:r w:rsidRPr="00CA5EFD">
        <w:tab/>
        <w:t xml:space="preserve">vegyék tudomásul a gázai konfliktus lezárására irányuló átfogó tervről szóló, 2025. november 17-i 2803. sz. ENSZ BT-határozatot; hangsúlyozzák annak fontosságát, hogy tovább vizsgálják az új mechanizmusok és az ENSZ Alapokmánya szerinti meglévő nemzetközi béke- és biztonsági struktúrák közötti szinergiákat és együttműködési lehetőségeket; aktívan működjenek együtt a tagállamokkal egy olyan tartós tűzszünet elérése érdekében, amelyet ténylegesen végrehajtanak és tiszteletben tartanak, valamint a kétállami megoldás teljes körű megvalósítása érdekében; </w:t>
      </w:r>
      <w:r w:rsidR="0085316C" w:rsidRPr="0085316C">
        <w:t>hangsúlyozzák, hogy Gáza fenntartható jövője megköveteli a Hamász és más fegyveres csoportok demilitarizálását Gázában, és hogy ezek a csoportok semmilyen szerepet nem játszhatnak a terület kormányzásában és igazgatásában</w:t>
      </w:r>
      <w:r w:rsidR="00840AB0">
        <w:t xml:space="preserve">; </w:t>
      </w:r>
      <w:r w:rsidRPr="00CA5EFD">
        <w:t xml:space="preserve">ítéljék el a nemzetközi humanitárius jog mindennemű megsértését, beleértve a háborús bűncselekményeket is; </w:t>
      </w:r>
    </w:p>
    <w:p w14:paraId="5A8F3277" w14:textId="3C01A9DB" w:rsidR="00E74346" w:rsidRPr="00CA5EFD" w:rsidRDefault="00E74346" w:rsidP="00E47CCB">
      <w:pPr>
        <w:pStyle w:val="NormalHangingLeft12a"/>
        <w:widowControl/>
      </w:pPr>
      <w:r w:rsidRPr="00CA5EFD">
        <w:t>a</w:t>
      </w:r>
      <w:r w:rsidR="004E08D0">
        <w:t>e</w:t>
      </w:r>
      <w:r w:rsidRPr="00CA5EFD">
        <w:t>)</w:t>
      </w:r>
      <w:r w:rsidRPr="00CA5EFD">
        <w:tab/>
        <w:t>ítéljék el Izrael azon egyoldalú fellépéseit, amelyek a Ciszjordániában való jelenlétének kiterjesztésére irányulnak, továbbá az izraeli telepek bővítését Ciszjordániában, amelyet a Nemzetközi Bíróság (NB) 2024. július 19-i tanácsadó véleményében jogellenesnek nyilvánított, a szélsőséges telepesek által elkövetett erőszak fokozódását, a palesztinok kényszerű lakóhelyelhagyását</w:t>
      </w:r>
      <w:r w:rsidR="00CA5EFD" w:rsidRPr="00CA5EFD">
        <w:t>, valamint a Knesszet által jóváhagyott törvényjavaslatot, amely kiterjeszti a halálbüntetés alkalmazását mind a katonai, mind a polgári bíróságokon</w:t>
      </w:r>
      <w:r w:rsidRPr="00CA5EFD">
        <w:t xml:space="preserve">; </w:t>
      </w:r>
      <w:r w:rsidR="00840AB0" w:rsidRPr="00840AB0">
        <w:t xml:space="preserve">aktívan munkálkodjanak az ENSZ BT célzott korlátozó intézkedéseinek elfogadásán a ciszjordániai palesztinok elleni támadásokért felelős erőszakos izraeli telepesekkel szemben, összhangban az Európai Tanácsnak a globális emberi jogi szankciórendszer keretében elfogadott, 2026. május 11-i következtetéseivel; </w:t>
      </w:r>
      <w:r w:rsidRPr="00CA5EFD">
        <w:t>sürgessék az összes felet, hogy teljes mértékben tegyenek eleget a nemzetközi jog szerinti kötelezettségeiknek a kétállami megoldáson alapuló igazságos, átfogó és tartós béke céljának elérése érdekében; hagyják jóvá a következő többéves pénzügyi keretben a Gáza újjáépítését célzó uniós eszközt, amely elegendő és kiszámítható pénzügyi támogatást nyújt az újjáépítéshez és a demokratikus palesztin kormányzáshoz, és hozzájárul a kétállami megoldás megvalósításához;</w:t>
      </w:r>
    </w:p>
    <w:p w14:paraId="428FE0CA" w14:textId="26DDFD71" w:rsidR="00E74346" w:rsidRPr="00CA5EFD" w:rsidRDefault="00E74346" w:rsidP="00E47CCB">
      <w:pPr>
        <w:pStyle w:val="NormalHangingLeft12a"/>
        <w:widowControl/>
      </w:pPr>
      <w:bookmarkStart w:id="19" w:name="_Hlk225412487"/>
      <w:r w:rsidRPr="00CA5EFD">
        <w:t>a</w:t>
      </w:r>
      <w:r w:rsidR="004E08D0">
        <w:t>f</w:t>
      </w:r>
      <w:r w:rsidRPr="00CA5EFD">
        <w:t>)</w:t>
      </w:r>
      <w:r w:rsidRPr="00CA5EFD">
        <w:tab/>
        <w:t xml:space="preserve">erősítsék meg az Egyesült Nemzetek Szervezetének a közel-keleti palesztin menekülteket segélyező hivatala (UNRWA) szerepét a Gázában és a tágabb régióban tartózkodó palesztin menekülteknek nyújtott humanitárius segítségnyújtásban és alapvető szolgáltatások – többek között az egészségügyi ellátás és az oktatás – biztosításában, megjegyezve, hogy jelenleg nem létezik működőképes alternatíva feladatainak átvételére; </w:t>
      </w:r>
      <w:bookmarkStart w:id="20" w:name="_Hlk225417994"/>
      <w:r w:rsidRPr="00CA5EFD">
        <w:t xml:space="preserve">továbbra is kövessék nyomon az UNRWA munkáját és pártatlanságát, biztosítva a hiteles biztonsági garanciákat és a nemzetközi jognak való teljes körű megfelelést, beleértve a Colonna-jelentés végrehajtását is; üdvözöljék az e tekintetben elért eredményekről szóló jelentéseket, és sürgessék a jelentés ajánlásainak teljes körű és gyors elfogadását az UNRWA semlegességi biztosítékainak és belső ellenőrzési rendszereinek megerősítése érdekében; kövessék nyomon az UNRWA által előterjesztett cselekvési terv alkalmazását; szólítsanak fel az UNRWA megbízatásának és finanszírozásának teljes körű visszaállítására, szigorú felügyelet és elszámoltathatóság mellett; hangsúlyozzák, hogy a terrorizmussal való együttműködés vagy a terrorizmussal szembeni tolerancia összes formája </w:t>
      </w:r>
      <w:r w:rsidRPr="00CA5EFD">
        <w:lastRenderedPageBreak/>
        <w:t>alapvetően aláássa a humanitárius elveket, a regionális stabilitást és a békekilátásokat</w:t>
      </w:r>
      <w:bookmarkEnd w:id="20"/>
      <w:r w:rsidRPr="00CA5EFD">
        <w:t xml:space="preserve">; </w:t>
      </w:r>
    </w:p>
    <w:p w14:paraId="24AF6BE4" w14:textId="0ACE14A0" w:rsidR="00E74346" w:rsidRPr="00CA5EFD" w:rsidRDefault="00E74346" w:rsidP="00E47CCB">
      <w:pPr>
        <w:pStyle w:val="NormalHangingLeft12a"/>
        <w:widowControl/>
      </w:pPr>
      <w:r w:rsidRPr="00CA5EFD">
        <w:t>a</w:t>
      </w:r>
      <w:r w:rsidR="004E08D0">
        <w:t>g</w:t>
      </w:r>
      <w:r w:rsidRPr="00CA5EFD">
        <w:t>)</w:t>
      </w:r>
      <w:r w:rsidRPr="00CA5EFD">
        <w:tab/>
        <w:t>építsenek a Bizottság érintett oktatási hatóságokkal való folyamatos együttműködésére, és hangsúlyozzák annak fontosságát, hogy az oktatási tantervek az együttélést, a toleranciát, a megbékélést és az emberi jogok tiszteletét mozdítsák elő</w:t>
      </w:r>
      <w:r w:rsidR="00840AB0">
        <w:t xml:space="preserve"> </w:t>
      </w:r>
      <w:r w:rsidR="00840AB0" w:rsidRPr="00840AB0">
        <w:t>mind Izraelben, mind Palesztinában</w:t>
      </w:r>
      <w:r w:rsidRPr="00CA5EFD">
        <w:t xml:space="preserve">, összhangban az UNESCO normáival; üdvözöljék, hogy a Bizottság továbbra is együttműködik a Palesztin Hatósággal a tantervi reform terén, valamint a 2025-ben bejelentett kézzelfogható előrelépést, beleértve a tankönyveknek a Palesztin Oktatási és Felsőoktatási Minisztérium általi, folyamatban lévő felülvizsgálatát és módosítását az UNESCO normáival való összhang biztosítása érdekében; sürgessék a Palesztin Hatóságot, hogy távolítson el minden olyan oktatási anyagot és tartalmat, amely nem felel meg az UNESCO normáinak, különösen az antiszemitizmust, valamint az erőszakra és terrorizmusra való felbujtást tartalmazó anyagokat és tartalmakat, amelyeknek gyermekek nem lehetnek kitéve; </w:t>
      </w:r>
      <w:r w:rsidR="00840AB0" w:rsidRPr="00840AB0">
        <w:t>hangsúlyozzák a gyűlöletbeszéd és az erőszakos magatartás minden formája elítélésének és felszámolásának fontosságát mind az izraeli, mint pedig a palesztin oldal részéről, függetlenül a kontextustól; hangsúlyozzák az oktatás fontosságát a kétállami megoldás megvalósításának előmozdítása szempontjából; ismételten erősítsék meg az EU álláspontját, miszerint mindkét oldalon valamennyi iskolai tankönyvnek és oktatási anyagnak meg kell felelnie az UNESCO békére, toleranciára, együttélésre és erőszakmentességre vonatkozó normáinak;</w:t>
      </w:r>
    </w:p>
    <w:bookmarkEnd w:id="19"/>
    <w:p w14:paraId="78CAE0BE" w14:textId="41BC4726" w:rsidR="00E74346" w:rsidRDefault="00E74346" w:rsidP="00E47CCB">
      <w:pPr>
        <w:pStyle w:val="NormalHangingLeft12a"/>
        <w:widowControl/>
      </w:pPr>
      <w:r w:rsidRPr="00CA5EFD">
        <w:t>a</w:t>
      </w:r>
      <w:r w:rsidR="004E08D0">
        <w:t>h</w:t>
      </w:r>
      <w:r w:rsidRPr="00CA5EFD">
        <w:t>)</w:t>
      </w:r>
      <w:r w:rsidRPr="00CA5EFD">
        <w:tab/>
        <w:t xml:space="preserve">újólag erősítsék meg az EU teljes elkötelezettségét valamennyi tagállama szuverenitásának, függetlenségének és területi integritásának tiszteletben tartása iránt, az ENSZ Alapokmányával összhangban; hangsúlyozzák, hogy a török csapatoknak a Ciprusi Köztársaság – egy uniós tagállam – területén való folyamatos illegális jelenléte a nemzetközi jog és az alapvető emberi jogok megsértését jelenti, és ezért szólítsanak fel a török megszálló erők azonnali és teljes kivonására, valamennyi menekült hazatéréshez való jogának biztosítására, valamint valamennyi eltűnt személy sorsának tisztázására; továbbra is támogassák a ciprusi rendezési tárgyalások gyors újraindítását az ENSZ által elfogadott keretek között, a vonatkozó ENSZ-határozatokkal összhangban politikai egyenlőséggel rendelkező, két zónából és két közösségből álló föderáció alapján, és figyelmeztessenek minden olyan egyoldalú fellépésre, amely összeegyeztethetetlen a békés rendezéssel; szólítsanak fel a pufferzóna jogállásának és az ENSZ ciprusi békefenntartó erői megbízatásának tiszteletben tartására; támogassák az ENSZ-főtitkár Ciprusért felelős személyes megbízottjának és az EU ciprusi különmegbízottjának munkáját; </w:t>
      </w:r>
    </w:p>
    <w:p w14:paraId="1650E50B" w14:textId="497D75B2" w:rsidR="00840AB0" w:rsidRPr="00CA5EFD" w:rsidRDefault="00840AB0" w:rsidP="00E47CCB">
      <w:pPr>
        <w:pStyle w:val="NormalHangingLeft12a"/>
        <w:widowControl/>
      </w:pPr>
      <w:r w:rsidRPr="00840AB0">
        <w:t>a</w:t>
      </w:r>
      <w:r w:rsidR="004E08D0">
        <w:t>i</w:t>
      </w:r>
      <w:r w:rsidRPr="00840AB0">
        <w:t>)</w:t>
      </w:r>
      <w:r w:rsidRPr="00840AB0">
        <w:tab/>
        <w:t>határozottan ítéljék el olyan államok képviselőinek kinevezését az ENSZ nőjogi és emberi jogi testületeibe, amelyek rendszerszintű megkülönböztetést alkalmaznak a nőkkel szemben;</w:t>
      </w:r>
    </w:p>
    <w:p w14:paraId="1A1CCDD7" w14:textId="6D191896" w:rsidR="00E74346" w:rsidRDefault="00E74346" w:rsidP="00E47CCB">
      <w:pPr>
        <w:pStyle w:val="NormalHangingLeft12a"/>
        <w:widowControl/>
      </w:pPr>
      <w:r w:rsidRPr="00CA5EFD">
        <w:t>a</w:t>
      </w:r>
      <w:r w:rsidR="004E08D0">
        <w:t>j</w:t>
      </w:r>
      <w:r w:rsidRPr="00CA5EFD">
        <w:t>)</w:t>
      </w:r>
      <w:r w:rsidRPr="00CA5EFD">
        <w:tab/>
        <w:t xml:space="preserve">hangsúlyozzák, hogy a szíriai politikai és biztonsági átmenet továbbra is törékeny, és azt továbbra is bizonytalanság, az emberi jogok súlyos megsértése, lakóhelyelhagyás, valamint a vallási és etnikai közösségek elleni támadások jellemzik; álljanak ki Szíria sokszínű társadalma mellett, amely több mint egy évtizede szenved az Irán és Oroszország által támogatott Aszad-rezsim és terrorista csoportok uralma alatt; támogassák a szíriai vezetésű és szíriai </w:t>
      </w:r>
      <w:r w:rsidRPr="00CA5EFD">
        <w:lastRenderedPageBreak/>
        <w:t xml:space="preserve">felelősségvállalással zajló inkluzív politikai folyamatot, amely védelmezi a területi integritást és a megbékélést; szólítsák fel a szíriai hatóságokat, hogy a szíriai társadalom valamennyi elemét vonják be a döntéshozatalba, és biztosítsák a vallási és etnikai kisebbségek ellen irányuló cselekmények gyors, átlátható és független kivizsgálását a vallási alapú erőszak és a büntetlenség elleni küzdelem érdekében; hangsúlyozzák, hogy e folyamat támogatása érdekében az EU és az ENSZ összehangolt szerepvállalására van szükség, beleértve a szíriai átmeneti kormány és a kurd vezetés között 2026. január 29-én létrejött integrációs megállapodást is; </w:t>
      </w:r>
    </w:p>
    <w:p w14:paraId="0A06489C" w14:textId="76D1140C" w:rsidR="00840AB0" w:rsidRPr="00CA5EFD" w:rsidRDefault="00840AB0" w:rsidP="00E47CCB">
      <w:pPr>
        <w:pStyle w:val="NormalHangingLeft12a"/>
        <w:widowControl/>
      </w:pPr>
      <w:r w:rsidRPr="00840AB0">
        <w:t>a</w:t>
      </w:r>
      <w:r w:rsidR="004E08D0">
        <w:t>k</w:t>
      </w:r>
      <w:r w:rsidRPr="00840AB0">
        <w:t>)</w:t>
      </w:r>
      <w:r w:rsidRPr="00840AB0">
        <w:tab/>
        <w:t>ismételten hangsúlyozzák, hogy a nemzetközi emberi jogi mechanizmusokat nem szabad arra használni, hogy de facto migrációs jogokat teremtsenek, vagy aláássák az államok szuverén jogát határaik és migrációs politikáik ellenőrzésére</w:t>
      </w:r>
      <w:r>
        <w:t>;</w:t>
      </w:r>
    </w:p>
    <w:p w14:paraId="5E116B79" w14:textId="4DFAFD61" w:rsidR="00E74346" w:rsidRPr="00CA5EFD" w:rsidRDefault="00E74346" w:rsidP="00E47CCB">
      <w:pPr>
        <w:pStyle w:val="NormalHangingLeft12a"/>
        <w:widowControl/>
      </w:pPr>
      <w:r w:rsidRPr="00CA5EFD">
        <w:t>a</w:t>
      </w:r>
      <w:r w:rsidR="004E08D0">
        <w:t>l</w:t>
      </w:r>
      <w:r w:rsidRPr="00CA5EFD">
        <w:t>)</w:t>
      </w:r>
      <w:r w:rsidRPr="00CA5EFD">
        <w:tab/>
        <w:t xml:space="preserve">határozottan lépjenek fel az afganisztáni de facto hatóságokkal és romló humanitárius helyzettel szemben; folytassák és növeljék az afgán népnek, különösen a nőknek és lányoknak nyújtott uniós támogatást, akiknek jogait a tálibok folyamatosan megsértik; szólítsák fel a tálibokat, hogy töröljék el azokat a korlátozásokat, amelyek korlátozzák a nők és lányok egyenlő hozzáférését az oktatáshoz és a közéletben való részvételhez; ragaszkodjanak ahhoz, hogy a de facto hatóságokkal való kapcsolattartás továbbra is szigorú feltételekhez kötött maradjon, összhangban az EU által meghatározott kritériumokkal és az ENSZ különleges előadójának ajánlásaival; vonják felelősségre az afganisztáni de facto hatóságokat a Nemzetközi Büntetőbíróság (NBB) és az ENSZ független vizsgálati mechanizmusa által végzett vizsgálatok révén; </w:t>
      </w:r>
    </w:p>
    <w:p w14:paraId="5D54EDE7" w14:textId="30D7572B" w:rsidR="00E74346" w:rsidRDefault="00E74346" w:rsidP="00E47CCB">
      <w:pPr>
        <w:pStyle w:val="NormalHangingLeft12a"/>
        <w:widowControl/>
      </w:pPr>
      <w:r w:rsidRPr="00CA5EFD">
        <w:t>a</w:t>
      </w:r>
      <w:r w:rsidR="004E08D0">
        <w:t>m</w:t>
      </w:r>
      <w:r w:rsidRPr="00CA5EFD">
        <w:t>)</w:t>
      </w:r>
      <w:r w:rsidRPr="00CA5EFD">
        <w:tab/>
        <w:t>aktívan vegyenek részt a Tajvani-szorosban és a Dél-kínai-tengeren tapasztalható helyzet további eszkalálódását megakadályozó diplomáciai erőfeszítésekben, és ellenezzék a status quo bármilyen egyoldalú, kényszerítéssel vagy erővel történő megváltoztatását; működjenek együtt a hasonlóan gondolkodó partnerekkel a régió stabilitásának és biztonságának megerősítése, valamint a kényszerítő vagy katonai fellépésekkel szembeni elrettentés fokozása érdekében; továbbra is védelmezzék az erőszak alkalmazása ENSZ Alapokmányában foglalt tilalmának elvét; hangsúlyozzák, hogy a 2758. sz. ENSZ-határozat nem rendelkezik Tajvan szuverenitásáról, Tajvant nem is említi, és nem használható fel Tajvan nemzetközi rendszerből való kizárására; a nemzetközi közösség érdekében növeljék Tajvan érdemi részvételének uniós támogatását olyan nemzetközi szervezetekben, amelyek tagsága vagy tevékenységei nem kizárólag államokra korlátozódnak, ideértve azokat a szervezeteket is, ahol lehetséges a megfigyelői státusz; szólítsa fel az ENSZ-t, hogy biztosítson hozzáférést az ENSZ rendezvényeihez a tajvani útlevéllel rendelkező aktivisták, civil társadalmi képviselők és újságírók számára;</w:t>
      </w:r>
    </w:p>
    <w:p w14:paraId="4B862F58" w14:textId="5037D9CC" w:rsidR="00840AB0" w:rsidRPr="00CA5EFD" w:rsidRDefault="00840AB0" w:rsidP="00E47CCB">
      <w:pPr>
        <w:pStyle w:val="NormalHangingLeft12a"/>
        <w:widowControl/>
      </w:pPr>
      <w:r w:rsidRPr="00840AB0">
        <w:t>a</w:t>
      </w:r>
      <w:r w:rsidR="004E08D0">
        <w:t>n</w:t>
      </w:r>
      <w:r w:rsidRPr="00840AB0">
        <w:t>)</w:t>
      </w:r>
      <w:r w:rsidRPr="00840AB0">
        <w:tab/>
        <w:t>ösztönözzék a Thaiföldi Királyságot és a Kambodzsai Királyságot a viták békés és diplomáciai párbeszéd útján történő rendezésére, teljes mértékben kihasználva a meglévő kétoldalú, regionális és nemzetközi mechanizmusokat az Egyesült Nemzetek Alapokmányával, valamint a vonatkozó szerződésekkel és megállapodásokkal összhangban;</w:t>
      </w:r>
    </w:p>
    <w:p w14:paraId="1E3794CE" w14:textId="09AB4466" w:rsidR="00E74346" w:rsidRPr="00CA5EFD" w:rsidRDefault="00E74346" w:rsidP="00E47CCB">
      <w:pPr>
        <w:pStyle w:val="NormalHangingLeft12a"/>
        <w:widowControl/>
      </w:pPr>
      <w:r w:rsidRPr="00CA5EFD">
        <w:t>a</w:t>
      </w:r>
      <w:r w:rsidR="004E08D0">
        <w:t>o</w:t>
      </w:r>
      <w:r w:rsidRPr="00CA5EFD">
        <w:t>)</w:t>
      </w:r>
      <w:r w:rsidRPr="00CA5EFD">
        <w:tab/>
        <w:t xml:space="preserve">fokozzák az Unió mint Afrika választott biztonsági partnere szerepét azáltal, hogy megerősítik az EU, az Afrikai Unió és az ENSZ közötti együttműködést a konfliktusmegelőzés, a közvetítés és a válságreagálás terén, többek között az </w:t>
      </w:r>
      <w:r w:rsidRPr="00CA5EFD">
        <w:lastRenderedPageBreak/>
        <w:t xml:space="preserve">afrikai vezetésű béketámogató műveletek kiszámítható és fenntartható finanszírozása révén, különösen az Afrikai Béke- és Biztonsági Szervezeten és adott esetben az ENSZ által értékelt hozzájárulásokon keresztül; kezeljék az akut és egymással összefüggő biztonsági és humanitárius válságokat a Száhel-övezetben, Afrika szarván, Szudánban és a Kongói Demokratikus Köztársaságban, beleértve a dzsihádista terrorizmus terjedését, az erőszakos szélsőségességet, a katonai puccsokat és az államok instabilitását; nyíltan ítéljék el a KDK keleti részén továbbra is fennálló erőszakot és bizonytalanságot, vállaljanak aktív és összehangolt szerepet a békefolyamatban, valamint szólítsanak fel az igazságszolgáltatás előmozdítására, a büntetlenség elleni küzdelemre és az ENSZ feltérképező jelentésének teljes körű nyomon követésének biztosítására irányuló megújított nemzetközi erőfeszítésekre, beleértve a szankciók alkalmazását is; szólítsanak fel a jelenleg Dárfúrra alkalmazandó fegyverembargó-rendszer Szudán többi részére való kiterjesztésére a tartós szudáni tűzszünet elérése érdekében; reagáljanak a nemzetközi missziók visszavonása és a destabilizáló külső szereplők, többek között az orosz zsoldoshálózatok és a hibrid beavatkozás növekvő jelenléte által súlyosbított biztonsági vákuumokra; biztosítsák, hogy az EU valamennyi biztonsági szerepvállalása a helyi felelősségvállaláson, a demokratikus elszámoltathatóságon, a nemek közötti egyenlőségen, valamint a humanitárius segítségnyújtás, a fejlesztés és a béke közötti kapcsolaton alapuljon, összhangban az ENSZ békeépítésre, valamint a nőkre, a békére és a biztonságra vonatkozó kereteivel; </w:t>
      </w:r>
    </w:p>
    <w:p w14:paraId="55546D2A" w14:textId="0A6BB601" w:rsidR="00E74346" w:rsidRPr="00CA5EFD" w:rsidRDefault="00E74346" w:rsidP="00E47CCB">
      <w:pPr>
        <w:pStyle w:val="NormalHangingLeft12a"/>
        <w:widowControl/>
      </w:pPr>
      <w:r w:rsidRPr="00CA5EFD">
        <w:t>a</w:t>
      </w:r>
      <w:r w:rsidR="004E08D0">
        <w:t>p</w:t>
      </w:r>
      <w:r w:rsidRPr="00CA5EFD">
        <w:t>)</w:t>
      </w:r>
      <w:r w:rsidRPr="00CA5EFD">
        <w:tab/>
        <w:t>továbbra is működjenek együtt az ENSZ-szel a globális biztonsági kihívások konfliktusmegelőzés, közvetítés, békeépítés, válságkezelés és terrorizmus elleni küzdelem révén történő kezelése érdekében, az EU és az ENSZ közötti, a békére és biztonságra irányuló stratégiai partnerséggel összhangban; ismerjék el az ENSZ békeműveleteinek alapvető fontosságú szerepét, és használják ki e műveletek jövőjének felülvizsgálatát annak biztosítására, hogy azok napjaink biztonsági helyzetéhez igazodjanak; szólítsanak fel az önvédelem elvének hatályát és alkalmazhatóságát meghatározó szükséges jogi eszközök létrehozására annak érdekében, hogy megfelelően lehessen kezelni a nem állami szereplőktől eredő fenyegetéseket a növekvő aszimmetrikus hadviselés és hibrid intézkedések korában; hangsúlyozzák a demokrácia támogatása és a nemzetközi biztonság közötti kapcsolatot; a Szerződésben foglalt kötelezettségekkel összhangban növeljék a demokrácia előmozdításához nyújtott támogatást, többek között a választási megfigyelés terén;</w:t>
      </w:r>
    </w:p>
    <w:p w14:paraId="22ECC54B" w14:textId="6131F9A3" w:rsidR="00E74346" w:rsidRPr="00CA5EFD" w:rsidRDefault="00E74346" w:rsidP="00E47CCB">
      <w:pPr>
        <w:pStyle w:val="NormalHangingLeft12a"/>
        <w:widowControl/>
      </w:pPr>
      <w:r w:rsidRPr="00CA5EFD">
        <w:t>a</w:t>
      </w:r>
      <w:r w:rsidR="004E08D0">
        <w:t>q</w:t>
      </w:r>
      <w:r w:rsidRPr="00CA5EFD">
        <w:t>)</w:t>
      </w:r>
      <w:r w:rsidRPr="00CA5EFD">
        <w:tab/>
        <w:t xml:space="preserve">ismételten hangsúlyozzák, hogy a nők döntő szerepet játszanak a konfliktusközvetítésben és a békefenntartó missziókban; emlékeztessenek arra, hogy a nők az ENSZ és az EU misszióiban minden szinten alulreprezentáltak, és hogy a nők és lányok védelme a konfliktushelyzetekben és a konfliktus utáni helyzetekben alapvető fontosságú; hangsúlyozzák annak alapvető fontosságát, hogy a konfliktushelyzetekben és a konfliktus utáni helyzetekben biztosítsák a nők és lányok számára a szexuális és reproduktív egészséghez és jogokhoz való teljes körű hozzáférést; </w:t>
      </w:r>
    </w:p>
    <w:p w14:paraId="70598A56" w14:textId="5542C1AC" w:rsidR="00E74346" w:rsidRPr="00CA5EFD" w:rsidRDefault="00E74346" w:rsidP="00E47CCB">
      <w:pPr>
        <w:pStyle w:val="NormalHangingLeft12a"/>
        <w:widowControl/>
      </w:pPr>
      <w:r w:rsidRPr="00CA5EFD">
        <w:t>a</w:t>
      </w:r>
      <w:r w:rsidR="004E08D0">
        <w:t>r</w:t>
      </w:r>
      <w:r w:rsidRPr="00CA5EFD">
        <w:t>)</w:t>
      </w:r>
      <w:r w:rsidRPr="00CA5EFD">
        <w:tab/>
        <w:t xml:space="preserve">ismerjék el az új fegyverkezési versenyből és a globális leszerelési erőfeszítések gyengüléséből eredő súlyos kockázatokat, amelyek nagyrészt Oroszország, Kína és Észak-Korea nukleáris jelenlétének fokozódásából erednek, miután Oroszország 2023-ban egyoldalúan felfüggesztette az új START-szerződésnek </w:t>
      </w:r>
      <w:r w:rsidRPr="00CA5EFD">
        <w:lastRenderedPageBreak/>
        <w:t>való megfelelést; szólítsák fel a nukleáris fegyverrel rendelkező összes államot, hogy állítsák le nukleáris arzenáljuk mennyiségi és minőségi bővítését, és vegyenek részt a kockázatcsökkentési, átláthatósági és fegyverzet-ellenőrzési folyamatokban; továbbra is védjék és erősítsék meg a nonproliferációt és a fegyverzet-ellenőrzést szabályozó multilaterális kereteket, valamint a fegyverek és a kettős felhasználású termékek és technológiák kivitelét szabályozó kereteket; támogassák és erősítsék meg a vegyi és biológiai fegyverek gyártása, felhalmozása és felhasználása elleni többoldalú eszközöket;</w:t>
      </w:r>
    </w:p>
    <w:p w14:paraId="361CF902" w14:textId="7D0CCD0E" w:rsidR="00E74346" w:rsidRPr="00CA5EFD" w:rsidRDefault="00E74346" w:rsidP="00E47CCB">
      <w:pPr>
        <w:pStyle w:val="NormalHangingLeft12a"/>
        <w:widowControl/>
      </w:pPr>
      <w:r w:rsidRPr="00CA5EFD">
        <w:t>a</w:t>
      </w:r>
      <w:r w:rsidR="004E08D0">
        <w:t>s</w:t>
      </w:r>
      <w:r w:rsidRPr="00CA5EFD">
        <w:t>)</w:t>
      </w:r>
      <w:r w:rsidRPr="00CA5EFD">
        <w:tab/>
        <w:t>fokozzák a büntetlenség megszüntetésére és a nemzetközi jog megsértésével kapcsolatos elszámoltathatóság biztosítására irányuló erőfeszítéseiket, többek között az emberiesség elleni bűncselekmények megelőzéséről és büntetéséről szóló egyezmény gyors elfogadásának támogatása, a nemzetközi bűncselekmények független kivizsgálásának megerősítése, valamint a Nemzetközi Büntetőbíróság és a Nemzetközi Bíróság mint alapvető, független és pártatlan igazságügyi intézmények teljes körű támogatása révén, többek között a Római Statútum fenntartásával és a Nemzetközi Bíróság végzései és ítéletei kötelező jellegének elismerésével; fejezzék ki sajnálatukat a Nemzetközi Büntetőbíróságot – többek között az Egyesült Államok részéről – érő példátlan fenyegetések miatt, és szólítsanak fel a blokkoló intézkedésekről szóló uniós rendelet</w:t>
      </w:r>
      <w:r w:rsidRPr="00CA5EFD">
        <w:rPr>
          <w:rStyle w:val="FootnoteReference"/>
        </w:rPr>
        <w:footnoteReference w:id="6"/>
      </w:r>
      <w:r w:rsidRPr="00CA5EFD">
        <w:t xml:space="preserve"> aktiválására, hatékony alkalmazására és megerősítésére a nemzetközi igazságügyi szervek, különösen a Nemzetközi Büntetőbíróság és a Nemzetközi Bíróság, valamint az e bíróságokkal együttműködő és azokat támogató szervek függetlenségének és működésének védelme érdekében; </w:t>
      </w:r>
    </w:p>
    <w:p w14:paraId="10898DA2" w14:textId="6F238FAA" w:rsidR="00E74346" w:rsidRPr="00CA5EFD" w:rsidRDefault="00E74346" w:rsidP="00E47CCB">
      <w:pPr>
        <w:pStyle w:val="NormalHangingLeft12a"/>
        <w:widowControl/>
      </w:pPr>
      <w:r w:rsidRPr="00CA5EFD">
        <w:t>a</w:t>
      </w:r>
      <w:r w:rsidR="004E08D0">
        <w:t>t</w:t>
      </w:r>
      <w:r w:rsidRPr="00CA5EFD">
        <w:t>)</w:t>
      </w:r>
      <w:r w:rsidRPr="00CA5EFD">
        <w:tab/>
        <w:t xml:space="preserve">szólítsanak fel a nemzetközi szankciórendszerek átfogó felülvizsgálatára a nagyobb hatékonyság, koherencia és elszámoltathatóság biztosítása érdekében, elkerülve ugyanakkor azok átpolitizálódását és minimalizálva a polgári lakosságra gyakorolt potenciálisan negatív hatásukat, a nemzetközi joggal összhangban; </w:t>
      </w:r>
    </w:p>
    <w:p w14:paraId="080B3368" w14:textId="424B5715" w:rsidR="00E74346" w:rsidRPr="00CA5EFD" w:rsidRDefault="00E74346" w:rsidP="00E47CCB">
      <w:pPr>
        <w:pStyle w:val="NormalHangingLeft12a"/>
        <w:widowControl/>
      </w:pPr>
      <w:r w:rsidRPr="00CA5EFD">
        <w:t>a</w:t>
      </w:r>
      <w:r w:rsidR="004E08D0">
        <w:t>u</w:t>
      </w:r>
      <w:r w:rsidRPr="00CA5EFD">
        <w:t>)</w:t>
      </w:r>
      <w:r w:rsidRPr="00CA5EFD">
        <w:tab/>
        <w:t xml:space="preserve">ítéljenek el az ENSZ személyzete, a békefenntartók és az ENSZ létesítményei elleni minden támadást, fenyegetést és erőszakos cselekményt, és szólítsák fel a konfliktusban érintett valamennyi felet, hogy a nemzetközi joggal, többek között az Egyesült Nemzetek saját és kisegítő személyzetének biztonságáról szóló egyezménnyel teljes összhangban tartsák tiszteletben az ENSZ személyzetének és infrastruktúrájának biztonságát, védelmét és semlegességét; </w:t>
      </w:r>
      <w:r w:rsidR="00012D55" w:rsidRPr="00012D55">
        <w:t>e tekintetben emeljék ki az ENSZ Ideiglenes Libanoni Erőinek bátor fellépését, amely több európai kontingenst is magában foglal, és nehéz körülmények között tevékenykedik, továbbá tisztelegjenek annak a két francia kontingeshez tartozó katona emléke előtt, akik 2026. április 18-án Dél-Libanonban egy, a Hezbollah által végrehajtott rajtaütés során életüket vesztették;</w:t>
      </w:r>
      <w:r w:rsidR="00012D55">
        <w:t xml:space="preserve"> </w:t>
      </w:r>
      <w:r w:rsidR="00012D55" w:rsidRPr="00012D55">
        <w:t xml:space="preserve">fejezzék ki különös aggodalmukat az ENSZ Ideiglenes Libanoni Haderejének részeként Libanonba telepített olasz katonai személyzet elleni ismételt támadások miatt, amelyek sérüléseket okoztak és veszélyeztették a békefenntartó erők stabilitását, és javasolják az ENSZ összehangolt védelmi intézkedéseinek fokozását, beleértve a támadásokért felelős személyekkel szembeni független vizsgálatokat és szankciókat a misszió hatékony </w:t>
      </w:r>
      <w:r w:rsidR="00012D55" w:rsidRPr="00012D55">
        <w:lastRenderedPageBreak/>
        <w:t>működőképességének és az ENSZ Biztonsági Tanácsa 1701. sz. határozatának való megfelelés biztosítása érdekében;</w:t>
      </w:r>
    </w:p>
    <w:p w14:paraId="30BFCF0F" w14:textId="77777777" w:rsidR="00E74346" w:rsidRPr="00CA5EFD" w:rsidRDefault="00E74346" w:rsidP="00E47CCB">
      <w:pPr>
        <w:pStyle w:val="NormalHangingLeft12a"/>
        <w:widowControl/>
        <w:rPr>
          <w:b/>
          <w:i/>
          <w:iCs/>
          <w:szCs w:val="24"/>
        </w:rPr>
      </w:pPr>
      <w:r w:rsidRPr="00CA5EFD">
        <w:rPr>
          <w:b/>
          <w:i/>
        </w:rPr>
        <w:t>Fenntartható fejlődés és emberi jogok</w:t>
      </w:r>
    </w:p>
    <w:p w14:paraId="497747B8" w14:textId="5F5890E0" w:rsidR="00E74346" w:rsidRPr="00CA5EFD" w:rsidRDefault="00E74346" w:rsidP="00E47CCB">
      <w:pPr>
        <w:pStyle w:val="NormalHangingLeft12a"/>
        <w:widowControl/>
      </w:pPr>
      <w:bookmarkStart w:id="21" w:name="_Hlk218760648"/>
      <w:r w:rsidRPr="00CA5EFD">
        <w:t>a</w:t>
      </w:r>
      <w:r w:rsidR="004E08D0">
        <w:t>v</w:t>
      </w:r>
      <w:r w:rsidRPr="00CA5EFD">
        <w:t>)</w:t>
      </w:r>
      <w:r w:rsidRPr="00CA5EFD">
        <w:tab/>
        <w:t>folytassák az emberi jogokon alapuló megközelítés beépítését a fenntartható fejlődés koncepciójába, elismerve, hogy az emberi jogok teljes körű érvényesítése a 2030-ig tartó időszakra szóló menetrend egyik sarokköve; hangsúlyozzák, hogy az EU vezető szerepet tölt be a tekintetben, hogy a világon a legtöbb hivatalos fejlesztési támogatást nyújtja; mélyítsék el a többoldalú együttműködést a fenntartható fejlődési célok terén elért eredményeket veszélyeztető válságokra és kihívásokra való felkészültség megerősítése és az azokkal szembeni reziliencia kiépítése érdekében; hangsúlyozzák, hogy az uniós fejlesztési együttműködést és kétoldalú segítségnyújtást az alapvető emberi jogok, a demokratikus elvek és az uniós szerződésekben rögzített értékek tiszteletben tartásától kell függővé tenni;</w:t>
      </w:r>
      <w:bookmarkEnd w:id="21"/>
    </w:p>
    <w:p w14:paraId="00072C73" w14:textId="2186AFF7" w:rsidR="00E74346" w:rsidRPr="00CA5EFD" w:rsidRDefault="00E74346" w:rsidP="00E47CCB">
      <w:pPr>
        <w:pStyle w:val="NormalHangingLeft12a"/>
        <w:widowControl/>
      </w:pPr>
      <w:bookmarkStart w:id="22" w:name="_Hlk226618962"/>
      <w:bookmarkStart w:id="23" w:name="_Hlk218760711"/>
      <w:r w:rsidRPr="00CA5EFD">
        <w:t>a</w:t>
      </w:r>
      <w:r w:rsidR="004E08D0">
        <w:t>w</w:t>
      </w:r>
      <w:r w:rsidRPr="00CA5EFD">
        <w:t>)</w:t>
      </w:r>
      <w:r w:rsidRPr="00CA5EFD">
        <w:tab/>
        <w:t xml:space="preserve">továbbra is használják ki a Global Gateway stratégiát mint a versengő infrastrukturális kezdeményezések – különösen Oroszország és Kína infrastrukturális kezdeményezéseinek – fenntartható, átlátható, demokratikus és értékalapú alternatíváját az Unió geopolitikai jelenlétének, láthatóságának és rezilienciájának világszerte történő megerősítését célzó stratégiai eszközként, amely kezdeményezés hozzájárul a fenntartható fejlődési célok eléréséhez azáltal, hogy előmozdítja a kölcsönös növekedést, a gazdasági tevékenységet és a munkahelyteremtést a partnerországokban, miközben megerősíti az EU stratégiai autonómiáját, geopolitikai pozícióját és globális hitelességét; mindazonáltal javítsák a Global Gateway stratégia keretében finanszírozott projektek megfelelésének nyomon követését és teljesítményértékelését; </w:t>
      </w:r>
    </w:p>
    <w:bookmarkEnd w:id="22"/>
    <w:p w14:paraId="2E40D9A5" w14:textId="47195179" w:rsidR="00E74346" w:rsidRPr="00CA5EFD" w:rsidRDefault="00E74346" w:rsidP="00E47CCB">
      <w:pPr>
        <w:pStyle w:val="NormalHangingLeft12a"/>
        <w:widowControl/>
      </w:pPr>
      <w:r w:rsidRPr="00CA5EFD">
        <w:t>a</w:t>
      </w:r>
      <w:r w:rsidR="004E08D0">
        <w:t>x</w:t>
      </w:r>
      <w:r w:rsidRPr="00CA5EFD">
        <w:t>)</w:t>
      </w:r>
      <w:r w:rsidRPr="00CA5EFD">
        <w:tab/>
        <w:t xml:space="preserve">üdvözöljék a közelmúltbeli ENSZ-csúcstalálkozók eredményeit, amelyek a nemzetközi pénzügyi intézmények, köztük az IMF és a Világbank megerősítésére és korszerűsítésére szólítanak fel; szorgalmazzák a nemzetközi pénzügyi struktúra hatékonyabbá és inkluzívabbá tételét, a kedvezményes és fejlesztésfinanszírozás növelését, a fenntarthatatlan adósság kezelését az adósságenyhítési és adósság-átütemezési mechanizmusok javítása révén, valamint a pénzmozgások összehangolását a fenntartható fejlődési célokkal és az éghajlat-politikai kötelezettségvállalásokkal; </w:t>
      </w:r>
    </w:p>
    <w:p w14:paraId="08EA6CAF" w14:textId="31577862" w:rsidR="00E74346" w:rsidRPr="00CA5EFD" w:rsidRDefault="00E74346" w:rsidP="00E47CCB">
      <w:pPr>
        <w:pStyle w:val="NormalHangingLeft12a"/>
        <w:widowControl/>
      </w:pPr>
      <w:r w:rsidRPr="00CA5EFD">
        <w:t>a</w:t>
      </w:r>
      <w:r w:rsidR="004E08D0">
        <w:t>y</w:t>
      </w:r>
      <w:r w:rsidRPr="00CA5EFD">
        <w:t>)</w:t>
      </w:r>
      <w:r w:rsidRPr="00CA5EFD">
        <w:tab/>
        <w:t xml:space="preserve">intsenek óva a pénzügyi befolyás, a területen kívüli intézkedések és a gazdasági kényszerítés külpolitikai eszközként való alkalmazásától, amelyek aláássák a nemzetközi pénzügyi rendszerbe vetett bizalmat, és hozzájárulnak a globális instabilitáshoz és egyenlőtlenséghez; </w:t>
      </w:r>
    </w:p>
    <w:p w14:paraId="2458193E" w14:textId="03B210E3" w:rsidR="00E74346" w:rsidRPr="00CA5EFD" w:rsidRDefault="00E74346" w:rsidP="00E47CCB">
      <w:pPr>
        <w:pStyle w:val="NormalHangingLeft12a"/>
        <w:widowControl/>
      </w:pPr>
      <w:r w:rsidRPr="00CA5EFD">
        <w:t>a</w:t>
      </w:r>
      <w:r w:rsidR="004E08D0">
        <w:t>z</w:t>
      </w:r>
      <w:r w:rsidRPr="00CA5EFD">
        <w:t>)</w:t>
      </w:r>
      <w:r w:rsidRPr="00CA5EFD">
        <w:tab/>
        <w:t>egyértelműen erősítsék meg és nyilvánítsák ki, hogy valamennyi emberi jog – különösen az ENSZ-egyezményekben rögzítettek – egyetemes érvényű, és azokat teljes mértékben tiszteletben kell tartani; szólítsák fel az ENSZ-t, hogy ítélje el az e jogokat aláásó globális tendenciákat, beleértve az emberi jogok növekvő marginalizálódását és a civil társadalom mozgásterének szűkülését, még a régóta fennálló demokráciákban is;</w:t>
      </w:r>
    </w:p>
    <w:bookmarkEnd w:id="23"/>
    <w:p w14:paraId="62CD24AE" w14:textId="310E1F6E" w:rsidR="00E74346" w:rsidRPr="00CA5EFD" w:rsidRDefault="004E08D0" w:rsidP="00E47CCB">
      <w:pPr>
        <w:pStyle w:val="NormalHangingLeft12a"/>
        <w:widowControl/>
      </w:pPr>
      <w:r>
        <w:lastRenderedPageBreak/>
        <w:t>ba</w:t>
      </w:r>
      <w:r w:rsidR="00E74346" w:rsidRPr="00CA5EFD">
        <w:t>)</w:t>
      </w:r>
      <w:r w:rsidR="00E74346" w:rsidRPr="00CA5EFD">
        <w:tab/>
        <w:t xml:space="preserve">mozdítsák elő az emberközpontú, jogokon alapuló átalakulást az inkluzív, nyitott, biztonságos és védett digitális jövő támogatása és a Globális Digitális Paktum hatékony végrehajtásának biztosítása révén; </w:t>
      </w:r>
    </w:p>
    <w:p w14:paraId="73051A26" w14:textId="05D87AFB" w:rsidR="00E74346" w:rsidRPr="00CA5EFD" w:rsidRDefault="004E08D0" w:rsidP="00E47CCB">
      <w:pPr>
        <w:pStyle w:val="NormalHangingLeft12a"/>
        <w:widowControl/>
      </w:pPr>
      <w:r>
        <w:t>bb</w:t>
      </w:r>
      <w:r w:rsidR="00E74346" w:rsidRPr="00CA5EFD">
        <w:t>)</w:t>
      </w:r>
      <w:r w:rsidR="00E74346" w:rsidRPr="00CA5EFD">
        <w:tab/>
        <w:t xml:space="preserve">továbbra is támogassák a nők jogainak érvényesülését az ENSZ Pekingi Nyilatkozatában és Cselekvési Platformjában foglaltaknak megfelelően; minden rendelkezésére álló eszközt használjanak fel a nők és lányok elleni erőszak leküzdésére az EU-ban és világszerte; fordítsanak különös figyelmet a kiszolgáltatott és marginalizált közösségekre azokban az államokban, ahol a nemzeti kormányok ismétlődően aláássák a nők jogait; növeljék az ENSZ nőjogi szervezete, az ENSZ Népesedési Alapja (UNFPA) és más olyan ENSZ-programok számára nyújtott uniós finanszírozást, amelyek a nők jogainak, a nemek közötti egyenlőségnek, valamint valamennyi nő és lány társadalmi szerepvállalásának előmozdítását célozzák; </w:t>
      </w:r>
    </w:p>
    <w:p w14:paraId="25C91612" w14:textId="5CF2B59D" w:rsidR="00E74346" w:rsidRPr="00CA5EFD" w:rsidRDefault="004E08D0" w:rsidP="00E47CCB">
      <w:pPr>
        <w:pStyle w:val="NormalHangingLeft12a"/>
        <w:widowControl/>
      </w:pPr>
      <w:r>
        <w:t>bc</w:t>
      </w:r>
      <w:r w:rsidR="00E74346" w:rsidRPr="00CA5EFD">
        <w:t>)</w:t>
      </w:r>
      <w:r w:rsidR="00E74346" w:rsidRPr="00CA5EFD">
        <w:tab/>
        <w:t xml:space="preserve">folytassanak további következetes párbeszédet az ENSZ fórumain az LMBTIQ+-közösséggel szembeni tartós megkülönböztetés elleni küzdelem szükségességéről, és biztosítsanak egyenlő hozzáférést a szociális védelemhez, az egészségügyi ellátáshoz, az oktatáshoz, valamint az árukhoz és szolgáltatásokhoz; támogassák az ENSZ „Szabad és egyenlő” kampányát a közvélemény tudatosságának növelése és az erősebb jogi védelem előmozdítása révén, különösen azokban az államokban, ahol a diszkriminatív gyakorlatok továbbra is széles körben elterjedtek; </w:t>
      </w:r>
    </w:p>
    <w:p w14:paraId="2E608A88" w14:textId="662E3E58" w:rsidR="00E74346" w:rsidRPr="00CA5EFD" w:rsidRDefault="004E08D0" w:rsidP="00E47CCB">
      <w:pPr>
        <w:pStyle w:val="NormalHangingLeft12a"/>
        <w:widowControl/>
      </w:pPr>
      <w:r>
        <w:t>bd</w:t>
      </w:r>
      <w:r w:rsidR="00E74346" w:rsidRPr="00CA5EFD">
        <w:t>)</w:t>
      </w:r>
      <w:r w:rsidR="00E74346" w:rsidRPr="00CA5EFD">
        <w:tab/>
        <w:t>kezeljék prioritásként az online óriásplatformok által alkalmazott algoritmusokon alapuló felerősítés révén terjedő dezinformáció és álhírek elleni küzdelmet, a megfelelő biztosítékok nélküli nagy nyelvi modellek növekvő használatát, a rosszindulatú külföldi szereplők általi kiaknázásukat, valamint azt, hogy a nagy technológiai vállalatok nem teljesítik az e területre vonatkozó hatályos jogszabályok szerinti kötelezettségeiket, aláásva a demokráciát és a választási folyamatokat; szólítsák fel az ENSZ Közgyűlését, hogy fogadjon el erősebb kereteket a hibrid fenyegetések kezelésére, beleértve a dezinformációs kampányokat és más, a demokratikus folyamatokat és a társadalmi kohéziót világszerte aláásó, nem katonai jellegű befolyásoló műveleteket; dolgozzanak egy, a kiskorúak online védelmét szolgáló globális keret megvalósításán, ideértve a közösségimédia-platformokon a személyazonosság ellenőrzésére vonatkozó követelményeket is annak biztosítása érdekében, hogy minden felhasználói fiók egy természetes személynek feleljen meg, aki hivatalos nevét és személyazonosságát használja, biztosítva ugyanakkor, hogy az ilyen intézkedéseket a személyes adatok védelmére vonatkozó alkalmazandó normákkal teljes összhangban hajtsák végre; biztosítsanak elegendő forrást az Európai Külügyi Szolgálat stratégiai kommunikációs és előrejelzési részlegei számára az önkényuralmi és illiberális rezsimek által stratégiailag alkalmazott EU-ellenes dezinformációs kampányok és narratívák elleni hatékony küzdelem érdekében, amelyek célja, hogy aláássák egyrészt az EU Latin-Amerikával, Afrikával és Ázsiával fenntartott kapcsolatait, másrészt az EU multilaterális fórumokon folytatott külső tevékenységét;</w:t>
      </w:r>
    </w:p>
    <w:p w14:paraId="48AF3CA7" w14:textId="171AAEE8" w:rsidR="00E74346" w:rsidRPr="00CA5EFD" w:rsidRDefault="004E08D0" w:rsidP="00E47CCB">
      <w:pPr>
        <w:pStyle w:val="NormalHangingLeft12a"/>
        <w:widowControl/>
      </w:pPr>
      <w:r>
        <w:t>be</w:t>
      </w:r>
      <w:r w:rsidR="00E74346" w:rsidRPr="00CA5EFD">
        <w:t>)</w:t>
      </w:r>
      <w:r w:rsidR="00E74346" w:rsidRPr="00CA5EFD">
        <w:tab/>
        <w:t xml:space="preserve">hangsúlyozzák a média biztonságos környezetének, szerkesztői függetlenségének és pénzügyi támogatásának fontosságát; lépjenek fel a világszerte újságírókat érő egyre súlyosabb fenyegetésekkel szemben, különös tekintettel a női újságírókra, </w:t>
      </w:r>
      <w:r w:rsidR="00E74346" w:rsidRPr="00CA5EFD">
        <w:lastRenderedPageBreak/>
        <w:t xml:space="preserve">akik aránytalan mértékben válnak célponttá; erősítsék az együttműködést az ENSZ Emberi Jogi Főbiztosának Hivatalával (OHCHR) az újságírók biztonságáról és a büntetlenség kérdéséről szóló ENSZ cselekvési terv végrehajtásának előmozdítása érdekében; </w:t>
      </w:r>
    </w:p>
    <w:p w14:paraId="05B6A3D2" w14:textId="75B4B433" w:rsidR="00E74346" w:rsidRPr="00CA5EFD" w:rsidRDefault="004E08D0" w:rsidP="00E47CCB">
      <w:pPr>
        <w:pStyle w:val="NormalHangingLeft12a"/>
        <w:widowControl/>
      </w:pPr>
      <w:r>
        <w:t>bf</w:t>
      </w:r>
      <w:r w:rsidR="00E74346" w:rsidRPr="00CA5EFD">
        <w:t>)</w:t>
      </w:r>
      <w:r w:rsidR="00E74346" w:rsidRPr="00CA5EFD">
        <w:tab/>
        <w:t>erősítsék meg a vallás, a gondolat, a lelkiismeret és a meggyőződés szabadságának előmozdítását mint egyetemes emberi jogot, és szólítsanak fel határozottabb intézkedésekre valamennyi vallási, etnikai és egyéb kisebbség, köztük a keresztény, a muszlim és a zsidó közösségek védelme érdekében; határozottan ítéljék el valamennyi vallási közösség üldözését, különösen a keresztények világszerte tapasztalható széles körű üldöztetését, valamint a más vallási közösségekkel szembeni erőszak vagy megkülönböztetés minden formáját; sürgessék az ENSZ valamennyi tagállamát, hogy nemzetközi emberi jogi kötelezettségvállalásaikkal összhangban minden egyén számára garantálják a vallás és a vallásgyakorlás teljes szabadságát;</w:t>
      </w:r>
    </w:p>
    <w:p w14:paraId="4AB757E6" w14:textId="3071F207" w:rsidR="00E74346" w:rsidRPr="00CA5EFD" w:rsidRDefault="004E08D0" w:rsidP="00E47CCB">
      <w:pPr>
        <w:pStyle w:val="NormalHangingLeft12a"/>
        <w:widowControl/>
      </w:pPr>
      <w:bookmarkStart w:id="24" w:name="_Hlk218761193"/>
      <w:r>
        <w:t>bg</w:t>
      </w:r>
      <w:r w:rsidR="00E74346" w:rsidRPr="00CA5EFD">
        <w:t>)</w:t>
      </w:r>
      <w:r w:rsidR="00E74346" w:rsidRPr="00CA5EFD">
        <w:tab/>
        <w:t xml:space="preserve">ismételten hangsúlyozzák, hogy felül kell vizsgálni az ENSZ Emberi Jogi Tanácsának választási folyamatát, különösen annak megakadályozása érdekében, hogy az emberi jogokat megsértő országok helyet kapjanak a Tanácsban; hangsúlyozzák az ENSZ Közgyűlésének azon kötelezettségét, hogy az ENSZ Emberi Jogi Tanácsa tagjainak megválasztásakor figyelembe vegye a jelöltek elkötelezettségét az emberi jogok előmozdítása és védelme iránt; szólítsák fel az uniós tagállamokat, hogy fogadjanak el összehangolt álláspontot az EJT-tagsággal kapcsolatban, és szavazzanak az EJT minden olyan jelöltje ellen, aki nem tartja tiszteletben az emberi jogokat; </w:t>
      </w:r>
    </w:p>
    <w:p w14:paraId="76B3FDA0" w14:textId="1E5EC6CB" w:rsidR="00E74346" w:rsidRPr="00CA5EFD" w:rsidRDefault="004E08D0" w:rsidP="00E47CCB">
      <w:pPr>
        <w:pStyle w:val="NormalHangingLeft12a"/>
        <w:widowControl/>
      </w:pPr>
      <w:r>
        <w:t>bh</w:t>
      </w:r>
      <w:r w:rsidR="00E74346" w:rsidRPr="00CA5EFD">
        <w:t>)</w:t>
      </w:r>
      <w:r w:rsidR="00E74346" w:rsidRPr="00CA5EFD">
        <w:tab/>
        <w:t>erősítsék meg az EU azon kötelezettségvállalását, hogy partnereivel együtt előmozdítja a globális egészségügyet az oltási kampányok támogatása, a világjárványokról szóló megállapodás végrehajtása, a nem fertőző betegségek kezelése, valamint a világjárványok megelőzésére, az azokra való felkészültségre és reagálásra irányuló többoldalú mechanizmusok megerősítése révén;</w:t>
      </w:r>
      <w:bookmarkEnd w:id="24"/>
    </w:p>
    <w:p w14:paraId="7215D29E" w14:textId="7ED5BC0B" w:rsidR="00E74346" w:rsidRPr="00CA5EFD" w:rsidRDefault="004E08D0" w:rsidP="00E47CCB">
      <w:pPr>
        <w:pStyle w:val="NormalHangingLeft12a"/>
        <w:widowControl/>
      </w:pPr>
      <w:r>
        <w:t>bi</w:t>
      </w:r>
      <w:r w:rsidR="00E74346" w:rsidRPr="00CA5EFD">
        <w:t>)</w:t>
      </w:r>
      <w:r w:rsidR="00E74346" w:rsidRPr="00CA5EFD">
        <w:tab/>
        <w:t>erősítsék meg a művészi szabadság előmozdítását, valamint a kulturális örökség és a kulturális jogok védelmét az UNESCO munkájának támogatásával és az UNESCO mellett működő állandó uniós előadó vagy állandó uniós tárgyalópartner kijelölésének előkészítésével;</w:t>
      </w:r>
    </w:p>
    <w:p w14:paraId="4A3DDC07" w14:textId="77777777" w:rsidR="00E74346" w:rsidRPr="00CA5EFD" w:rsidRDefault="00E74346" w:rsidP="00E47CCB">
      <w:pPr>
        <w:pStyle w:val="NormalHanging12a"/>
        <w:widowControl/>
        <w:jc w:val="center"/>
      </w:pPr>
      <w:r w:rsidRPr="00CA5EFD">
        <w:t>°</w:t>
      </w:r>
    </w:p>
    <w:p w14:paraId="422ED049" w14:textId="77777777" w:rsidR="00E74346" w:rsidRPr="00CA5EFD" w:rsidRDefault="00E74346" w:rsidP="00E47CCB">
      <w:pPr>
        <w:pStyle w:val="NormalHanging12a"/>
        <w:widowControl/>
        <w:jc w:val="center"/>
      </w:pPr>
      <w:r w:rsidRPr="00CA5EFD">
        <w:t>°</w:t>
      </w:r>
      <w:r w:rsidRPr="00CA5EFD">
        <w:tab/>
        <w:t>°</w:t>
      </w:r>
    </w:p>
    <w:p w14:paraId="18F94EE6" w14:textId="77777777" w:rsidR="00E74346" w:rsidRPr="00B913D9" w:rsidRDefault="00E74346" w:rsidP="00E47CCB">
      <w:pPr>
        <w:pStyle w:val="NormalHanging12a"/>
        <w:widowControl/>
      </w:pPr>
      <w:r w:rsidRPr="00CA5EFD">
        <w:t>2.</w:t>
      </w:r>
      <w:r w:rsidRPr="00CA5EFD">
        <w:tab/>
        <w:t>utasítja elnökét, hogy továbbítsa ezt az ajánlást a Tanácsnak, a Bizottságnak, a Bizottság alelnökének/az Unió külügyi és biztonságpolitikai főképviselőjének, valamint tájékoztatás céljából az Egyesült Nemzetek Szervezete Közgyűlésének és az Egyesült Nemzetek Szervezete főtitkárának.</w:t>
      </w:r>
    </w:p>
    <w:sectPr w:rsidR="00E74346" w:rsidRPr="00B913D9" w:rsidSect="00B913D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B0FD2" w14:textId="77777777" w:rsidR="00C53FE2" w:rsidRPr="00B913D9" w:rsidRDefault="00C53FE2">
      <w:r w:rsidRPr="00B913D9">
        <w:separator/>
      </w:r>
    </w:p>
  </w:endnote>
  <w:endnote w:type="continuationSeparator" w:id="0">
    <w:p w14:paraId="7643BA46" w14:textId="77777777" w:rsidR="00C53FE2" w:rsidRPr="00B913D9" w:rsidRDefault="00C53FE2">
      <w:r w:rsidRPr="00B913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B19C" w14:textId="77777777" w:rsidR="00064002" w:rsidRPr="00B913D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238C5" w14:textId="77777777" w:rsidR="00064002" w:rsidRPr="00B913D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099E" w14:textId="77777777" w:rsidR="00064002" w:rsidRPr="00B913D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7CB1F" w14:textId="77777777" w:rsidR="00C53FE2" w:rsidRPr="00B913D9" w:rsidRDefault="00C53FE2">
      <w:r w:rsidRPr="00B913D9">
        <w:separator/>
      </w:r>
    </w:p>
  </w:footnote>
  <w:footnote w:type="continuationSeparator" w:id="0">
    <w:p w14:paraId="0E8A5D31" w14:textId="77777777" w:rsidR="00C53FE2" w:rsidRPr="00B913D9" w:rsidRDefault="00C53FE2">
      <w:r w:rsidRPr="00B913D9">
        <w:continuationSeparator/>
      </w:r>
    </w:p>
  </w:footnote>
  <w:footnote w:id="1">
    <w:p w14:paraId="72DBF05F" w14:textId="07766C2E" w:rsidR="00E74346" w:rsidRPr="00B913D9" w:rsidRDefault="00E74346" w:rsidP="00B913D9">
      <w:pPr>
        <w:pStyle w:val="FootnoteText"/>
        <w:ind w:left="567" w:hanging="567"/>
        <w:rPr>
          <w:sz w:val="24"/>
          <w:lang w:val="hu-HU"/>
        </w:rPr>
      </w:pPr>
      <w:r w:rsidRPr="00B913D9">
        <w:rPr>
          <w:rStyle w:val="FootnoteReference"/>
          <w:sz w:val="24"/>
          <w:lang w:val="hu-HU"/>
        </w:rPr>
        <w:footnoteRef/>
      </w:r>
      <w:r w:rsidR="00B913D9" w:rsidRPr="00B913D9">
        <w:rPr>
          <w:sz w:val="24"/>
          <w:lang w:val="hu-HU"/>
        </w:rPr>
        <w:t xml:space="preserve"> </w:t>
      </w:r>
      <w:r w:rsidR="00B913D9" w:rsidRPr="00B913D9">
        <w:rPr>
          <w:sz w:val="24"/>
          <w:lang w:val="hu-HU"/>
        </w:rPr>
        <w:tab/>
      </w:r>
      <w:r w:rsidRPr="00B913D9">
        <w:rPr>
          <w:sz w:val="24"/>
          <w:lang w:val="hu-HU"/>
        </w:rPr>
        <w:t>Elfogadott szövegek, P10_</w:t>
      </w:r>
      <w:proofErr w:type="gramStart"/>
      <w:r w:rsidRPr="00B913D9">
        <w:rPr>
          <w:sz w:val="24"/>
          <w:lang w:val="hu-HU"/>
        </w:rPr>
        <w:t>TA(</w:t>
      </w:r>
      <w:proofErr w:type="gramEnd"/>
      <w:r w:rsidRPr="00B913D9">
        <w:rPr>
          <w:sz w:val="24"/>
          <w:lang w:val="hu-HU"/>
        </w:rPr>
        <w:t>2026)0012.</w:t>
      </w:r>
    </w:p>
  </w:footnote>
  <w:footnote w:id="2">
    <w:p w14:paraId="7AA16059" w14:textId="3611B747" w:rsidR="00E74346" w:rsidRPr="00B913D9" w:rsidRDefault="00E74346" w:rsidP="00B913D9">
      <w:pPr>
        <w:pStyle w:val="FootnoteText"/>
        <w:ind w:left="567" w:hanging="567"/>
        <w:rPr>
          <w:sz w:val="24"/>
          <w:lang w:val="hu-HU"/>
        </w:rPr>
      </w:pPr>
      <w:r w:rsidRPr="00B913D9">
        <w:rPr>
          <w:rStyle w:val="FootnoteReference"/>
          <w:sz w:val="24"/>
          <w:lang w:val="hu-HU"/>
        </w:rPr>
        <w:footnoteRef/>
      </w:r>
      <w:r w:rsidR="00B913D9" w:rsidRPr="00B913D9">
        <w:rPr>
          <w:sz w:val="24"/>
          <w:lang w:val="hu-HU"/>
        </w:rPr>
        <w:t xml:space="preserve"> </w:t>
      </w:r>
      <w:r w:rsidR="00B913D9" w:rsidRPr="00B913D9">
        <w:rPr>
          <w:sz w:val="24"/>
          <w:lang w:val="hu-HU"/>
        </w:rPr>
        <w:tab/>
      </w:r>
      <w:r w:rsidRPr="00B913D9">
        <w:rPr>
          <w:sz w:val="24"/>
          <w:lang w:val="hu-HU"/>
        </w:rPr>
        <w:t>Elfogadott szövegek, P10_</w:t>
      </w:r>
      <w:proofErr w:type="gramStart"/>
      <w:r w:rsidRPr="00B913D9">
        <w:rPr>
          <w:sz w:val="24"/>
          <w:lang w:val="hu-HU"/>
        </w:rPr>
        <w:t>TA(</w:t>
      </w:r>
      <w:proofErr w:type="gramEnd"/>
      <w:r w:rsidRPr="00B913D9">
        <w:rPr>
          <w:sz w:val="24"/>
          <w:lang w:val="hu-HU"/>
        </w:rPr>
        <w:t>2026)0014.</w:t>
      </w:r>
    </w:p>
  </w:footnote>
  <w:footnote w:id="3">
    <w:p w14:paraId="1BFA2FA5" w14:textId="7CE3B730" w:rsidR="00E74346" w:rsidRPr="00B913D9" w:rsidRDefault="00E74346" w:rsidP="00B913D9">
      <w:pPr>
        <w:pStyle w:val="FootnoteText"/>
        <w:ind w:left="567" w:hanging="567"/>
        <w:rPr>
          <w:sz w:val="24"/>
          <w:lang w:val="hu-HU"/>
        </w:rPr>
      </w:pPr>
      <w:r w:rsidRPr="00B913D9">
        <w:rPr>
          <w:rStyle w:val="FootnoteReference"/>
          <w:sz w:val="24"/>
          <w:lang w:val="hu-HU"/>
        </w:rPr>
        <w:footnoteRef/>
      </w:r>
      <w:r w:rsidR="00B913D9" w:rsidRPr="00B913D9">
        <w:rPr>
          <w:sz w:val="24"/>
          <w:lang w:val="hu-HU"/>
        </w:rPr>
        <w:t xml:space="preserve"> </w:t>
      </w:r>
      <w:r w:rsidR="00B913D9" w:rsidRPr="00B913D9">
        <w:rPr>
          <w:sz w:val="24"/>
          <w:lang w:val="hu-HU"/>
        </w:rPr>
        <w:tab/>
      </w:r>
      <w:r w:rsidRPr="00B913D9">
        <w:rPr>
          <w:sz w:val="24"/>
          <w:lang w:val="hu-HU"/>
        </w:rPr>
        <w:t>HL C 67., 2022.2.8., 150. o.</w:t>
      </w:r>
    </w:p>
  </w:footnote>
  <w:footnote w:id="4">
    <w:p w14:paraId="6802836A" w14:textId="22E2E4D6" w:rsidR="00E74346" w:rsidRPr="00B913D9" w:rsidRDefault="00E74346" w:rsidP="00B913D9">
      <w:pPr>
        <w:pStyle w:val="FootnoteText"/>
        <w:ind w:left="567" w:hanging="567"/>
        <w:rPr>
          <w:sz w:val="24"/>
          <w:lang w:val="hu-HU"/>
        </w:rPr>
      </w:pPr>
      <w:r w:rsidRPr="00B913D9">
        <w:rPr>
          <w:rStyle w:val="FootnoteReference"/>
          <w:sz w:val="24"/>
          <w:lang w:val="hu-HU"/>
        </w:rPr>
        <w:footnoteRef/>
      </w:r>
      <w:r w:rsidR="00B913D9" w:rsidRPr="00B913D9">
        <w:rPr>
          <w:sz w:val="24"/>
          <w:lang w:val="hu-HU"/>
        </w:rPr>
        <w:t xml:space="preserve"> </w:t>
      </w:r>
      <w:r w:rsidR="00B913D9" w:rsidRPr="00B913D9">
        <w:rPr>
          <w:sz w:val="24"/>
          <w:lang w:val="hu-HU"/>
        </w:rPr>
        <w:tab/>
      </w:r>
      <w:r w:rsidRPr="00B913D9">
        <w:rPr>
          <w:sz w:val="24"/>
          <w:lang w:val="hu-HU"/>
        </w:rPr>
        <w:t>HL C, C/2025/487, 2025.1.</w:t>
      </w:r>
      <w:r w:rsidR="003D20BC">
        <w:rPr>
          <w:sz w:val="24"/>
          <w:lang w:val="hu-HU"/>
        </w:rPr>
        <w:t>29</w:t>
      </w:r>
      <w:r w:rsidRPr="00B913D9">
        <w:rPr>
          <w:sz w:val="24"/>
          <w:lang w:val="hu-HU"/>
        </w:rPr>
        <w:t>., ELI: </w:t>
      </w:r>
      <w:hyperlink r:id="rId1" w:tgtFrame="_blank" w:tooltip="Hozzáférést nyújt ehhez a dokumentumhoz annak ELI URI-jén keresztül." w:history="1">
        <w:r w:rsidRPr="00B913D9">
          <w:rPr>
            <w:rStyle w:val="Hyperlink"/>
            <w:sz w:val="24"/>
            <w:lang w:val="hu-HU"/>
          </w:rPr>
          <w:t>http://data.europa.eu/eli/C/2025/487/oj</w:t>
        </w:r>
      </w:hyperlink>
      <w:r w:rsidRPr="00B913D9">
        <w:rPr>
          <w:sz w:val="24"/>
          <w:lang w:val="hu-HU"/>
        </w:rPr>
        <w:t>.</w:t>
      </w:r>
    </w:p>
  </w:footnote>
  <w:footnote w:id="5">
    <w:p w14:paraId="4378555F" w14:textId="4501C9BD" w:rsidR="00E74346" w:rsidRPr="00B913D9" w:rsidRDefault="00E74346" w:rsidP="00B913D9">
      <w:pPr>
        <w:pStyle w:val="FootnoteText"/>
        <w:ind w:left="567" w:hanging="567"/>
        <w:rPr>
          <w:sz w:val="24"/>
          <w:lang w:val="hu-HU"/>
        </w:rPr>
      </w:pPr>
      <w:r w:rsidRPr="00B913D9">
        <w:rPr>
          <w:rStyle w:val="FootnoteReference"/>
          <w:sz w:val="24"/>
          <w:lang w:val="hu-HU"/>
        </w:rPr>
        <w:footnoteRef/>
      </w:r>
      <w:r w:rsidR="00B913D9" w:rsidRPr="00B913D9">
        <w:rPr>
          <w:sz w:val="24"/>
          <w:lang w:val="hu-HU"/>
        </w:rPr>
        <w:t xml:space="preserve"> </w:t>
      </w:r>
      <w:r w:rsidR="00B913D9" w:rsidRPr="00B913D9">
        <w:rPr>
          <w:sz w:val="24"/>
          <w:lang w:val="hu-HU"/>
        </w:rPr>
        <w:tab/>
      </w:r>
      <w:r w:rsidRPr="00B913D9">
        <w:rPr>
          <w:sz w:val="24"/>
          <w:lang w:val="hu-HU"/>
        </w:rPr>
        <w:t>HL C 404., 2021.10.6., 202. o.</w:t>
      </w:r>
    </w:p>
  </w:footnote>
  <w:footnote w:id="6">
    <w:p w14:paraId="600BD9D0" w14:textId="3BD9E7A2" w:rsidR="00E74346" w:rsidRPr="00B913D9" w:rsidRDefault="00E74346" w:rsidP="00B913D9">
      <w:pPr>
        <w:pStyle w:val="FootnoteText"/>
        <w:ind w:left="567" w:hanging="567"/>
        <w:rPr>
          <w:sz w:val="24"/>
          <w:lang w:val="hu-HU"/>
        </w:rPr>
      </w:pPr>
      <w:r w:rsidRPr="00B913D9">
        <w:rPr>
          <w:rStyle w:val="FootnoteReference"/>
          <w:sz w:val="24"/>
          <w:lang w:val="hu-HU"/>
        </w:rPr>
        <w:footnoteRef/>
      </w:r>
      <w:r w:rsidR="00B913D9" w:rsidRPr="00B913D9">
        <w:rPr>
          <w:sz w:val="24"/>
          <w:lang w:val="hu-HU"/>
        </w:rPr>
        <w:t xml:space="preserve"> </w:t>
      </w:r>
      <w:r w:rsidR="00B913D9" w:rsidRPr="00B913D9">
        <w:rPr>
          <w:sz w:val="24"/>
          <w:lang w:val="hu-HU"/>
        </w:rPr>
        <w:tab/>
      </w:r>
      <w:r w:rsidRPr="00B913D9">
        <w:rPr>
          <w:sz w:val="24"/>
          <w:lang w:val="hu-HU"/>
        </w:rPr>
        <w:t>A Tanács 2271/96/EK rendelete (1996. november 22.) harmadik ország által elfogadott jogszabályoknak az ország területén kívüli alkalmazásának hatása és az ilyen jogszabályon alapuló vagy abból eredő intézkedések elleni védelemről</w:t>
      </w:r>
      <w:r w:rsidR="00B913D9" w:rsidRPr="00B913D9">
        <w:rPr>
          <w:sz w:val="24"/>
          <w:lang w:val="hu-HU"/>
        </w:rPr>
        <w:tab/>
      </w:r>
      <w:r w:rsidRPr="00B913D9">
        <w:rPr>
          <w:sz w:val="24"/>
          <w:lang w:val="hu-HU"/>
        </w:rPr>
        <w:t>(HL L 309., 1996.11.29., 1. o., ELI: </w:t>
      </w:r>
      <w:hyperlink r:id="rId2" w:tooltip="Hozzáférést nyújt ehhez a dokumentumhoz annak ELI URI-jén keresztül." w:history="1">
        <w:r w:rsidRPr="00B913D9">
          <w:rPr>
            <w:rStyle w:val="Hyperlink"/>
            <w:sz w:val="24"/>
            <w:lang w:val="hu-HU"/>
          </w:rPr>
          <w:t>http://data.europa.eu/eli/reg/1996/2271/oj</w:t>
        </w:r>
      </w:hyperlink>
      <w:r w:rsidRPr="00B913D9">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D866E" w14:textId="77777777" w:rsidR="00064002" w:rsidRPr="00B913D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30BC4" w14:textId="77777777" w:rsidR="00064002" w:rsidRPr="00B913D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EFF97" w14:textId="77777777" w:rsidR="00064002" w:rsidRPr="00B913D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7386161">
    <w:abstractNumId w:val="9"/>
  </w:num>
  <w:num w:numId="2" w16cid:durableId="314535960">
    <w:abstractNumId w:val="9"/>
  </w:num>
  <w:num w:numId="3" w16cid:durableId="398290477">
    <w:abstractNumId w:val="7"/>
  </w:num>
  <w:num w:numId="4" w16cid:durableId="1587229322">
    <w:abstractNumId w:val="7"/>
  </w:num>
  <w:num w:numId="5" w16cid:durableId="269506709">
    <w:abstractNumId w:val="6"/>
  </w:num>
  <w:num w:numId="6" w16cid:durableId="579408419">
    <w:abstractNumId w:val="6"/>
  </w:num>
  <w:num w:numId="7" w16cid:durableId="670985711">
    <w:abstractNumId w:val="5"/>
  </w:num>
  <w:num w:numId="8" w16cid:durableId="448472299">
    <w:abstractNumId w:val="5"/>
  </w:num>
  <w:num w:numId="9" w16cid:durableId="152187579">
    <w:abstractNumId w:val="4"/>
  </w:num>
  <w:num w:numId="10" w16cid:durableId="1362125145">
    <w:abstractNumId w:val="4"/>
  </w:num>
  <w:num w:numId="11" w16cid:durableId="1216042767">
    <w:abstractNumId w:val="8"/>
  </w:num>
  <w:num w:numId="12" w16cid:durableId="1891452335">
    <w:abstractNumId w:val="8"/>
  </w:num>
  <w:num w:numId="13" w16cid:durableId="1363166029">
    <w:abstractNumId w:val="3"/>
  </w:num>
  <w:num w:numId="14" w16cid:durableId="935091379">
    <w:abstractNumId w:val="3"/>
  </w:num>
  <w:num w:numId="15" w16cid:durableId="171726103">
    <w:abstractNumId w:val="2"/>
  </w:num>
  <w:num w:numId="16" w16cid:durableId="170030711">
    <w:abstractNumId w:val="2"/>
  </w:num>
  <w:num w:numId="17" w16cid:durableId="262498474">
    <w:abstractNumId w:val="1"/>
  </w:num>
  <w:num w:numId="18" w16cid:durableId="1127625964">
    <w:abstractNumId w:val="1"/>
  </w:num>
  <w:num w:numId="19" w16cid:durableId="2007858048">
    <w:abstractNumId w:val="0"/>
  </w:num>
  <w:num w:numId="20" w16cid:durableId="707488315">
    <w:abstractNumId w:val="0"/>
  </w:num>
  <w:num w:numId="21" w16cid:durableId="1811239610">
    <w:abstractNumId w:val="9"/>
  </w:num>
  <w:num w:numId="22" w16cid:durableId="216208371">
    <w:abstractNumId w:val="7"/>
  </w:num>
  <w:num w:numId="23" w16cid:durableId="394091172">
    <w:abstractNumId w:val="6"/>
  </w:num>
  <w:num w:numId="24" w16cid:durableId="431555075">
    <w:abstractNumId w:val="5"/>
  </w:num>
  <w:num w:numId="25" w16cid:durableId="1550145648">
    <w:abstractNumId w:val="4"/>
  </w:num>
  <w:num w:numId="26" w16cid:durableId="1327131221">
    <w:abstractNumId w:val="8"/>
  </w:num>
  <w:num w:numId="27" w16cid:durableId="998843914">
    <w:abstractNumId w:val="3"/>
  </w:num>
  <w:num w:numId="28" w16cid:durableId="890966661">
    <w:abstractNumId w:val="2"/>
  </w:num>
  <w:num w:numId="29" w16cid:durableId="1132400871">
    <w:abstractNumId w:val="1"/>
  </w:num>
  <w:num w:numId="30" w16cid:durableId="269749421">
    <w:abstractNumId w:val="0"/>
  </w:num>
  <w:num w:numId="31" w16cid:durableId="1613315404">
    <w:abstractNumId w:val="9"/>
  </w:num>
  <w:num w:numId="32" w16cid:durableId="57411452">
    <w:abstractNumId w:val="7"/>
  </w:num>
  <w:num w:numId="33" w16cid:durableId="500777558">
    <w:abstractNumId w:val="6"/>
  </w:num>
  <w:num w:numId="34" w16cid:durableId="1774351199">
    <w:abstractNumId w:val="5"/>
  </w:num>
  <w:num w:numId="35" w16cid:durableId="877358183">
    <w:abstractNumId w:val="4"/>
  </w:num>
  <w:num w:numId="36" w16cid:durableId="1474709620">
    <w:abstractNumId w:val="8"/>
  </w:num>
  <w:num w:numId="37" w16cid:durableId="203834211">
    <w:abstractNumId w:val="3"/>
  </w:num>
  <w:num w:numId="38" w16cid:durableId="855122514">
    <w:abstractNumId w:val="2"/>
  </w:num>
  <w:num w:numId="39" w16cid:durableId="568660489">
    <w:abstractNumId w:val="1"/>
  </w:num>
  <w:num w:numId="40" w16cid:durableId="633949684">
    <w:abstractNumId w:val="0"/>
  </w:num>
  <w:num w:numId="41" w16cid:durableId="424956008">
    <w:abstractNumId w:val="10"/>
  </w:num>
  <w:num w:numId="42" w16cid:durableId="1176920937">
    <w:abstractNumId w:val="10"/>
  </w:num>
  <w:num w:numId="43" w16cid:durableId="558831201">
    <w:abstractNumId w:val="10"/>
  </w:num>
  <w:num w:numId="44" w16cid:durableId="15687621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3/2026"/>
    <w:docVar w:name="dvlangue" w:val="HU"/>
    <w:docVar w:name="dvnumam" w:val="0"/>
    <w:docVar w:name="dvpe" w:val="778.304"/>
    <w:docVar w:name="dvtitre" w:val="Az Európai Parlament 2026.  ...-i állásfoglalása az Európai Parlamentnek a Tanácshoz, a Bizottsághoz és a Bizottság alelnökéhez / az Unió kül- és biztonságpolitikai főképviselőjéhez intézett, az Egyesült Nemzetek Szervezete Közgyűlésének 81. ülésszakáról szóló ajánlásáról(2025/2167(INI))"/>
  </w:docVars>
  <w:rsids>
    <w:rsidRoot w:val="00C53FE2"/>
    <w:rsid w:val="00002272"/>
    <w:rsid w:val="00012D55"/>
    <w:rsid w:val="00064002"/>
    <w:rsid w:val="000677B9"/>
    <w:rsid w:val="000831BA"/>
    <w:rsid w:val="000A42CC"/>
    <w:rsid w:val="000E7DD9"/>
    <w:rsid w:val="0010095E"/>
    <w:rsid w:val="00125B37"/>
    <w:rsid w:val="00187494"/>
    <w:rsid w:val="001F32AE"/>
    <w:rsid w:val="0023208E"/>
    <w:rsid w:val="002767FF"/>
    <w:rsid w:val="002B18FE"/>
    <w:rsid w:val="002B5493"/>
    <w:rsid w:val="00343214"/>
    <w:rsid w:val="00361C00"/>
    <w:rsid w:val="00395FA1"/>
    <w:rsid w:val="003D20BC"/>
    <w:rsid w:val="003E15D4"/>
    <w:rsid w:val="00411CCE"/>
    <w:rsid w:val="0041666E"/>
    <w:rsid w:val="00421060"/>
    <w:rsid w:val="00471C19"/>
    <w:rsid w:val="004867E3"/>
    <w:rsid w:val="00494A28"/>
    <w:rsid w:val="004C0004"/>
    <w:rsid w:val="004C5D52"/>
    <w:rsid w:val="004E08D0"/>
    <w:rsid w:val="0050519A"/>
    <w:rsid w:val="005072A1"/>
    <w:rsid w:val="00514517"/>
    <w:rsid w:val="00545827"/>
    <w:rsid w:val="00560270"/>
    <w:rsid w:val="005C2568"/>
    <w:rsid w:val="005F1B17"/>
    <w:rsid w:val="006037C0"/>
    <w:rsid w:val="00617D8C"/>
    <w:rsid w:val="00620A05"/>
    <w:rsid w:val="006631B6"/>
    <w:rsid w:val="00680577"/>
    <w:rsid w:val="006B0DF0"/>
    <w:rsid w:val="006B6C85"/>
    <w:rsid w:val="006F74FA"/>
    <w:rsid w:val="00731ADD"/>
    <w:rsid w:val="00734777"/>
    <w:rsid w:val="00747932"/>
    <w:rsid w:val="00751A4A"/>
    <w:rsid w:val="00756632"/>
    <w:rsid w:val="00762C74"/>
    <w:rsid w:val="00784690"/>
    <w:rsid w:val="00786EC0"/>
    <w:rsid w:val="007D1690"/>
    <w:rsid w:val="007E22AD"/>
    <w:rsid w:val="00817416"/>
    <w:rsid w:val="00840AB0"/>
    <w:rsid w:val="00842779"/>
    <w:rsid w:val="0085316C"/>
    <w:rsid w:val="00865F67"/>
    <w:rsid w:val="00881A7B"/>
    <w:rsid w:val="008840E5"/>
    <w:rsid w:val="00887B3E"/>
    <w:rsid w:val="008C2AC6"/>
    <w:rsid w:val="00930C23"/>
    <w:rsid w:val="0093193B"/>
    <w:rsid w:val="009509D8"/>
    <w:rsid w:val="00950B64"/>
    <w:rsid w:val="00981893"/>
    <w:rsid w:val="00A15BC7"/>
    <w:rsid w:val="00A1687D"/>
    <w:rsid w:val="00A43E52"/>
    <w:rsid w:val="00A4678D"/>
    <w:rsid w:val="00A778C7"/>
    <w:rsid w:val="00A81C1D"/>
    <w:rsid w:val="00AB441E"/>
    <w:rsid w:val="00AB6293"/>
    <w:rsid w:val="00AE0928"/>
    <w:rsid w:val="00AF3B82"/>
    <w:rsid w:val="00B12E95"/>
    <w:rsid w:val="00B22876"/>
    <w:rsid w:val="00B558F0"/>
    <w:rsid w:val="00B913D9"/>
    <w:rsid w:val="00BD48FE"/>
    <w:rsid w:val="00BD7BD8"/>
    <w:rsid w:val="00BE6ADC"/>
    <w:rsid w:val="00C05BFE"/>
    <w:rsid w:val="00C067AF"/>
    <w:rsid w:val="00C23CD4"/>
    <w:rsid w:val="00C53FE2"/>
    <w:rsid w:val="00C61C0C"/>
    <w:rsid w:val="00C941CB"/>
    <w:rsid w:val="00CA5EFD"/>
    <w:rsid w:val="00CC2357"/>
    <w:rsid w:val="00CE51A6"/>
    <w:rsid w:val="00CF071A"/>
    <w:rsid w:val="00D058B8"/>
    <w:rsid w:val="00D376F4"/>
    <w:rsid w:val="00D56C11"/>
    <w:rsid w:val="00D834A0"/>
    <w:rsid w:val="00D872DF"/>
    <w:rsid w:val="00D91E21"/>
    <w:rsid w:val="00DA7FCD"/>
    <w:rsid w:val="00DD0266"/>
    <w:rsid w:val="00E365E1"/>
    <w:rsid w:val="00E47CCB"/>
    <w:rsid w:val="00E74346"/>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6781E"/>
  <w15:chartTrackingRefBased/>
  <w15:docId w15:val="{D719BCF0-714A-438A-A282-77416CFEA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74346"/>
    <w:pPr>
      <w:spacing w:before="480" w:after="240"/>
    </w:pPr>
  </w:style>
  <w:style w:type="paragraph" w:customStyle="1" w:styleId="NormalHanging12a">
    <w:name w:val="NormalHanging12a"/>
    <w:basedOn w:val="Normal"/>
    <w:link w:val="NormalHanging12aChar"/>
    <w:qFormat/>
    <w:rsid w:val="00E74346"/>
    <w:pPr>
      <w:spacing w:after="240"/>
      <w:ind w:left="567" w:hanging="567"/>
    </w:pPr>
  </w:style>
  <w:style w:type="paragraph" w:customStyle="1" w:styleId="NormalHangingLeft12a">
    <w:name w:val="NormalHangingLeft12a"/>
    <w:basedOn w:val="Normal"/>
    <w:rsid w:val="00E74346"/>
    <w:pPr>
      <w:spacing w:after="240"/>
      <w:ind w:left="1134" w:hanging="567"/>
    </w:pPr>
  </w:style>
  <w:style w:type="paragraph" w:customStyle="1" w:styleId="NormalHanging">
    <w:name w:val="NormalHanging"/>
    <w:basedOn w:val="Normal"/>
    <w:rsid w:val="00E74346"/>
    <w:pPr>
      <w:spacing w:after="240"/>
      <w:ind w:left="566" w:hanging="566"/>
    </w:pPr>
    <w:rPr>
      <w:szCs w:val="24"/>
      <w:lang w:eastAsia="en-US"/>
    </w:rPr>
  </w:style>
  <w:style w:type="character" w:customStyle="1" w:styleId="NormalHanging12aChar">
    <w:name w:val="NormalHanging12a Char"/>
    <w:basedOn w:val="DefaultParagraphFont"/>
    <w:link w:val="NormalHanging12a"/>
    <w:rsid w:val="00E74346"/>
    <w:rPr>
      <w:sz w:val="24"/>
      <w:lang w:val="hu-HU"/>
    </w:rPr>
  </w:style>
  <w:style w:type="character" w:styleId="Hyperlink">
    <w:name w:val="Hyperlink"/>
    <w:basedOn w:val="DefaultParagraphFont"/>
    <w:rsid w:val="00E74346"/>
    <w:rPr>
      <w:color w:val="0000FF"/>
      <w:u w:val="single"/>
    </w:rPr>
  </w:style>
  <w:style w:type="paragraph" w:styleId="Revision">
    <w:name w:val="Revision"/>
    <w:hidden/>
    <w:uiPriority w:val="99"/>
    <w:semiHidden/>
    <w:rsid w:val="00A81C1D"/>
    <w:rPr>
      <w:sz w:val="24"/>
      <w:lang w:val="hu-HU"/>
    </w:rPr>
  </w:style>
  <w:style w:type="character" w:styleId="CommentReference">
    <w:name w:val="annotation reference"/>
    <w:basedOn w:val="DefaultParagraphFont"/>
    <w:rsid w:val="00840AB0"/>
    <w:rPr>
      <w:sz w:val="16"/>
      <w:szCs w:val="16"/>
    </w:rPr>
  </w:style>
  <w:style w:type="paragraph" w:styleId="CommentText">
    <w:name w:val="annotation text"/>
    <w:basedOn w:val="Normal"/>
    <w:link w:val="CommentTextChar"/>
    <w:rsid w:val="00840AB0"/>
    <w:rPr>
      <w:sz w:val="20"/>
    </w:rPr>
  </w:style>
  <w:style w:type="character" w:customStyle="1" w:styleId="CommentTextChar">
    <w:name w:val="Comment Text Char"/>
    <w:basedOn w:val="DefaultParagraphFont"/>
    <w:link w:val="CommentText"/>
    <w:rsid w:val="00840AB0"/>
    <w:rPr>
      <w:lang w:val="hu-HU"/>
    </w:rPr>
  </w:style>
  <w:style w:type="paragraph" w:styleId="CommentSubject">
    <w:name w:val="annotation subject"/>
    <w:basedOn w:val="CommentText"/>
    <w:next w:val="CommentText"/>
    <w:link w:val="CommentSubjectChar"/>
    <w:rsid w:val="00840AB0"/>
    <w:rPr>
      <w:b/>
      <w:bCs/>
    </w:rPr>
  </w:style>
  <w:style w:type="character" w:customStyle="1" w:styleId="CommentSubjectChar">
    <w:name w:val="Comment Subject Char"/>
    <w:basedOn w:val="CommentTextChar"/>
    <w:link w:val="CommentSubject"/>
    <w:rsid w:val="00840AB0"/>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1996/2271/oj" TargetMode="External"/><Relationship Id="rId1" Type="http://schemas.openxmlformats.org/officeDocument/2006/relationships/hyperlink" Target="http://data.europa.eu/eli/C/2025/4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7165</Words>
  <Characters>52305</Characters>
  <Application>Microsoft Office Word</Application>
  <DocSecurity>0</DocSecurity>
  <Lines>2615</Lines>
  <Paragraphs>762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2026-06-29T10:59:00Z</dcterms:created>
  <dcterms:modified xsi:type="dcterms:W3CDTF">2026-06-29T10:59:00Z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A10-0103/2026</vt:lpwstr>
  </property>
  <property fmtid="{D5CDD505-2E9C-101B-9397-08002B2CF9AE}" pid="4" name="&lt;Type&gt;">
    <vt:lpwstr>RR</vt:lpwstr>
  </property>
</Properties>
</file>