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0308F" w14:paraId="6912952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89966C" w14:textId="77777777" w:rsidR="00751A4A" w:rsidRPr="00E0308F" w:rsidRDefault="00B057F7" w:rsidP="0010095E">
            <w:pPr>
              <w:pStyle w:val="EPName"/>
            </w:pPr>
            <w:r w:rsidRPr="00E0308F">
              <w:t>Parlament Europejski</w:t>
            </w:r>
          </w:p>
          <w:p w14:paraId="155C5D0B" w14:textId="77777777" w:rsidR="00751A4A" w:rsidRPr="00E0308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308F">
              <w:t>2024</w:t>
            </w:r>
            <w:r w:rsidR="00817416" w:rsidRPr="00E0308F">
              <w:t>-202</w:t>
            </w:r>
            <w:r w:rsidRPr="00E0308F">
              <w:t>9</w:t>
            </w:r>
          </w:p>
        </w:tc>
        <w:tc>
          <w:tcPr>
            <w:tcW w:w="2268" w:type="dxa"/>
            <w:shd w:val="clear" w:color="auto" w:fill="auto"/>
          </w:tcPr>
          <w:p w14:paraId="136A1E21" w14:textId="77777777" w:rsidR="00751A4A" w:rsidRPr="00E0308F" w:rsidRDefault="00187494" w:rsidP="0010095E">
            <w:pPr>
              <w:pStyle w:val="EPLogo"/>
            </w:pPr>
            <w:r w:rsidRPr="00E0308F">
              <w:rPr>
                <w:noProof/>
                <w:lang w:eastAsia="ja-JP"/>
              </w:rPr>
              <w:drawing>
                <wp:inline distT="0" distB="0" distL="0" distR="0" wp14:anchorId="0CC20EC1" wp14:editId="0BBCB24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EFF539" w14:textId="77777777" w:rsidR="00D058B8" w:rsidRPr="00E0308F" w:rsidRDefault="00D058B8" w:rsidP="004C5D52">
      <w:pPr>
        <w:pStyle w:val="LineTop"/>
      </w:pPr>
    </w:p>
    <w:p w14:paraId="789F4433" w14:textId="77777777" w:rsidR="00680577" w:rsidRPr="00E0308F" w:rsidRDefault="00B057F7" w:rsidP="00680577">
      <w:pPr>
        <w:pStyle w:val="EPBodyTA1"/>
      </w:pPr>
      <w:r w:rsidRPr="00E0308F">
        <w:t>TEKSTY PRZYJĘTE</w:t>
      </w:r>
    </w:p>
    <w:p w14:paraId="11085716" w14:textId="77777777" w:rsidR="00D058B8" w:rsidRPr="00E0308F" w:rsidRDefault="00D058B8" w:rsidP="00D058B8">
      <w:pPr>
        <w:pStyle w:val="LineBottom"/>
      </w:pPr>
    </w:p>
    <w:p w14:paraId="08019287" w14:textId="10C26F45" w:rsidR="00B057F7" w:rsidRPr="00E0308F" w:rsidRDefault="00B057F7" w:rsidP="00B057F7">
      <w:pPr>
        <w:pStyle w:val="ATHeading1"/>
      </w:pPr>
      <w:bookmarkStart w:id="0" w:name="TANumber"/>
      <w:r w:rsidRPr="00E0308F">
        <w:t>P10_</w:t>
      </w:r>
      <w:proofErr w:type="gramStart"/>
      <w:r w:rsidRPr="00E0308F">
        <w:t>TA(</w:t>
      </w:r>
      <w:proofErr w:type="gramEnd"/>
      <w:r w:rsidRPr="00E0308F">
        <w:t>2026)0</w:t>
      </w:r>
      <w:bookmarkEnd w:id="0"/>
      <w:r w:rsidR="00AF0D59">
        <w:t>182</w:t>
      </w:r>
    </w:p>
    <w:p w14:paraId="3F5F0CF9" w14:textId="1726D9F2" w:rsidR="00B057F7" w:rsidRPr="0085242A" w:rsidRDefault="0085242A" w:rsidP="00B057F7">
      <w:pPr>
        <w:pStyle w:val="ATHeading2"/>
      </w:pPr>
      <w:r w:rsidRPr="0085242A">
        <w:t>Zalecenie w sprawie 81. sesji Zgromadzenia Ogólnego Narodów Zjednoczonych</w:t>
      </w:r>
    </w:p>
    <w:p w14:paraId="3C8194AF" w14:textId="77777777" w:rsidR="00B057F7" w:rsidRPr="00E0308F" w:rsidRDefault="00B057F7" w:rsidP="00B057F7">
      <w:pPr>
        <w:rPr>
          <w:i/>
          <w:vanish/>
        </w:rPr>
      </w:pPr>
      <w:r w:rsidRPr="00E0308F">
        <w:rPr>
          <w:i/>
        </w:rPr>
        <w:fldChar w:fldCharType="begin"/>
      </w:r>
      <w:r w:rsidRPr="00E0308F">
        <w:rPr>
          <w:i/>
        </w:rPr>
        <w:instrText xml:space="preserve"> TC"(</w:instrText>
      </w:r>
      <w:bookmarkStart w:id="1" w:name="DocNumber"/>
      <w:r w:rsidRPr="00E0308F">
        <w:rPr>
          <w:i/>
        </w:rPr>
        <w:instrText>A10-0103/2026</w:instrText>
      </w:r>
      <w:bookmarkEnd w:id="1"/>
      <w:r w:rsidRPr="00E0308F">
        <w:rPr>
          <w:i/>
        </w:rPr>
        <w:instrText xml:space="preserve"> - Sprawozdawca: Andrey Kovatchev)"\l3 \n&gt; \* MERGEFORMAT </w:instrText>
      </w:r>
      <w:r w:rsidRPr="00E0308F">
        <w:rPr>
          <w:i/>
        </w:rPr>
        <w:fldChar w:fldCharType="end"/>
      </w:r>
    </w:p>
    <w:p w14:paraId="5231CA73" w14:textId="77777777" w:rsidR="00B057F7" w:rsidRPr="00E0308F" w:rsidRDefault="00B057F7" w:rsidP="00B057F7">
      <w:pPr>
        <w:rPr>
          <w:vanish/>
        </w:rPr>
      </w:pPr>
      <w:bookmarkStart w:id="2" w:name="Commission"/>
      <w:r w:rsidRPr="00E0308F">
        <w:rPr>
          <w:vanish/>
        </w:rPr>
        <w:t>Komisja Spraw Zagranicznych</w:t>
      </w:r>
      <w:bookmarkEnd w:id="2"/>
    </w:p>
    <w:p w14:paraId="5B30858D" w14:textId="77777777" w:rsidR="00B057F7" w:rsidRPr="00E0308F" w:rsidRDefault="00B057F7" w:rsidP="00B057F7">
      <w:pPr>
        <w:rPr>
          <w:vanish/>
        </w:rPr>
      </w:pPr>
      <w:bookmarkStart w:id="3" w:name="PE"/>
      <w:r w:rsidRPr="00E0308F">
        <w:rPr>
          <w:vanish/>
        </w:rPr>
        <w:t>PE778.304</w:t>
      </w:r>
      <w:bookmarkEnd w:id="3"/>
    </w:p>
    <w:p w14:paraId="6F806203" w14:textId="0BEF8C24" w:rsidR="00B057F7" w:rsidRPr="00E0308F" w:rsidRDefault="00B057F7" w:rsidP="00B057F7">
      <w:pPr>
        <w:pStyle w:val="ATHeading3"/>
      </w:pPr>
      <w:bookmarkStart w:id="4" w:name="Sujet"/>
      <w:r w:rsidRPr="00E0308F">
        <w:t xml:space="preserve">Zalecenie Parlamentu Europejskiego </w:t>
      </w:r>
      <w:r w:rsidR="0085242A">
        <w:t>z dnia 20 maja 2026 r.</w:t>
      </w:r>
      <w:r w:rsidRPr="00E0308F">
        <w:t xml:space="preserve"> dla Rady, dla Komisji i dla wiceprzewodniczącej Komisji / wysokiej przedstawicielki Unii do spraw zagranicznych i polityki bezpieczeństwa w sprawie 81. sesji Zgromadzenia Ogólnego Narodów Zjednoczonych</w:t>
      </w:r>
      <w:bookmarkEnd w:id="4"/>
      <w:r w:rsidRPr="00E0308F">
        <w:t xml:space="preserve"> </w:t>
      </w:r>
      <w:bookmarkStart w:id="5" w:name="References"/>
      <w:r w:rsidRPr="00E0308F">
        <w:t>(2025/2167(INI))</w:t>
      </w:r>
      <w:bookmarkEnd w:id="5"/>
    </w:p>
    <w:p w14:paraId="113BD15F" w14:textId="77777777" w:rsidR="00EF5C53" w:rsidRPr="00E0308F" w:rsidRDefault="00EF5C53" w:rsidP="00EF5C53">
      <w:pPr>
        <w:pStyle w:val="EPComma"/>
      </w:pPr>
      <w:r w:rsidRPr="00E0308F">
        <w:rPr>
          <w:i/>
          <w:iCs/>
        </w:rPr>
        <w:t>Parlament Europejski</w:t>
      </w:r>
      <w:r w:rsidRPr="00E0308F">
        <w:t>,</w:t>
      </w:r>
    </w:p>
    <w:p w14:paraId="3EDBF604" w14:textId="77777777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 xml:space="preserve">uwzględniając </w:t>
      </w:r>
      <w:r w:rsidRPr="00E0308F">
        <w:rPr>
          <w:snapToGrid w:val="0"/>
        </w:rPr>
        <w:t>Kartę</w:t>
      </w:r>
      <w:r w:rsidRPr="00E0308F">
        <w:t xml:space="preserve"> Narodów Zjednoczonych,</w:t>
      </w:r>
    </w:p>
    <w:p w14:paraId="1779BC64" w14:textId="77777777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>uwzględniając Traktat o Unii Europejskiej (TUE), w szczególności jego art. 21, 34 i 36,</w:t>
      </w:r>
    </w:p>
    <w:p w14:paraId="343D0000" w14:textId="77777777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>uwzględniając Traktat o funkcjonowaniu Unii Europejskiej (TFUE), w szczególności jego art. 208, 214 i 220,</w:t>
      </w:r>
    </w:p>
    <w:p w14:paraId="2335D845" w14:textId="77777777" w:rsidR="00EF5C53" w:rsidRPr="00E0308F" w:rsidRDefault="00EF5C53" w:rsidP="009E6F13">
      <w:pPr>
        <w:pStyle w:val="NormalHanging12a"/>
        <w:rPr>
          <w:bCs/>
          <w:iCs/>
        </w:rPr>
      </w:pPr>
      <w:r w:rsidRPr="00E0308F">
        <w:t>–</w:t>
      </w:r>
      <w:r w:rsidRPr="00E0308F">
        <w:tab/>
        <w:t xml:space="preserve">uwzględniając Powszechną deklarację praw człowieka, w szczególności preambułę do niej i jej art. 18, a także konwencje ONZ w sprawie praw człowieka oraz protokoły fakultatywne do nich, </w:t>
      </w:r>
    </w:p>
    <w:p w14:paraId="63B6817E" w14:textId="77777777" w:rsidR="00EF5C53" w:rsidRPr="00E0308F" w:rsidRDefault="00EF5C53" w:rsidP="009E6F13">
      <w:pPr>
        <w:pStyle w:val="NormalHanging12a"/>
        <w:rPr>
          <w:bCs/>
          <w:iCs/>
        </w:rPr>
      </w:pPr>
      <w:r w:rsidRPr="00E0308F">
        <w:t>–</w:t>
      </w:r>
      <w:r w:rsidRPr="00E0308F">
        <w:tab/>
        <w:t xml:space="preserve">uwzględniając Agendę na rzecz zrównoważonego rozwoju 2030 i cele zrównoważonego rozwoju Organizacji Narodów Zjednoczonych, </w:t>
      </w:r>
    </w:p>
    <w:p w14:paraId="6B92A1FA" w14:textId="77777777" w:rsidR="00EF5C53" w:rsidRPr="00E0308F" w:rsidRDefault="00EF5C53" w:rsidP="009E6F13">
      <w:pPr>
        <w:pStyle w:val="NormalHanging12a"/>
        <w:rPr>
          <w:bCs/>
          <w:iCs/>
        </w:rPr>
      </w:pPr>
      <w:r w:rsidRPr="00E0308F">
        <w:t>–</w:t>
      </w:r>
      <w:r w:rsidRPr="00E0308F">
        <w:tab/>
        <w:t xml:space="preserve">uwzględniając Traktat o handlu bronią, </w:t>
      </w:r>
    </w:p>
    <w:p w14:paraId="735CE08A" w14:textId="77777777" w:rsidR="00EF5C53" w:rsidRPr="00E0308F" w:rsidRDefault="00EF5C53" w:rsidP="009E6F13">
      <w:pPr>
        <w:pStyle w:val="NormalHanging12a"/>
        <w:rPr>
          <w:bCs/>
          <w:iCs/>
        </w:rPr>
      </w:pPr>
      <w:r w:rsidRPr="00E0308F">
        <w:t>–</w:t>
      </w:r>
      <w:r w:rsidRPr="00E0308F">
        <w:tab/>
        <w:t xml:space="preserve">uwzględniając Konwencję ONZ w sprawie likwidacji wszelkich form dyskryminacji kobiet, </w:t>
      </w:r>
    </w:p>
    <w:p w14:paraId="4D1EFD8D" w14:textId="77777777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>uwzględniając 80. sesję Zgromadzenia Ogólnego Narodów Zjednoczonych oraz komunikat sekretarza generalnego z okazji 80. rocznicy ONZ,</w:t>
      </w:r>
    </w:p>
    <w:p w14:paraId="38F1E7F5" w14:textId="0B22252D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 xml:space="preserve">uwzględniając rezolucję Zgromadzenia Ogólnego ONZ nr 79/318 z </w:t>
      </w:r>
      <w:r w:rsidR="0085242A">
        <w:t xml:space="preserve">dnia </w:t>
      </w:r>
      <w:r w:rsidRPr="00E0308F">
        <w:t>18 lipca 2025 r. w sprawie inicjatywy ONZ-80,</w:t>
      </w:r>
    </w:p>
    <w:p w14:paraId="335C84C3" w14:textId="5956F405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 xml:space="preserve">uwzględniając rezolucję Zgromadzenia Ogólnego ONZ ES-11/7 z </w:t>
      </w:r>
      <w:r w:rsidR="0085242A">
        <w:t xml:space="preserve">dnia </w:t>
      </w:r>
      <w:r w:rsidRPr="00E0308F">
        <w:t>24 lutego 2025 r. w sprawie dążenia do pełnego, sprawiedliwego i trwałego pokoju w Ukrainie,</w:t>
      </w:r>
    </w:p>
    <w:p w14:paraId="7F5DEFBF" w14:textId="01119AFC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 xml:space="preserve">uwzględniając rezolucję Zgromadzenia Ogólnego ONZ nr 79/174 z </w:t>
      </w:r>
      <w:r w:rsidR="0085242A">
        <w:t xml:space="preserve">dnia </w:t>
      </w:r>
      <w:r w:rsidRPr="00E0308F">
        <w:t>17 grudnia 2024 r. w sprawie wolności religii i przekonań,</w:t>
      </w:r>
    </w:p>
    <w:p w14:paraId="51C37A75" w14:textId="20E9D141" w:rsidR="00EF5C53" w:rsidRPr="00E0308F" w:rsidRDefault="00EF5C53" w:rsidP="009E6F13">
      <w:pPr>
        <w:pStyle w:val="NormalHanging12a"/>
      </w:pPr>
      <w:r w:rsidRPr="00E0308F">
        <w:lastRenderedPageBreak/>
        <w:t>–</w:t>
      </w:r>
      <w:r w:rsidRPr="00E0308F">
        <w:tab/>
        <w:t xml:space="preserve">uwzględniając rezolucję Zgromadzenia Ogólnego ONZ nr 79/1 z </w:t>
      </w:r>
      <w:r w:rsidR="0085242A">
        <w:t xml:space="preserve">dnia </w:t>
      </w:r>
      <w:r w:rsidRPr="00E0308F">
        <w:t>22 września 2024 r. w sprawie Paktu dla przyszłości,</w:t>
      </w:r>
    </w:p>
    <w:p w14:paraId="533DAEF2" w14:textId="56929DEF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 xml:space="preserve">uwzględniając rezolucję Zgromadzenia Ogólnego ONZ nr ES-11/4 z </w:t>
      </w:r>
      <w:r w:rsidR="0085242A">
        <w:t xml:space="preserve">dnia </w:t>
      </w:r>
      <w:r w:rsidRPr="00E0308F">
        <w:t xml:space="preserve">12 października 2022 r. w sprawie integralności terytorialnej Ukrainy; </w:t>
      </w:r>
    </w:p>
    <w:p w14:paraId="006D6EF5" w14:textId="5439F804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</w:r>
      <w:r w:rsidRPr="00E0308F">
        <w:rPr>
          <w:snapToGrid w:val="0"/>
        </w:rPr>
        <w:t>uwzględniając rezolucję Zgromadzenia Ogólnego ONZ nr 65/276 z</w:t>
      </w:r>
      <w:r w:rsidRPr="00E0308F">
        <w:t xml:space="preserve"> </w:t>
      </w:r>
      <w:r w:rsidR="0085242A">
        <w:t xml:space="preserve">dnia </w:t>
      </w:r>
      <w:r w:rsidRPr="00E0308F">
        <w:rPr>
          <w:snapToGrid w:val="0"/>
        </w:rPr>
        <w:t>10 maja 2011 r. w sprawie udziału Unii Europejskiej w pracach Organizacji Narodów Zjednoczonych</w:t>
      </w:r>
      <w:r w:rsidRPr="00E0308F">
        <w:t>,</w:t>
      </w:r>
    </w:p>
    <w:p w14:paraId="014655D8" w14:textId="1784B7A4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 xml:space="preserve">uwzględniając rezolucję Zgromadzenia Ogólnego ONZ 377 (V) z </w:t>
      </w:r>
      <w:r w:rsidR="0085242A">
        <w:t xml:space="preserve">dnia </w:t>
      </w:r>
      <w:r w:rsidRPr="00E0308F">
        <w:t xml:space="preserve">3 listopada 1950 r. pt. „Zjednoczeni dla pokoju”, </w:t>
      </w:r>
    </w:p>
    <w:p w14:paraId="0257F2BA" w14:textId="15F65DD2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>uwzględniając rezolucję Rady Bezpieczeństwa ONZ nr 1325 z </w:t>
      </w:r>
      <w:r w:rsidR="0085242A">
        <w:t xml:space="preserve">dnia </w:t>
      </w:r>
      <w:r w:rsidRPr="00E0308F">
        <w:t xml:space="preserve">31 października 2000 r. w sprawie kobiet, pokoju i bezpieczeństwa, </w:t>
      </w:r>
    </w:p>
    <w:p w14:paraId="03076B7A" w14:textId="73448BA6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 xml:space="preserve">uwzględniając rezolucję Rady Bezpieczeństwa ONZ nr 2803 z </w:t>
      </w:r>
      <w:r w:rsidR="0085242A">
        <w:t xml:space="preserve">dnia </w:t>
      </w:r>
      <w:r w:rsidRPr="00E0308F">
        <w:t xml:space="preserve">17 listopada 2025 r. w sprawie przyjęcia planu zawieszenia broni w Strefie Gazy, </w:t>
      </w:r>
    </w:p>
    <w:p w14:paraId="4EB2DE5D" w14:textId="06E13459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 xml:space="preserve">uwzględniając rezolucję Rady Bezpieczeństwa ONZ nr 2817 z </w:t>
      </w:r>
      <w:r w:rsidR="0085242A">
        <w:t xml:space="preserve">dnia </w:t>
      </w:r>
      <w:r w:rsidRPr="00E0308F">
        <w:t>11 marca 2026 r. w sprawie potępienia irańskich ataków na państwa sąsiadujące w regionie,</w:t>
      </w:r>
    </w:p>
    <w:p w14:paraId="3F097BA0" w14:textId="646CFB09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 xml:space="preserve">uwzględniając plan działania inicjatywy ONZ-80 z </w:t>
      </w:r>
      <w:r w:rsidR="0085242A">
        <w:t xml:space="preserve">dnia </w:t>
      </w:r>
      <w:r w:rsidRPr="00E0308F">
        <w:t xml:space="preserve">21 listopada 2025 r., </w:t>
      </w:r>
    </w:p>
    <w:p w14:paraId="69D87D1E" w14:textId="682DAACE" w:rsidR="00EF5C53" w:rsidRPr="00E0308F" w:rsidRDefault="00EF5C53" w:rsidP="009E6F13">
      <w:pPr>
        <w:pStyle w:val="NormalHanging12a"/>
        <w:rPr>
          <w:snapToGrid w:val="0"/>
          <w:szCs w:val="24"/>
        </w:rPr>
      </w:pPr>
      <w:r w:rsidRPr="00E0308F">
        <w:t>–</w:t>
      </w:r>
      <w:r w:rsidRPr="00E0308F">
        <w:tab/>
      </w:r>
      <w:r w:rsidRPr="00E0308F">
        <w:rPr>
          <w:snapToGrid w:val="0"/>
        </w:rPr>
        <w:t xml:space="preserve">uwzględniając sprawozdanie sekretarza generalnego ONZ z </w:t>
      </w:r>
      <w:r w:rsidR="0085242A">
        <w:t xml:space="preserve">dnia </w:t>
      </w:r>
      <w:r w:rsidRPr="00E0308F">
        <w:rPr>
          <w:snapToGrid w:val="0"/>
        </w:rPr>
        <w:t>18 września 2025 r. pt. „Zmiana paradygmatu: zjednoczeni do realizacji”,</w:t>
      </w:r>
    </w:p>
    <w:p w14:paraId="3144D97E" w14:textId="5E55A296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</w:r>
      <w:r w:rsidRPr="00E0308F">
        <w:rPr>
          <w:snapToGrid w:val="0"/>
        </w:rPr>
        <w:t xml:space="preserve">uwzględniając sprawozdanie sekretarza generalnego ONZ z </w:t>
      </w:r>
      <w:r w:rsidR="0085242A">
        <w:t xml:space="preserve">dnia </w:t>
      </w:r>
      <w:r w:rsidRPr="00E0308F">
        <w:rPr>
          <w:snapToGrid w:val="0"/>
        </w:rPr>
        <w:t>4 września 2025 r. w sprawie</w:t>
      </w:r>
      <w:r w:rsidRPr="00E0308F">
        <w:t xml:space="preserve"> zmienionych szacunków dotyczących proponowanego budżetu programowego na 2026 r. oraz rachunku wsparcia dla operacji pokojowych na lata 2025–2026, </w:t>
      </w:r>
    </w:p>
    <w:p w14:paraId="39587856" w14:textId="1585FBA4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</w:r>
      <w:r w:rsidRPr="00E0308F">
        <w:rPr>
          <w:snapToGrid w:val="0"/>
        </w:rPr>
        <w:t>uwzględniając sprawozdanie sekretarza generalnego ONZ z</w:t>
      </w:r>
      <w:r w:rsidRPr="00E0308F">
        <w:t xml:space="preserve"> </w:t>
      </w:r>
      <w:r w:rsidR="0085242A">
        <w:t xml:space="preserve">dnia </w:t>
      </w:r>
      <w:r w:rsidRPr="00E0308F">
        <w:t>31 lipca 2025 r. na temat przeglądu wykonania mandatu,</w:t>
      </w:r>
    </w:p>
    <w:p w14:paraId="120D529D" w14:textId="2390F0DA" w:rsidR="00EF5C53" w:rsidRPr="00E0308F" w:rsidRDefault="00EF5C53" w:rsidP="009E6F13">
      <w:pPr>
        <w:widowControl/>
        <w:spacing w:after="240"/>
        <w:ind w:left="567" w:hanging="567"/>
      </w:pPr>
      <w:r w:rsidRPr="00E0308F">
        <w:t>–</w:t>
      </w:r>
      <w:r w:rsidRPr="00E0308F">
        <w:tab/>
        <w:t xml:space="preserve">uwzględniając swoje rezolucje z </w:t>
      </w:r>
      <w:r w:rsidR="0085242A">
        <w:t xml:space="preserve">dnia </w:t>
      </w:r>
      <w:r w:rsidRPr="00E0308F">
        <w:t>21 stycznia 2026 r.: w sprawie wdrażania wspólnej polityki zagranicznej i bezpieczeństwa – sprawozdanie roczne za 2025 r.</w:t>
      </w:r>
      <w:r w:rsidRPr="00E0308F">
        <w:rPr>
          <w:rStyle w:val="FootnoteReference"/>
        </w:rPr>
        <w:footnoteReference w:id="1"/>
      </w:r>
      <w:r w:rsidRPr="00E0308F">
        <w:t>, a także w sprawie praw człowieka i demokracji na świecie oraz polityki Unii Europejskiej w tym zakresie – sprawozdanie roczne za 2025 r.</w:t>
      </w:r>
      <w:r w:rsidRPr="00E0308F">
        <w:rPr>
          <w:rStyle w:val="FootnoteReference"/>
        </w:rPr>
        <w:footnoteReference w:id="2"/>
      </w:r>
      <w:r w:rsidRPr="00E0308F">
        <w:t xml:space="preserve">, </w:t>
      </w:r>
    </w:p>
    <w:p w14:paraId="2426FC92" w14:textId="3759917D" w:rsidR="00EF5C53" w:rsidRPr="009E6F13" w:rsidRDefault="00EF5C53" w:rsidP="009E6F13">
      <w:pPr>
        <w:widowControl/>
        <w:spacing w:after="240"/>
        <w:ind w:left="567" w:hanging="567"/>
        <w:rPr>
          <w:snapToGrid w:val="0"/>
          <w:szCs w:val="24"/>
        </w:rPr>
      </w:pPr>
      <w:r w:rsidRPr="00E0308F">
        <w:t>–</w:t>
      </w:r>
      <w:r w:rsidRPr="00E0308F">
        <w:tab/>
      </w:r>
      <w:r w:rsidRPr="009E6F13">
        <w:rPr>
          <w:snapToGrid w:val="0"/>
        </w:rPr>
        <w:t xml:space="preserve">uwzględniając swoje zalecenie dla Rady z </w:t>
      </w:r>
      <w:r w:rsidR="0085242A">
        <w:t xml:space="preserve">dnia </w:t>
      </w:r>
      <w:r w:rsidRPr="009E6F13">
        <w:rPr>
          <w:snapToGrid w:val="0"/>
        </w:rPr>
        <w:t>9 czerwca 2021 r. w sprawie 75. i 76. sesji Zgromadzenia Ogólnego Narodów Zjednoczonych</w:t>
      </w:r>
      <w:r w:rsidRPr="00E0308F">
        <w:rPr>
          <w:rStyle w:val="FootnoteReference"/>
          <w:snapToGrid w:val="0"/>
          <w:szCs w:val="24"/>
        </w:rPr>
        <w:footnoteReference w:id="3"/>
      </w:r>
      <w:r w:rsidRPr="009E6F13">
        <w:rPr>
          <w:snapToGrid w:val="0"/>
        </w:rPr>
        <w:t>,</w:t>
      </w:r>
    </w:p>
    <w:p w14:paraId="06B434F9" w14:textId="5009B330" w:rsidR="00EF5C53" w:rsidRPr="00E0308F" w:rsidRDefault="00EF5C53" w:rsidP="009E6F13">
      <w:pPr>
        <w:widowControl/>
        <w:spacing w:after="240"/>
        <w:ind w:left="567" w:hanging="567"/>
      </w:pPr>
      <w:r w:rsidRPr="00E0308F">
        <w:t>–</w:t>
      </w:r>
      <w:r w:rsidRPr="00E0308F">
        <w:tab/>
        <w:t xml:space="preserve">uwzględniając swoją rezolucję z </w:t>
      </w:r>
      <w:r w:rsidR="0085242A">
        <w:t xml:space="preserve">dnia </w:t>
      </w:r>
      <w:r w:rsidRPr="00E0308F">
        <w:t>24 października 2024 r. w sprawie błędnego interpretowania rezolucji ONZ nr 2758 przez Chińską Republikę Ludową i jej ciągłych prowokacji wojskowych wobec Tajwanu</w:t>
      </w:r>
      <w:r w:rsidRPr="00E0308F">
        <w:rPr>
          <w:rStyle w:val="FootnoteReference"/>
        </w:rPr>
        <w:footnoteReference w:id="4"/>
      </w:r>
      <w:r w:rsidRPr="00E0308F">
        <w:t>,</w:t>
      </w:r>
    </w:p>
    <w:p w14:paraId="4A60F652" w14:textId="1BD74556" w:rsidR="00EF5C53" w:rsidRPr="009E6F13" w:rsidRDefault="00EF5C53" w:rsidP="009E6F13">
      <w:pPr>
        <w:spacing w:after="240"/>
        <w:ind w:left="567" w:hanging="567"/>
        <w:rPr>
          <w:snapToGrid w:val="0"/>
        </w:rPr>
      </w:pPr>
      <w:r w:rsidRPr="00E0308F">
        <w:t>–</w:t>
      </w:r>
      <w:r w:rsidRPr="00E0308F">
        <w:tab/>
        <w:t xml:space="preserve">uwzględniając swoją rezolucję z </w:t>
      </w:r>
      <w:r w:rsidR="0085242A">
        <w:t xml:space="preserve">dnia </w:t>
      </w:r>
      <w:r w:rsidRPr="00E0308F">
        <w:t xml:space="preserve">23 października 2020 r. w sprawie </w:t>
      </w:r>
      <w:r w:rsidRPr="00E0308F">
        <w:lastRenderedPageBreak/>
        <w:t>równouprawnienia płci w polityce zagranicznej i bezpieczeństwa UE</w:t>
      </w:r>
      <w:r w:rsidRPr="00E0308F">
        <w:rPr>
          <w:rStyle w:val="FootnoteReference"/>
        </w:rPr>
        <w:footnoteReference w:id="5"/>
      </w:r>
      <w:r w:rsidRPr="00E0308F">
        <w:t>, gdzie wspomniano o feministycznej polityce zagranicznej,</w:t>
      </w:r>
    </w:p>
    <w:p w14:paraId="04D674AB" w14:textId="2401F630" w:rsidR="00EF5C53" w:rsidRPr="009E6F13" w:rsidRDefault="00EF5C53" w:rsidP="009E6F13">
      <w:pPr>
        <w:widowControl/>
        <w:spacing w:after="240"/>
        <w:ind w:left="567" w:hanging="567"/>
        <w:rPr>
          <w:szCs w:val="24"/>
        </w:rPr>
      </w:pPr>
      <w:r w:rsidRPr="00E0308F">
        <w:t>–</w:t>
      </w:r>
      <w:r w:rsidRPr="00E0308F">
        <w:tab/>
      </w:r>
      <w:r w:rsidRPr="009E6F13">
        <w:rPr>
          <w:snapToGrid w:val="0"/>
        </w:rPr>
        <w:t xml:space="preserve">uwzględniając konkluzje Rady z </w:t>
      </w:r>
      <w:r w:rsidR="0085242A">
        <w:t xml:space="preserve">dnia </w:t>
      </w:r>
      <w:r w:rsidRPr="009E6F13">
        <w:rPr>
          <w:snapToGrid w:val="0"/>
        </w:rPr>
        <w:t>20 października 2025 r. pt. „Ulepszenie partnerstwa strategicznego UE–ONZ na rzecz pokoju i bezpieczeństwa: wspólne priorytety 2025–2028”,</w:t>
      </w:r>
    </w:p>
    <w:p w14:paraId="32468589" w14:textId="432399E9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</w:r>
      <w:r w:rsidRPr="00E0308F">
        <w:rPr>
          <w:snapToGrid w:val="0"/>
        </w:rPr>
        <w:t>uwzględniając konkluzje Rady z </w:t>
      </w:r>
      <w:r w:rsidR="0085242A">
        <w:t xml:space="preserve">dnia </w:t>
      </w:r>
      <w:r w:rsidRPr="00E0308F">
        <w:rPr>
          <w:snapToGrid w:val="0"/>
        </w:rPr>
        <w:t>23 czerwca 2025 r. w sprawie</w:t>
      </w:r>
      <w:r w:rsidRPr="00E0308F">
        <w:t xml:space="preserve"> priorytetów UE na forum ONZ podczas 80. sesji Zgromadzenia Ogólnego ONZ (wrzesień 2025 r. – wrzesień 2026 r.), </w:t>
      </w:r>
    </w:p>
    <w:p w14:paraId="567DA233" w14:textId="775CD5E1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 xml:space="preserve">uwzględniając konkluzje Rady z </w:t>
      </w:r>
      <w:r w:rsidR="0085242A">
        <w:t xml:space="preserve">dnia </w:t>
      </w:r>
      <w:r w:rsidRPr="00E0308F">
        <w:t>27 stycznia 2025 r. w sprawie priorytetów UE na rok 2025 na forach ONZ zajmujących się prawami człowieka,</w:t>
      </w:r>
    </w:p>
    <w:p w14:paraId="2CC458AB" w14:textId="136A76EB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 xml:space="preserve">uwzględniając konkluzje Rady Europejskiej z </w:t>
      </w:r>
      <w:r w:rsidR="0085242A">
        <w:t xml:space="preserve">dnia </w:t>
      </w:r>
      <w:r w:rsidRPr="00E0308F">
        <w:t>20 marca 2025 r.,</w:t>
      </w:r>
    </w:p>
    <w:p w14:paraId="038A5F4F" w14:textId="77777777" w:rsidR="00EF5C53" w:rsidRPr="00E0308F" w:rsidRDefault="00EF5C53" w:rsidP="009E6F13">
      <w:pPr>
        <w:pStyle w:val="NormalHanging12a"/>
        <w:rPr>
          <w:bCs/>
          <w:iCs/>
        </w:rPr>
      </w:pPr>
      <w:r w:rsidRPr="00E0308F">
        <w:t>–</w:t>
      </w:r>
      <w:r w:rsidRPr="00E0308F">
        <w:tab/>
        <w:t xml:space="preserve">uwzględniając ustne wnioski przewodniczącego </w:t>
      </w:r>
      <w:proofErr w:type="spellStart"/>
      <w:r w:rsidRPr="00E0308F">
        <w:t>Antónia</w:t>
      </w:r>
      <w:proofErr w:type="spellEnd"/>
      <w:r w:rsidRPr="00E0308F">
        <w:t xml:space="preserve"> </w:t>
      </w:r>
      <w:proofErr w:type="spellStart"/>
      <w:r w:rsidRPr="00E0308F">
        <w:t>Costy</w:t>
      </w:r>
      <w:proofErr w:type="spellEnd"/>
      <w:r w:rsidRPr="00E0308F">
        <w:t xml:space="preserve"> po nieformalnym posiedzeniu członków Rady Europejskiej 22 stycznia 2026 r., </w:t>
      </w:r>
    </w:p>
    <w:p w14:paraId="6E76FC3D" w14:textId="77777777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>uwzględniając art. 121 Regulaminu,</w:t>
      </w:r>
    </w:p>
    <w:p w14:paraId="65B7A63F" w14:textId="77777777" w:rsidR="00EF5C53" w:rsidRPr="00E0308F" w:rsidRDefault="00EF5C53" w:rsidP="009E6F13">
      <w:pPr>
        <w:pStyle w:val="NormalHanging12a"/>
      </w:pPr>
      <w:r w:rsidRPr="00E0308F">
        <w:t>–</w:t>
      </w:r>
      <w:r w:rsidRPr="00E0308F">
        <w:tab/>
        <w:t>uwzględniając sprawozdanie Komisji Spraw Zagranicznych (A10-0103/2026),</w:t>
      </w:r>
    </w:p>
    <w:p w14:paraId="5171A2EA" w14:textId="77777777" w:rsidR="00EF5C53" w:rsidRPr="00E0308F" w:rsidRDefault="00EF5C53" w:rsidP="00EF5C53">
      <w:pPr>
        <w:pStyle w:val="NormalHanging"/>
        <w:ind w:left="567" w:hanging="567"/>
      </w:pPr>
      <w:r w:rsidRPr="00E0308F">
        <w:t>A.</w:t>
      </w:r>
      <w:r w:rsidRPr="00E0308F">
        <w:tab/>
        <w:t>mając na uwadze, że w obecnej sytuacji geopolitycznej kluczowe znaczenie ma utrzymanie i wzmocnienie międzynarodowego porządku opartego na zasadach oraz zapewnienie skutecznego funkcjonowania organizacji międzyrządowych;</w:t>
      </w:r>
    </w:p>
    <w:p w14:paraId="0F83D7A8" w14:textId="77777777" w:rsidR="00EF5C53" w:rsidRPr="00E0308F" w:rsidRDefault="00EF5C53" w:rsidP="00EF5C53">
      <w:pPr>
        <w:pStyle w:val="NormalHanging"/>
        <w:ind w:left="567" w:hanging="567"/>
      </w:pPr>
      <w:r w:rsidRPr="00E0308F">
        <w:t>B.</w:t>
      </w:r>
      <w:r w:rsidRPr="00E0308F">
        <w:tab/>
        <w:t xml:space="preserve">mając na uwadze, że demokracja, jej systemy, standardy i wartości są podstawowymi filarami obecnego systemu wielostronnego; mając na uwadze, że państwa demokratyczne wspierają oparty na zasadach system wielostronny, ponieważ przynosi on im wzajemne korzyści; mając na uwadze, że świat państw demokratycznych, rozumianych jako dojrzałe systemy demokratyczne, jest w ogólnym rozrachunku światem bezpieczniejszym ze względu na istotne mechanizmy kontroli i równowagi, które zapobiegają nieprzewidywalnym </w:t>
      </w:r>
      <w:proofErr w:type="spellStart"/>
      <w:r w:rsidRPr="00E0308F">
        <w:t>zachowaniom</w:t>
      </w:r>
      <w:proofErr w:type="spellEnd"/>
      <w:r w:rsidRPr="00E0308F">
        <w:t xml:space="preserve"> autokracji na arenie międzynarodowej; mając na uwadze oblężenie demokracji na arenie międzynarodowej przez reżimy autorytarne, totalitarne i nieliberalne atakujące ją w swoich granicach i poza nimi; </w:t>
      </w:r>
    </w:p>
    <w:p w14:paraId="4FF50A0B" w14:textId="77777777" w:rsidR="00EF5C53" w:rsidRPr="00E0308F" w:rsidRDefault="00EF5C53" w:rsidP="00EF5C53">
      <w:pPr>
        <w:pStyle w:val="NormalHanging"/>
        <w:ind w:left="567" w:hanging="567"/>
      </w:pPr>
      <w:r w:rsidRPr="00E0308F">
        <w:t>C.</w:t>
      </w:r>
      <w:r w:rsidRPr="00E0308F">
        <w:tab/>
        <w:t xml:space="preserve">mając na uwadze, że system wielostronny stoi w obliczu rosnących zagrożeń, takich jak bezprawna rosyjska wojna napastnicza przeciwko Ukrainie, będąca atakiem na światową strukturę pokoju i bezpieczeństwa, w tym na Radę Bezpieczeństwa ONZ, oraz takich jak rosnące wpływy Chin, niepokojące wycofanie się Stanów Zjednoczonych z organizacji międzynarodowych i cięcia finansowe odbijające się w kluczowych obszarach, takich jak pomoc humanitarna, edukacja, zmiana klimatu, zagrożenia hybrydowe, prawo międzynarodowe, zdrowie i budowanie pokoju; mając na uwadze, że również z krajów demokratycznych i wśród (naturalnych) sojuszników UE odzywają się głosy krytykujące obecny stan systemu wielostronnego; mając na uwadze, że niezdolność Rady Bezpieczeństwa ONZ i jej stałych członków do działania w obliczu poważnych naruszeń Karty Narodów Zjednoczonych przyczyniła się do publicznej </w:t>
      </w:r>
      <w:r w:rsidRPr="00E0308F">
        <w:lastRenderedPageBreak/>
        <w:t xml:space="preserve">krytyki ONZ jako całości; </w:t>
      </w:r>
    </w:p>
    <w:p w14:paraId="068F22D0" w14:textId="77777777" w:rsidR="00EF5C53" w:rsidRPr="00E0308F" w:rsidRDefault="00EF5C53" w:rsidP="00EF5C53">
      <w:pPr>
        <w:pStyle w:val="NormalHanging12a"/>
        <w:rPr>
          <w:bCs/>
          <w:iCs/>
        </w:rPr>
      </w:pPr>
      <w:bookmarkStart w:id="6" w:name="_Hlk224066174"/>
      <w:r w:rsidRPr="00E0308F">
        <w:t>D.</w:t>
      </w:r>
      <w:r w:rsidRPr="00E0308F">
        <w:tab/>
        <w:t xml:space="preserve">mając na uwadze, że wykorzystywanie takich narzędzi gospodarczych jak cła, kontrola wywozu i sankcje do celów geopolitycznych poza ramami wielostronnymi może osłabić Światową Organizację Handlu, rozdrobnić gospodarkę światową, pogłębić globalne nierówności oraz negatywnie wpłynąć na kraje rozwijające się i słabsze grupy społeczne; </w:t>
      </w:r>
      <w:bookmarkEnd w:id="6"/>
    </w:p>
    <w:p w14:paraId="3C373EBC" w14:textId="77777777" w:rsidR="00EF5C53" w:rsidRPr="00E0308F" w:rsidRDefault="00EF5C53" w:rsidP="00EF5C53">
      <w:pPr>
        <w:pStyle w:val="NormalHanging12a"/>
        <w:rPr>
          <w:bCs/>
          <w:iCs/>
        </w:rPr>
      </w:pPr>
      <w:bookmarkStart w:id="7" w:name="_Hlk224066326"/>
      <w:r w:rsidRPr="00E0308F">
        <w:t>E.</w:t>
      </w:r>
      <w:r w:rsidRPr="00E0308F">
        <w:tab/>
        <w:t xml:space="preserve">mając na uwadze, że próby zdyskredytowania lub osłabienia pokojowej struktury ONZ, w tym ataki na Komisję Budowania Pokoju ONZ i szersze struktury zarządzania pokojem, to próby podważenia zdolności ONZ do zapobiegania konfliktom, wspierania odbudowy po konfliktach i gwarantowania międzynarodowego pokoju i bezpieczeństwa; </w:t>
      </w:r>
    </w:p>
    <w:bookmarkEnd w:id="7"/>
    <w:p w14:paraId="2E6E7C7A" w14:textId="77777777" w:rsidR="00EF5C53" w:rsidRPr="00E0308F" w:rsidRDefault="00EF5C53" w:rsidP="00EF5C53">
      <w:pPr>
        <w:pStyle w:val="NormalHanging12a"/>
        <w:rPr>
          <w:bCs/>
          <w:iCs/>
        </w:rPr>
      </w:pPr>
      <w:r w:rsidRPr="00E0308F">
        <w:t>F.</w:t>
      </w:r>
      <w:r w:rsidRPr="00E0308F">
        <w:tab/>
        <w:t xml:space="preserve">mając na uwadze, że globalizacja i takie wyzwania jak zmiana klimatu, nierozprzestrzenianie broni masowego rażenia, pandemie, terroryzm, walka z przestępczością zorganizowaną oraz handlem narkotykami i handlem ludźmi, a także zarządzanie migracją, wymagają wielostronnych odpowiedzi; mając na uwadze, że cięcia finansowe i wycofanie się niektórych państw z ważnych organów i platform wielostronnych osłabiły zdolność społeczności międzynarodowej do skutecznego reagowania na takie kryzysy; </w:t>
      </w:r>
    </w:p>
    <w:p w14:paraId="5FAA276A" w14:textId="77777777" w:rsidR="00EF5C53" w:rsidRPr="00E0308F" w:rsidRDefault="00EF5C53" w:rsidP="00EF5C53">
      <w:pPr>
        <w:pStyle w:val="NormalHanging12a"/>
        <w:rPr>
          <w:bCs/>
          <w:iCs/>
        </w:rPr>
      </w:pPr>
      <w:r w:rsidRPr="00E0308F">
        <w:t>G.</w:t>
      </w:r>
      <w:r w:rsidRPr="00E0308F">
        <w:tab/>
        <w:t xml:space="preserve">mając na uwadze, że system ONZ jest kamieniem węgielnym obecnego systemu wielostronnego; mając na uwadze, że nadal jest on najodpowiedniejszą strukturą dążenia do postępu, a do jego podstawowych celów należy propagowanie pokoju, praw człowieka i zrównoważonego rozwoju na szczeblu globalnym; mając na uwadze, że system ONZ może doświadczać strukturalnego osłabienia, częściowo z powodu niedostosowania do nowych podmiotów międzynarodowych podzielających jego zasady, takich jak UE; </w:t>
      </w:r>
    </w:p>
    <w:p w14:paraId="1DB6F835" w14:textId="77777777" w:rsidR="00EF5C53" w:rsidRPr="00E0308F" w:rsidRDefault="00EF5C53" w:rsidP="00EF5C53">
      <w:pPr>
        <w:pStyle w:val="NormalHanging12a"/>
        <w:rPr>
          <w:bCs/>
          <w:iCs/>
        </w:rPr>
      </w:pPr>
      <w:r w:rsidRPr="00E0308F">
        <w:t>H.</w:t>
      </w:r>
      <w:r w:rsidRPr="00E0308F">
        <w:tab/>
        <w:t xml:space="preserve">mając na uwadze, że Rada Bezpieczeństwa ONZ to organ o ogromnym znaczeniu dla utrzymania międzynarodowego pokoju i bezpieczeństwa, a wobec powagi i złożoności obecnych wyzwań powinna ona odgrywać bardziej skuteczną i decydującą rolę; </w:t>
      </w:r>
    </w:p>
    <w:p w14:paraId="0F5CD5E9" w14:textId="77777777" w:rsidR="00EF5C53" w:rsidRPr="00E0308F" w:rsidRDefault="00EF5C53" w:rsidP="00EF5C53">
      <w:pPr>
        <w:pStyle w:val="NormalHanging12a"/>
        <w:rPr>
          <w:bCs/>
          <w:iCs/>
        </w:rPr>
      </w:pPr>
      <w:r w:rsidRPr="00E0308F">
        <w:t>I.</w:t>
      </w:r>
      <w:r w:rsidRPr="00E0308F">
        <w:tab/>
        <w:t xml:space="preserve">mając na uwadze, że trzeba zreformować system ONZ, by nadal był on adekwatny do zakładanych celów; mając na uwadze, że inicjatywa ONZ-80 jest inicjatywą pożądaną; mając na uwadze, że nie można oczekiwać od ONZ, że będzie działać aktywniej, mając mniejsze zasoby; </w:t>
      </w:r>
      <w:bookmarkStart w:id="8" w:name="_Hlk224066205"/>
    </w:p>
    <w:bookmarkEnd w:id="8"/>
    <w:p w14:paraId="7786F826" w14:textId="77777777" w:rsidR="00EF5C53" w:rsidRPr="00E0308F" w:rsidRDefault="00EF5C53" w:rsidP="00EF5C53">
      <w:pPr>
        <w:pStyle w:val="NormalHanging12a"/>
        <w:rPr>
          <w:bCs/>
          <w:iCs/>
        </w:rPr>
      </w:pPr>
      <w:r w:rsidRPr="00E0308F">
        <w:t>J.</w:t>
      </w:r>
      <w:r w:rsidRPr="00E0308F">
        <w:tab/>
        <w:t xml:space="preserve">mając na uwadze, że oświadczenia i działania zagrażające suwerenności i integralności terytorialnej Królestwa Danii i Grenlandii oraz samostanowieniu Grenlandczyków naruszają podstawowe zasady prawa międzynarodowego, w tym zasadę poszanowania suwerenności, integralności terytorialnej i samostanowienia, oraz prowadzą do normalizacji dyplomacji opartej na przymusie; </w:t>
      </w:r>
    </w:p>
    <w:p w14:paraId="0FEAC5F7" w14:textId="77777777" w:rsidR="00EF5C53" w:rsidRPr="00E0308F" w:rsidRDefault="00EF5C53" w:rsidP="00EF5C53">
      <w:pPr>
        <w:pStyle w:val="NormalHanging12a"/>
        <w:rPr>
          <w:bCs/>
          <w:iCs/>
        </w:rPr>
      </w:pPr>
      <w:r w:rsidRPr="00E0308F">
        <w:t>K.</w:t>
      </w:r>
      <w:r w:rsidRPr="00E0308F">
        <w:tab/>
        <w:t xml:space="preserve">mając na uwadze, że w rezolucji Rady Bezpieczeństwa ONZ nr 2803 pozytywnie odniesiono się do utworzenia Rady Pokoju jako tymczasowej administracji z międzynarodową osobowością prawną, określającej ramy i koordynującej finansowanie rewitalizacji Strefy Gazy zgodnie z kompleksowym planem oraz – zgodnie z odpowiednimi zasadami prawa międzynarodowego – realnej ścieżki prowadzącej do rozwiązania dwupaństwowego; mając na uwadze, że m.in. przewodniczący Rady </w:t>
      </w:r>
      <w:r w:rsidRPr="00E0308F">
        <w:lastRenderedPageBreak/>
        <w:t xml:space="preserve">Europejskiej </w:t>
      </w:r>
      <w:proofErr w:type="spellStart"/>
      <w:r w:rsidRPr="00E0308F">
        <w:t>António</w:t>
      </w:r>
      <w:proofErr w:type="spellEnd"/>
      <w:r w:rsidRPr="00E0308F">
        <w:t xml:space="preserve"> Costa wyraził poważne wątpliwości co do szeregu elementów karty Rady Pokoju dotyczących zakresu jej działania, zarządzania nią i zgodności z Kartą Narodów Zjednoczonych; mając na uwadze, że Parlament wyraża solidarność z ofiarami przemocy, której dopuszczają się osadnicy na Zachodnim Brzegu;</w:t>
      </w:r>
    </w:p>
    <w:p w14:paraId="3CB94775" w14:textId="77777777" w:rsidR="00EF5C53" w:rsidRPr="00E0308F" w:rsidRDefault="00EF5C53" w:rsidP="00EF5C53">
      <w:pPr>
        <w:pStyle w:val="NormalHanging12a"/>
        <w:rPr>
          <w:bCs/>
          <w:iCs/>
        </w:rPr>
      </w:pPr>
      <w:r w:rsidRPr="00E0308F">
        <w:t>L.</w:t>
      </w:r>
      <w:r w:rsidRPr="00E0308F">
        <w:tab/>
        <w:t xml:space="preserve">mając na uwadze, że w sierpniu 2025 r. administracja Donalda </w:t>
      </w:r>
      <w:proofErr w:type="spellStart"/>
      <w:r w:rsidRPr="00E0308F">
        <w:t>Trumpa</w:t>
      </w:r>
      <w:proofErr w:type="spellEnd"/>
      <w:r w:rsidRPr="00E0308F">
        <w:t xml:space="preserve"> uniemożliwiła palestyńskiemu prezydentowi Mahmudowi </w:t>
      </w:r>
      <w:proofErr w:type="spellStart"/>
      <w:r w:rsidRPr="00E0308F">
        <w:t>Abbasowi</w:t>
      </w:r>
      <w:proofErr w:type="spellEnd"/>
      <w:r w:rsidRPr="00E0308F">
        <w:t xml:space="preserve"> i 80 palestyńskim urzędnikom udział w spotkaniu światowych przywódców na Zgromadzeniu Ogólnym ONZ w Nowym Jorku; mając na uwadze, że należy zawsze przestrzegać zasad </w:t>
      </w:r>
      <w:proofErr w:type="spellStart"/>
      <w:r w:rsidRPr="00E0308F">
        <w:t>inkluzywności</w:t>
      </w:r>
      <w:proofErr w:type="spellEnd"/>
      <w:r w:rsidRPr="00E0308F">
        <w:t xml:space="preserve"> i uniwersalności należących do podwalin systemu ONZ; </w:t>
      </w:r>
    </w:p>
    <w:p w14:paraId="2AF72C38" w14:textId="77777777" w:rsidR="00EF5C53" w:rsidRPr="00E0308F" w:rsidRDefault="00EF5C53" w:rsidP="00EF5C53">
      <w:pPr>
        <w:pStyle w:val="NormalHanging12a"/>
        <w:rPr>
          <w:bCs/>
          <w:iCs/>
        </w:rPr>
      </w:pPr>
      <w:r w:rsidRPr="00E0308F">
        <w:t>M.</w:t>
      </w:r>
      <w:r w:rsidRPr="00E0308F">
        <w:tab/>
        <w:t xml:space="preserve">mając na uwadze, że UE nadal przestrzega prawa międzynarodowego i Karty Narodów Zjednoczonych oraz zapisanych w niej przepisów i zasad, w tym zasad dotyczących suwerenności, integralności terytorialnej i samostanowienia, a także praw człowieka i podstawowych wolności, i zdecydowanie popiera wielostronny system oparty na prawie międzynarodowym, którego trzonem jest ONZ; </w:t>
      </w:r>
    </w:p>
    <w:p w14:paraId="67683C94" w14:textId="77777777" w:rsidR="00EF5C53" w:rsidRPr="00E0308F" w:rsidRDefault="00EF5C53" w:rsidP="00EF5C53">
      <w:pPr>
        <w:pStyle w:val="NormalHanging12a"/>
        <w:rPr>
          <w:bCs/>
          <w:iCs/>
        </w:rPr>
      </w:pPr>
      <w:r w:rsidRPr="00E0308F">
        <w:t>N.</w:t>
      </w:r>
      <w:r w:rsidRPr="00E0308F">
        <w:tab/>
        <w:t xml:space="preserve">mając na uwadze, że UE jako podmiot globalny powinna odgrywać większą rolę w ONZ; mając na uwadze, że UE stopniowo zwiększa swoje zdolności w dziedzinie bezpieczeństwa i obronności, aby przyjąć na siebie większą odpowiedzialność za zapobieganie konfliktom, zarządzanie kryzysowe oraz obronę i konsolidację pokoju; </w:t>
      </w:r>
    </w:p>
    <w:p w14:paraId="24E8EA9C" w14:textId="77777777" w:rsidR="00EF5C53" w:rsidRPr="00E0308F" w:rsidRDefault="00EF5C53" w:rsidP="00EF5C53">
      <w:pPr>
        <w:pStyle w:val="NormalHanging12a"/>
        <w:rPr>
          <w:bCs/>
          <w:iCs/>
        </w:rPr>
      </w:pPr>
      <w:r w:rsidRPr="00E0308F">
        <w:t>O.</w:t>
      </w:r>
      <w:r w:rsidRPr="00E0308F">
        <w:tab/>
        <w:t xml:space="preserve">mając na uwadze, że UE musi zintensyfikować współpracę ze wszystkimi partnerami, w tym z ONZ i jej agencjami, by wspólnie przyspieszyć proces reformy wewnętrznej ONZ, a tym samym zagwarantować, że pozostanie ona skuteczna, opłacalna i zdolna do sprostania rosnącym globalnym wyzwaniom naszych czasów; </w:t>
      </w:r>
    </w:p>
    <w:p w14:paraId="167D2B48" w14:textId="77777777" w:rsidR="00EF5C53" w:rsidRPr="00E0308F" w:rsidRDefault="00EF5C53" w:rsidP="00EF5C53">
      <w:pPr>
        <w:pStyle w:val="NormalHanging12a"/>
        <w:rPr>
          <w:bCs/>
          <w:iCs/>
        </w:rPr>
      </w:pPr>
      <w:r w:rsidRPr="00E0308F">
        <w:t>P.</w:t>
      </w:r>
      <w:r w:rsidRPr="00E0308F">
        <w:tab/>
        <w:t xml:space="preserve">mając na uwadze, że Komisja Spraw Zagranicznych (AFET) Parlamentu odpowiada m.in. za stosunki z ONZ w sprawach należących do jej kompetencji oraz za wspieranie, wdrażanie i monitorowanie wspólnej polityki zagranicznej i bezpieczeństwa UE, w tym przez dialog z partnerami międzynarodowymi i dyplomację parlamentarną; mając na uwadze, że doroczna sesja Zgromadzenia Ogólnego ONZ to ważne wielostronne forum służące wspieraniu priorytetów polityki zagranicznej UE i nadzorowi parlamentarnemu; mając na uwadze, że w świetle powyższego regularne wyjazdy komisji AFET na sesje Zgromadzenia Ogólnego ONZ wsparłyby ten mandat oraz umożliwiły Parlamentowi współpracę z jego odpowiednikami, zwiększyły jego rolę w stosunkach wielostronnych i podtrzymały udział UE w skutecznych i spójnych działaniach zewnętrznych; </w:t>
      </w:r>
    </w:p>
    <w:p w14:paraId="5AF21D01" w14:textId="77777777" w:rsidR="00EF5C53" w:rsidRPr="00E0308F" w:rsidRDefault="00EF5C53" w:rsidP="002F032D">
      <w:pPr>
        <w:pStyle w:val="NormalHanging12a"/>
      </w:pPr>
      <w:r w:rsidRPr="00E0308F">
        <w:t>1.</w:t>
      </w:r>
      <w:r w:rsidRPr="00E0308F">
        <w:tab/>
        <w:t>zaleca Radzie, Komisji i wiceprzewodniczącej Komisji / wysokiej przedstawicielce Unii do spraw zagranicznych i polityki bezpieczeństwa:</w:t>
      </w:r>
    </w:p>
    <w:p w14:paraId="154FA3E1" w14:textId="77777777" w:rsidR="00EF5C53" w:rsidRPr="00E0308F" w:rsidRDefault="00EF5C53" w:rsidP="0085242A">
      <w:pPr>
        <w:spacing w:after="240"/>
        <w:ind w:left="567"/>
        <w:rPr>
          <w:b/>
          <w:i/>
          <w:iCs/>
          <w:szCs w:val="24"/>
        </w:rPr>
      </w:pPr>
      <w:r w:rsidRPr="00E0308F">
        <w:rPr>
          <w:b/>
          <w:i/>
        </w:rPr>
        <w:t>Ochrona i wzmacnianie multilateralizmu</w:t>
      </w:r>
    </w:p>
    <w:p w14:paraId="2B4EB386" w14:textId="77777777" w:rsidR="00EF5C53" w:rsidRPr="00E0308F" w:rsidRDefault="00EF5C53" w:rsidP="002F032D">
      <w:pPr>
        <w:pStyle w:val="NormalHangingLeft12a"/>
      </w:pPr>
      <w:r w:rsidRPr="00E0308F">
        <w:t>a)</w:t>
      </w:r>
      <w:r w:rsidRPr="00E0308F">
        <w:tab/>
        <w:t xml:space="preserve">dalsze wspieranie skutecznego multilateralizmu, w którym prawa i normy są silniejsze niż konflikty i którego centralnym elementem jest ONZ, uzupełnionego o dwustronne stosunki UE z państwami trzecimi, w celu priorytetowego traktowania skuteczności, promowania i obrony prawa międzynarodowego oraz przestrzegania zasad Karty Narodów Zjednoczonych, w tym suwerenności, integralności terytorialnej (także stref morskich ujętych w Konwencji Narodów Zjednoczonych o prawie morza), niestosowania siły, niezależności politycznej, samostanowienia oraz ochrony praw człowieka i podstawowych wolności, a także </w:t>
      </w:r>
      <w:r w:rsidRPr="00E0308F">
        <w:lastRenderedPageBreak/>
        <w:t>sprzeciwiania się dyplomacji opartej na przymusie i próbom podważania lub osłabiania przez jakiekolwiek państwo wielostronnego porządku opartego na zasadach;</w:t>
      </w:r>
    </w:p>
    <w:p w14:paraId="0549EBC8" w14:textId="77777777" w:rsidR="00EF5C53" w:rsidRPr="00E0308F" w:rsidRDefault="00EF5C53" w:rsidP="002F032D">
      <w:pPr>
        <w:pStyle w:val="NormalHangingLeft12a"/>
      </w:pPr>
      <w:r w:rsidRPr="00E0308F">
        <w:t>b)</w:t>
      </w:r>
      <w:r w:rsidRPr="00E0308F">
        <w:tab/>
        <w:t>niezmienne bronienie poszanowania, ochrony i przestrzegania powszechnych praw człowieka, demokracji, godności ludzkiej, równości, praworządności oraz przejrzystych, wiarygodnych i integracyjnych procesów wyborczych, zgodnie z konkluzjami Rady z 2025 r. w sprawie priorytetów UE na forach ONZ zajmujących się prawami człowieka; zdecydowane bronienie zasady powszechności, niepodzielności, współzależności i wzajemnego powiązania praw człowieka, zarówno obywatelskich, kulturalnych, gospodarczych, politycznych, jak i społecznych;</w:t>
      </w:r>
    </w:p>
    <w:p w14:paraId="7FE711CC" w14:textId="77777777" w:rsidR="00EF5C53" w:rsidRPr="00E0308F" w:rsidRDefault="00EF5C53" w:rsidP="002F032D">
      <w:pPr>
        <w:pStyle w:val="NormalHangingLeft12a"/>
      </w:pPr>
      <w:r w:rsidRPr="00E0308F">
        <w:t>c)</w:t>
      </w:r>
      <w:r w:rsidRPr="00E0308F">
        <w:tab/>
        <w:t>potwierdzanie zasadniczej roli organizacji wielostronnych jako niezbędnych platform rozwiązywania konfliktów i globalnego zarządzania, a także reagowania na poważne wyzwania globalne, takie jak zmiana klimatu, zarządzanie przepływami migracyjnymi, nierozprzestrzenianie broni masowego rażenia, pandemie, terroryzm oraz walka z przestępczością zorganizowaną i handlem narkotykami, a ponadto, w ścisłej współpracy z partnerami UE mającymi podobne poglądy, podejmowanie pionierskich inicjatyw wielostronnych mocno zakorzenionych w globalnych zasadach i pomagających zapewnić bezpieczeństwo i dobrobyt Europy;</w:t>
      </w:r>
    </w:p>
    <w:p w14:paraId="5EA2BD83" w14:textId="77777777" w:rsidR="00EF5C53" w:rsidRPr="00E0308F" w:rsidRDefault="00EF5C53" w:rsidP="002F032D">
      <w:pPr>
        <w:pStyle w:val="NormalHangingLeft12a"/>
      </w:pPr>
      <w:r w:rsidRPr="00E0308F">
        <w:t>d)</w:t>
      </w:r>
      <w:r w:rsidRPr="00E0308F">
        <w:tab/>
        <w:t xml:space="preserve">podkreślanie, że stabilny, niezawodny i sprawiedliwy system wielostronny oraz fora wielostronne takie jak ONZ mają zasadnicze znaczenie dla zagwarantowania pokoju i bezpieczeństwa wobec nasilonych napięć geopolitycznych i ognisk wielowymiarowych kryzysów humanitarnych na całym świecie i muszą być elementem struktury bezpieczeństwa UE; </w:t>
      </w:r>
    </w:p>
    <w:p w14:paraId="244D34EA" w14:textId="77777777" w:rsidR="00EF5C53" w:rsidRPr="00E0308F" w:rsidRDefault="00EF5C53" w:rsidP="002F032D">
      <w:pPr>
        <w:pStyle w:val="NormalHangingLeft12a"/>
      </w:pPr>
      <w:r w:rsidRPr="00E0308F">
        <w:t>e)</w:t>
      </w:r>
      <w:r w:rsidRPr="00E0308F">
        <w:tab/>
        <w:t>odnotowywanie z zaniepokojeniem podejmowanych przez różne podmioty prób podważenia legitymacji, autorytetu i uniwersalności ONZ, osłabienia struktur zarządzania pokojem i upolitycznienia funkcjonowania organów ONZ;</w:t>
      </w:r>
    </w:p>
    <w:p w14:paraId="40F3C52E" w14:textId="77777777" w:rsidR="00EF5C53" w:rsidRPr="00E0308F" w:rsidRDefault="00EF5C53" w:rsidP="002F032D">
      <w:pPr>
        <w:pStyle w:val="NormalHangingLeft12a"/>
      </w:pPr>
      <w:bookmarkStart w:id="9" w:name="_Hlk224062540"/>
      <w:r w:rsidRPr="00E0308F">
        <w:t>f)</w:t>
      </w:r>
      <w:r w:rsidRPr="00E0308F">
        <w:tab/>
        <w:t xml:space="preserve">odnotowywanie negatywnych skutków opóźnień w płatnościach lub braku płatności ze strony głównych płatników; podkreślanie znaczenia silnego zaangażowania USA w gwarantowanie stabilności finansowej systemu ONZ, a jednocześnie przeciwdziałanie próbom osłabienia współpracy wielostronnej, w czasie gdy jest ona najbardziej potrzebna, i utrudnianiu realizacji mandatu ONZ, zwłaszcza w dziedzinie pomocy humanitarnej; podkreślanie, że trzeba aktywnie powstrzymać dążenia podmiotów autorytarnych i rewizjonistycznych do wykorzystania wycofania się mocarstw zachodnich z organizacji międzynarodowych lub ich mniejszego zaangażowania w te organizacje; </w:t>
      </w:r>
      <w:bookmarkEnd w:id="9"/>
    </w:p>
    <w:p w14:paraId="62E05D2F" w14:textId="77777777" w:rsidR="00EF5C53" w:rsidRPr="00E0308F" w:rsidRDefault="00EF5C53" w:rsidP="002F032D">
      <w:pPr>
        <w:pStyle w:val="NormalHangingLeft12a"/>
      </w:pPr>
      <w:r w:rsidRPr="00E0308F">
        <w:t>g)</w:t>
      </w:r>
      <w:r w:rsidRPr="00E0308F">
        <w:tab/>
        <w:t xml:space="preserve">dołożenie wszelkich starań o jak najszybsze uzupełnienie braków w budżecie na 2025 r., by uniknąć załamania finansowego oraz zapewnić ciągłość realizacji programów na całym świecie, efektywne funkcjonowanie siedziby głównej ONZ i zorganizowanie 81. sesji Zgromadzenia Ogólnego ONZ; </w:t>
      </w:r>
    </w:p>
    <w:p w14:paraId="5463CE5B" w14:textId="77777777" w:rsidR="00EF5C53" w:rsidRPr="00E0308F" w:rsidRDefault="00EF5C53" w:rsidP="002F032D">
      <w:pPr>
        <w:pStyle w:val="NormalHangingLeft12a"/>
      </w:pPr>
      <w:r w:rsidRPr="00E0308F">
        <w:t>h)</w:t>
      </w:r>
      <w:r w:rsidRPr="00E0308F">
        <w:tab/>
        <w:t xml:space="preserve">podkreślanie, że trzeba propagować równouprawnienie płci, wzmacniać pozycję kobiet i dziewcząt oraz w pełni wdrażać odpowiednie zobowiązania międzynarodowe, w tym program ONZ „Kobiety, pokój i bezpieczeństwo”, </w:t>
      </w:r>
      <w:r w:rsidRPr="00E0308F">
        <w:lastRenderedPageBreak/>
        <w:t>program „Młodzież, pokój i bezpieczeństwo” oraz program ONZ na rzecz kobiet; aktywne wspieranie uwzględniania równouprawnienia płci we wszystkich dziedzinach polityki i wszystkich programach ONZ, by zapewnić równy udział kobiet i młodzieży w przywództwie i wielostronnych procesach decyzyjnych, w tym przez ustrukturyzowane mechanizmy doradztwa dla młodzieży, odpowiednie zasoby oraz ochronę i propagowanie praw kobiet i dziewcząt zgodnie ze standardami międzynarodowymi; uznanie, że kobiety i dziewczęta niewspółmiernie silnie odczuwają skutki konfliktów zbrojnych, ale są też ważnymi inicjatorkami zmian w dziedzinie zapobiegania konfliktom, mediacji, budowania pokoju i odbudowy pokonfliktowej; apelowanie o pełny, równy i merytoryczny udział kobiet w procesach pokojowych i podejmowaniu decyzji oraz o odpowiednie środki i odpowiedzialność za realizację zobowiązań zapisanych w agendzie ONZ „Kobiety, pokój i bezpieczeństwo” w czasie operacji pokojowych ONZ i działań mediacyjnych;</w:t>
      </w:r>
    </w:p>
    <w:p w14:paraId="13F063AF" w14:textId="77777777" w:rsidR="00EF5C53" w:rsidRPr="00E0308F" w:rsidRDefault="00EF5C53" w:rsidP="002F032D">
      <w:pPr>
        <w:pStyle w:val="NormalHangingLeft12a"/>
      </w:pPr>
      <w:r w:rsidRPr="00E0308F">
        <w:t>i)</w:t>
      </w:r>
      <w:r w:rsidRPr="00E0308F">
        <w:tab/>
        <w:t>podkreślanie strategicznego znaczenia zbliżającego się wyboru kolejnego sekretarza generalnego ONZ; skoordynowane i przejrzyste wspieranie otwartego, pluralistycznego i opartego na zasługach procesu selekcji, by wybrany kandydat miał potwierdzone zdolności przywódcze, był niezależny i zaangażowany w przestrzeganie Karty Narodów Zjednoczonych, prawa międzynarodowego i skutecznego multilateralizmu, był w stanie poprowadzić reformę ONZ, poprawić zapobieganie konfliktom i zdecydowane reagowanie na obecne i pojawiające się globalne wyzwania w dziedzinie bezpieczeństwa; zwracanie należytej uwagi na równość płci, jeśli kandydaci będą mieć takie same kwalifikacje, w tym z myślą o mianowaniu kobiety na stanowisko sekretarza generalnego;</w:t>
      </w:r>
    </w:p>
    <w:p w14:paraId="082CF643" w14:textId="77777777" w:rsidR="00EF5C53" w:rsidRPr="00E0308F" w:rsidRDefault="00EF5C53" w:rsidP="00EF5C53">
      <w:pPr>
        <w:pStyle w:val="NormalHangingLeft12a"/>
        <w:ind w:left="1287" w:hanging="720"/>
        <w:rPr>
          <w:b/>
          <w:i/>
          <w:iCs/>
          <w:szCs w:val="24"/>
        </w:rPr>
      </w:pPr>
      <w:r w:rsidRPr="00E0308F">
        <w:rPr>
          <w:b/>
          <w:i/>
        </w:rPr>
        <w:t>Reforma systemu ONZ</w:t>
      </w:r>
    </w:p>
    <w:p w14:paraId="3FF018F8" w14:textId="77777777" w:rsidR="00EF5C53" w:rsidRPr="00E0308F" w:rsidRDefault="00EF5C53" w:rsidP="00301B9F">
      <w:pPr>
        <w:pStyle w:val="NormalHangingLeft12a"/>
      </w:pPr>
      <w:bookmarkStart w:id="10" w:name="_Hlk215756362"/>
      <w:r w:rsidRPr="00E0308F">
        <w:t>j)</w:t>
      </w:r>
      <w:r w:rsidRPr="00E0308F">
        <w:tab/>
      </w:r>
      <w:bookmarkStart w:id="11" w:name="_Hlk226618203"/>
      <w:r w:rsidRPr="00E0308F">
        <w:t>wspieranie ambitnych reform systemu ONZ oraz współpraca z państwami członkowskimi ONZ, systemem ONZ i sekretarzem generalnym w realizowaniu programu reform ONZ-80 oraz zapewnieniu ONZ zdolności do skutecznej realizacji wszystkich trzech filarów – pokoju i bezpieczeństwa, zrównoważonego rozwoju i praw człowieka – oraz poprawy skuteczności, wydajności, bezstronności, przejrzystości, równowagi finansowej i elastyczności, a także zdolności do reagowania na obecne i pojawiające się wyzwania globalne;</w:t>
      </w:r>
      <w:bookmarkEnd w:id="11"/>
    </w:p>
    <w:p w14:paraId="78FAB782" w14:textId="77777777" w:rsidR="00EF5C53" w:rsidRPr="00E0308F" w:rsidRDefault="00EF5C53" w:rsidP="002F032D">
      <w:pPr>
        <w:pStyle w:val="NormalHangingLeft12a"/>
      </w:pPr>
      <w:bookmarkStart w:id="12" w:name="_Hlk224062964"/>
      <w:r w:rsidRPr="00E0308F">
        <w:t>k)</w:t>
      </w:r>
      <w:r w:rsidRPr="00E0308F">
        <w:tab/>
        <w:t>odnotowanie inicjatywy ONZ-80 i współpraca na jej kolejnych etapach, by nie stała się tylko serią przesunięć budżetowych, zagrażających dobremu funkcjonowaniu w kluczowych obszarach, np. w dziedzinie praw człowieka; czynny udział w dyskusjach o reformie systemu składek finansowych i zwrotów w budżecie ONZ z myślą o ich bardziej terminowym wnoszeniu i o efektywnym przydziale zasobów, by rozwiać obawy co do właściwego wydatkowania środków przekazywanych ONZ;</w:t>
      </w:r>
    </w:p>
    <w:bookmarkEnd w:id="12"/>
    <w:p w14:paraId="455EF920" w14:textId="395CD4C7" w:rsidR="00EF5C53" w:rsidRPr="00E0308F" w:rsidRDefault="00EF5C53" w:rsidP="002F032D">
      <w:pPr>
        <w:pStyle w:val="NormalHangingLeft12a"/>
      </w:pPr>
      <w:r w:rsidRPr="00E0308F">
        <w:t>l)</w:t>
      </w:r>
      <w:r w:rsidRPr="00E0308F">
        <w:tab/>
        <w:t xml:space="preserve">podkreślanie, że gdy inne podmioty globalne, zwłaszcza nasi tradycyjni sojusznicy, się wycofują, UE musi wziąć na siebie większą odpowiedzialność za wspieranie, finansowanie i umacnianie instytucji wielostronnych, w tym ONZ, zwłaszcza dzięki reformie Rady Bezpieczeństwa, by lepiej odzwierciedlała dzisiejszy świat, oraz przez utrzymanie i zwiększenie podstawowego wsparcia dla ONZ i jej agencji; w tym względzie dialog z państwami trzecimi, np. z Chinami czy USA, by ich dobrowolne wkłady do systemu ONZ były współmierne do ich </w:t>
      </w:r>
      <w:r w:rsidRPr="00E0308F">
        <w:lastRenderedPageBreak/>
        <w:t>rozwoju gospodarczego i ich istotnej roli jako członków Rady Bezpieczeństwa ONZ; przypominanie zasadniczej roli Stanów Zjednoczonych w tworzeniu systemu ONZ; wyrażanie zaniepokojenia zmianą nastawienia naszego sojusznika do ONZ i szerzej rozumianego systemu wielostronnego;</w:t>
      </w:r>
      <w:r w:rsidR="00AF0D59">
        <w:t xml:space="preserve"> </w:t>
      </w:r>
      <w:r w:rsidR="00AF0D59" w:rsidRPr="001245BB">
        <w:rPr>
          <w:bCs/>
          <w:iCs/>
        </w:rPr>
        <w:t>wezwanie Stanów Zjednoczonych, jako stałego członka Rady Bezpieczeństwa ONZ, do wypełnienia zobowiązań i utrzymania międzynarodowego porządku opartego na zasadach i przestrzegania prawa międzynarodowego, a także do aktywnego przyczyniania się do pokoju;</w:t>
      </w:r>
    </w:p>
    <w:p w14:paraId="6788270D" w14:textId="77777777" w:rsidR="00EF5C53" w:rsidRPr="00E0308F" w:rsidRDefault="00EF5C53" w:rsidP="002F032D">
      <w:pPr>
        <w:pStyle w:val="NormalHangingLeft12a"/>
      </w:pPr>
      <w:r w:rsidRPr="00E0308F">
        <w:t>m)</w:t>
      </w:r>
      <w:r w:rsidRPr="00E0308F">
        <w:tab/>
        <w:t xml:space="preserve">potwierdzenie zaangażowania w realizację Paktu na rzecz przyszłości jako ważnego kroku w kierunku ożywienia ONZ, osiągnięcia założeń Agendy 2030 i celów zrównoważonego rozwoju (SDG) oraz utrzymania międzynarodowego pokoju i bezpieczeństwa; </w:t>
      </w:r>
    </w:p>
    <w:p w14:paraId="6D4F032C" w14:textId="77777777" w:rsidR="00EF5C53" w:rsidRPr="00E0308F" w:rsidRDefault="00EF5C53" w:rsidP="002F032D">
      <w:pPr>
        <w:pStyle w:val="NormalHangingLeft12a"/>
        <w:rPr>
          <w:bCs/>
          <w:iCs/>
        </w:rPr>
      </w:pPr>
      <w:r w:rsidRPr="00E0308F">
        <w:t>n)</w:t>
      </w:r>
      <w:r w:rsidRPr="00E0308F">
        <w:tab/>
        <w:t xml:space="preserve">podkreślanie, że legitymacja i trwałość porządku międzynarodowego zależą od całościowej reformy Rady Bezpieczeństwa ONZ, by była ona skuteczniejsza, bardziej </w:t>
      </w:r>
      <w:proofErr w:type="spellStart"/>
      <w:r w:rsidRPr="00E0308F">
        <w:t>inkluzywna</w:t>
      </w:r>
      <w:proofErr w:type="spellEnd"/>
      <w:r w:rsidRPr="00E0308F">
        <w:t xml:space="preserve">, przejrzystsza, bardziej demokratyczna i </w:t>
      </w:r>
      <w:proofErr w:type="spellStart"/>
      <w:r w:rsidRPr="00E0308F">
        <w:t>rozliczalna</w:t>
      </w:r>
      <w:proofErr w:type="spellEnd"/>
      <w:r w:rsidRPr="00E0308F">
        <w:t xml:space="preserve"> oraz by lepiej odzwierciedlała realia współczesnego świata, a także by wprowadzić warunki ściśle ograniczające korzystanie z prawa weta, gdy blokuje ono niezbędne działania ONZ, zwłaszcza w przypadku zbrodni wojennych i zbrodni przeciwko ludzkości, z myślą o pełnym wycofaniu prawa weta w przyszłości; podkreślenie, że Rosja utraciła legitymację stałego członka Rady Bezpieczeństwa ONZ z powodu rażącego pogwałcenia kluczowych zasad Karty Narodów Zjednoczonych, a zwłaszcza z powodu prowadzenia wojny napastniczej przeciwko Ukrainie oraz blokowania za pomocą weta decyzji dotyczących jej własnych bezprawnych działań;</w:t>
      </w:r>
    </w:p>
    <w:p w14:paraId="0B39ACF1" w14:textId="77777777" w:rsidR="00EF5C53" w:rsidRPr="00E0308F" w:rsidRDefault="00EF5C53" w:rsidP="002F032D">
      <w:pPr>
        <w:pStyle w:val="NormalHangingLeft12a"/>
        <w:rPr>
          <w:bCs/>
          <w:iCs/>
          <w:shd w:val="clear" w:color="auto" w:fill="FFFFFF" w:themeFill="background1"/>
        </w:rPr>
      </w:pPr>
      <w:bookmarkStart w:id="13" w:name="_Hlk215756386"/>
      <w:bookmarkEnd w:id="10"/>
      <w:r w:rsidRPr="00E0308F">
        <w:t>o)</w:t>
      </w:r>
      <w:r w:rsidRPr="00E0308F">
        <w:tab/>
      </w:r>
      <w:r w:rsidRPr="00E0308F">
        <w:rPr>
          <w:shd w:val="clear" w:color="auto" w:fill="FFFFFF" w:themeFill="background1"/>
        </w:rPr>
        <w:t>dążenie do uzyskania przez UE statusu stałego członka w Radzie Bezpieczeństwa ONZ,</w:t>
      </w:r>
      <w:r w:rsidRPr="00E0308F">
        <w:t xml:space="preserve"> oprócz miejsca już zajmowanego przez Francję, </w:t>
      </w:r>
      <w:r w:rsidRPr="00E0308F">
        <w:rPr>
          <w:shd w:val="clear" w:color="auto" w:fill="FFFFFF" w:themeFill="background1"/>
        </w:rPr>
        <w:t>w związku z przyszłą konsensualną reformą tego organu; dążenie do uzyskania przez UE stałego miejsca na każdym forum wielostronnym, by umocnić rolę UE jako partnera w rozmowach z państwami trzecimi;</w:t>
      </w:r>
    </w:p>
    <w:p w14:paraId="3EAC5A10" w14:textId="77777777" w:rsidR="00EF5C53" w:rsidRPr="00E0308F" w:rsidRDefault="00EF5C53" w:rsidP="002F032D">
      <w:pPr>
        <w:pStyle w:val="NormalHangingLeft12a"/>
        <w:rPr>
          <w:bCs/>
          <w:iCs/>
        </w:rPr>
      </w:pPr>
      <w:r w:rsidRPr="00E0308F">
        <w:t>p)</w:t>
      </w:r>
      <w:r w:rsidRPr="00E0308F">
        <w:tab/>
        <w:t xml:space="preserve">pochwalenie roli ONZ i jej agencji, zwłaszcza w strefach konfliktu; zdwojenie wsparcia dla multilateralizmu przez zwiększenie wsparcia politycznego i finansowego dla prac ONZ i jej agencji, a jednocześnie podkreślanie, że trzeba rozwiązać problem systemowego rozdrobnienia między organizacjami i wewnątrz nich, nakładania się i niedopasowania mandatów oraz finansowania struktur i organów ONZ; zapewnienie w następnych WRF specjalnego, wystarczającego i przewidywalnego finansowania ONZ i jej agencji; </w:t>
      </w:r>
    </w:p>
    <w:p w14:paraId="750800B6" w14:textId="526F8F49" w:rsidR="00EF5C53" w:rsidRPr="00E0308F" w:rsidRDefault="00EF5C53" w:rsidP="002F032D">
      <w:pPr>
        <w:pStyle w:val="NormalHangingLeft12a"/>
        <w:rPr>
          <w:bCs/>
          <w:iCs/>
        </w:rPr>
      </w:pPr>
      <w:r w:rsidRPr="00E0308F">
        <w:t>q)</w:t>
      </w:r>
      <w:r w:rsidRPr="00E0308F">
        <w:tab/>
        <w:t xml:space="preserve">propagowanie opinii, że miejsce Rosji jako stałego członka Rady Bezpieczeństwa ONZ jest prawnie wątpliwe, ponieważ w art. 23 Karty Narodów Zjednoczonych jako stałego członka wymieniono Związek Radziecki, a nie Rosję; </w:t>
      </w:r>
    </w:p>
    <w:p w14:paraId="4F102B58" w14:textId="77777777" w:rsidR="00EF5C53" w:rsidRPr="00E0308F" w:rsidRDefault="00EF5C53" w:rsidP="002F032D">
      <w:pPr>
        <w:pStyle w:val="NormalHangingLeft12a"/>
      </w:pPr>
      <w:r w:rsidRPr="00E0308F">
        <w:t>r)</w:t>
      </w:r>
      <w:r w:rsidRPr="00E0308F">
        <w:tab/>
        <w:t xml:space="preserve">zachęcanie państw członkowskich do koordynowania i synchronizacji działań w organach i agencjach ONZ oraz do działania na rzecz reformy systemu specjalnych sprawozdawców ONZ; przypominanie, ze wszystkie kraje powinny ponownie przyznać pełny dostęp specjalnym sprawozdawcom ONZ; przyjęcie procedur skutecznego eliminowania potencjalnych uprzedzeń, nieskuteczności, przeszkód lub ograniczeń mogących podważać mandat agencji ONZ, w tym w </w:t>
      </w:r>
      <w:r w:rsidRPr="00E0308F">
        <w:lastRenderedPageBreak/>
        <w:t>odniesieniu do wkładu i finansowania ze strony UE, oraz zapewnianie odpowiedniej oceny personelu i nadzoru nad nim;</w:t>
      </w:r>
    </w:p>
    <w:bookmarkEnd w:id="13"/>
    <w:p w14:paraId="3A5BB818" w14:textId="77777777" w:rsidR="00EF5C53" w:rsidRPr="00E0308F" w:rsidRDefault="00EF5C53" w:rsidP="002F032D">
      <w:pPr>
        <w:pStyle w:val="NormalHangingLeft12a"/>
      </w:pPr>
      <w:r w:rsidRPr="00E0308F">
        <w:t>s)</w:t>
      </w:r>
      <w:r w:rsidRPr="00E0308F">
        <w:tab/>
      </w:r>
      <w:bookmarkStart w:id="14" w:name="_Hlk224063337"/>
      <w:r w:rsidRPr="00E0308F">
        <w:t>dalsze zacieśnianie współpracy z partnerami, zwłaszcza z państwami o podobnych poglądach i z państwami chcącymi przestrzegać systemu wielostronnego, uczestniczyć w nim i wzmacniać go, z myślą o konsensusie i skutecznym porządku wielostronnym; podkreślanie, że taka współpraca musi bazować na poszanowaniu wielostronności, prawa międzynarodowego, praw człowieka i wspólnego podejmowania decyzji w instytucjach międzynarodowych, a jednocześnie zapewnianie rozwijania politycznej, finansowej i instytucjonalnej zdolności Unii do samodzielnego działania wtedy, gdy jej partnerzy wycofają się z systemu wielostronnego albo będą go podważać lub instrumentalizować;</w:t>
      </w:r>
      <w:bookmarkEnd w:id="14"/>
      <w:r w:rsidRPr="00E0308F">
        <w:t xml:space="preserve"> podkreślanie, że poszanowanie instytucji wielostronnych, prawa międzynarodowego i suwerennej równości państw jest niezbędne dla światowego pokoju, bezpieczeństwa i zrównoważonego rozwoju;</w:t>
      </w:r>
    </w:p>
    <w:p w14:paraId="6BB2447C" w14:textId="77777777" w:rsidR="00EF5C53" w:rsidRPr="00E0308F" w:rsidRDefault="00EF5C53" w:rsidP="002F032D">
      <w:pPr>
        <w:pStyle w:val="NormalHangingLeft12a"/>
      </w:pPr>
      <w:r w:rsidRPr="00E0308F">
        <w:t>t)</w:t>
      </w:r>
      <w:r w:rsidRPr="00E0308F">
        <w:tab/>
        <w:t xml:space="preserve">pilne nawiązanie przez UE autentycznego i ustrukturyzowanego dialogu z państwami globalnego Południa jako równorzędnymi partnerami w globalnym zarządzaniu, w tym przez zwiększoną reprezentację w organach decyzyjnych, sprawiedliwy dostęp do finansowania i technologii oraz współwłasność inicjatyw międzynarodowych w obszarach takich jak rozwój, działania w dziedzinie klimatu, zarządzanie cyfrowe i budowanie pokoju; współpracę z państwami członkowskimi z myślą o większym zaangażowaniu UE w tych krajach; </w:t>
      </w:r>
    </w:p>
    <w:p w14:paraId="30FA4C19" w14:textId="77777777" w:rsidR="00EF5C53" w:rsidRPr="00E0308F" w:rsidRDefault="00EF5C53" w:rsidP="002F032D">
      <w:pPr>
        <w:pStyle w:val="NormalHangingLeft12a"/>
      </w:pPr>
      <w:r w:rsidRPr="00E0308F">
        <w:t>u)</w:t>
      </w:r>
      <w:r w:rsidRPr="00E0308F">
        <w:tab/>
        <w:t xml:space="preserve">zwiększenie koordynacji z państwami Ameryki Łacińskiej – z którymi wiele nas łączy, w tym wspólna wizja międzynarodowego porządku opartego na zasadach i multilateralizmie – jako że oba regiony łącznie reprezentują jedną trzecią praw głosu w ONZ; </w:t>
      </w:r>
    </w:p>
    <w:p w14:paraId="0D462916" w14:textId="77777777" w:rsidR="00EF5C53" w:rsidRPr="00E0308F" w:rsidRDefault="00EF5C53" w:rsidP="002F032D">
      <w:pPr>
        <w:pStyle w:val="NormalHangingLeft12a"/>
      </w:pPr>
      <w:r w:rsidRPr="00E0308F">
        <w:t>v)</w:t>
      </w:r>
      <w:r w:rsidRPr="00E0308F">
        <w:tab/>
        <w:t xml:space="preserve">przypomnienie o odpowiedzialności Rady Bezpieczeństwa ONZ, a zwłaszcza jej stałych członków, za utrzymanie międzynarodowego pokoju i bezpieczeństwa oraz za zapewnienie rozliczalności za łamanie prawa międzynarodowego, bez podwójnych standardów i wybiórczego stosowania zasad międzynarodowych; szukanie metod zwiększenia roli Zgromadzenia Ogólnego ONZ w tej dziedzinie przez innowacyjne i demokratyczne systemy głosowania, w których większość kwalifikowana Zgromadzenia Ogólnego ONZ mogłaby przezwyciężyć impas weta w Radzie Bezpieczeństwa ONZ zgodnie z doktryną „Zjednoczeni dla pokoju”; </w:t>
      </w:r>
    </w:p>
    <w:p w14:paraId="57A2E7D7" w14:textId="77777777" w:rsidR="00EF5C53" w:rsidRPr="00E0308F" w:rsidRDefault="00EF5C53" w:rsidP="002F032D">
      <w:pPr>
        <w:pStyle w:val="NormalHangingLeft12a"/>
        <w:rPr>
          <w:b/>
          <w:i/>
        </w:rPr>
      </w:pPr>
      <w:r w:rsidRPr="00E0308F">
        <w:t>w)</w:t>
      </w:r>
      <w:r w:rsidRPr="00E0308F">
        <w:tab/>
        <w:t>poparcie odpowiedzialności za ochronę (R2P) – nowej normy zaproponowanej przez panel wysokiego szczebla ds. zagrożeń, wyzwań i zmian oraz Międzynarodową Komisję ds. Interwencji i Suwerenności Państwa – oraz zalecenie, by R2P była podstawą zbiorowych działań na rzecz ratowania ludzi będących w poważnym niebezpieczeństwie, gdy ich rządy nie są w stanie lub nie chcą działać;</w:t>
      </w:r>
    </w:p>
    <w:p w14:paraId="1FA4FB73" w14:textId="77777777" w:rsidR="00EF5C53" w:rsidRPr="00E0308F" w:rsidRDefault="00EF5C53" w:rsidP="00EF5C53">
      <w:pPr>
        <w:pStyle w:val="NormalHangingLeft12a"/>
        <w:ind w:left="1287" w:hanging="720"/>
      </w:pPr>
      <w:r w:rsidRPr="00E0308F">
        <w:rPr>
          <w:b/>
          <w:i/>
        </w:rPr>
        <w:t>Pokój i bezpieczeństwo</w:t>
      </w:r>
      <w:bookmarkStart w:id="15" w:name="_Hlk215761387"/>
    </w:p>
    <w:p w14:paraId="174F242D" w14:textId="77777777" w:rsidR="00EF5C53" w:rsidRPr="00E0308F" w:rsidRDefault="00EF5C53" w:rsidP="002F032D">
      <w:pPr>
        <w:pStyle w:val="NormalHangingLeft12a"/>
      </w:pPr>
      <w:r w:rsidRPr="00E0308F">
        <w:t>x)</w:t>
      </w:r>
      <w:r w:rsidRPr="00E0308F">
        <w:tab/>
        <w:t xml:space="preserve">ponowne zdecydowane potępienie nielegalnej wojny napastniczej Rosji przeciwko Ukrainie i jej ataków na światową architekturę pokoju i bezpieczeństwa, w tym instrumenty Rady Bezpieczeństwa ONZ; opowiadanie się </w:t>
      </w:r>
      <w:r w:rsidRPr="00E0308F">
        <w:lastRenderedPageBreak/>
        <w:t>za całkowitym zawieszeniem broni w celu złagodzenia cierpień ludności cywilnej oraz za kompleksowym, sprawiedliwym i trwałym pokojem dla Ukrainy, w tym za solidnymi gwarancjami bezpieczeństwa opartymi na Karcie Narodów Zjednoczonych i prawie międzynarodowym, które pozwolą zapobiegać i natychmiast przeciwdziałać wszelkiej ponownej agresji, przy jednoczesnym zapewnieniu pełnej odpowiedzialności za zbrodnie wojenne, oraz za powrotem porwanych ukraińskich dzieci, uwięzionych cywilów i jeńców wojennych; wspieranie ONZ w określaniu mechanizmów prawnych umożliwiających wykorzystanie zamrożonych rosyjskich aktywów na odbudowę Ukrainy bez nakładania obciążeń finansowych na państwa członkowskie UE; dążenie do potępienia cyberataków na podmioty i osoby z państw trzecich, dokonywanych przez Rosję i jej sojuszników;</w:t>
      </w:r>
      <w:bookmarkStart w:id="16" w:name="_Hlk215655429"/>
      <w:bookmarkEnd w:id="15"/>
    </w:p>
    <w:p w14:paraId="522B8B11" w14:textId="77777777" w:rsidR="00EF5C53" w:rsidRPr="00E0308F" w:rsidRDefault="00EF5C53" w:rsidP="002F032D">
      <w:pPr>
        <w:pStyle w:val="NormalHangingLeft12a"/>
      </w:pPr>
      <w:bookmarkStart w:id="17" w:name="_Hlk224063987"/>
      <w:r w:rsidRPr="00E0308F">
        <w:t>y)</w:t>
      </w:r>
      <w:r w:rsidRPr="00E0308F">
        <w:tab/>
        <w:t xml:space="preserve">podkreślenie, że region Arktyki jest obszarem rosnących napięć geopolitycznych, charakteryzującym się konkurencją o zasoby naturalne i coraz większą obecnością wojsk; wyrażenie poważnego zaniepokojenia destabilizującymi działaniami Rosji w zakresie bezpieczeństwa i strategii w regionie; podkreślenie, jak ważne jest poszanowanie suwerenności i integralności terytorialnej Królestwa Danii i Grenlandii oraz samostanowienia Grenlandczyków, a także zwrócenie uwagi na silny sprzeciw Grenlandczyków wobec zewnętrznych prób zmiany tego statusu bez uszanowania ich wolnej woli i zgody; wezwanie UE i jej partnerów do wspierania Danii i Grenlandii w ochronie stabilności w regionie w obliczu zewnętrznej presji geopolitycznej, w tym przez wzmocnioną współpracę w Arktyce; podkreślenie potrzeby silniejszego skoncentrowania się UE i ONZ na stabilności, konstruktywnym dialogu i pełnym poszanowaniu prawa międzynarodowego oraz Karty Narodów Zjednoczonych w sprawach Arktyki; </w:t>
      </w:r>
    </w:p>
    <w:p w14:paraId="6B82F845" w14:textId="77777777" w:rsidR="00EF5C53" w:rsidRPr="00E0308F" w:rsidRDefault="00EF5C53" w:rsidP="002F032D">
      <w:pPr>
        <w:pStyle w:val="NormalHangingLeft12a"/>
      </w:pPr>
      <w:bookmarkStart w:id="18" w:name="_Hlk224288496"/>
      <w:r w:rsidRPr="00E0308F">
        <w:t>z)</w:t>
      </w:r>
      <w:r w:rsidRPr="00E0308F">
        <w:tab/>
        <w:t xml:space="preserve">aktywne propagowanie większego zaangażowania na rzecz Gruzji w ramach ONZ, a także przypomnienie, że około 20 % jej terytorium uznanego przez społeczność międzynarodową pozostaje pod nielegalną okupacją rosyjską; oparcie się na przyjętej w 2024 r. w drodze konsensusu rezolucji Rady Praw Człowieka ONZ (UNHRC) w sprawie współpracy z Gruzją, w której zaapelowano o natychmiastowy i niezakłócony dostęp międzynarodowych mechanizmów ochrony praw człowieka do okupowanych regionów i podkreślono, że nadal dochodzi do naruszeń, w tym wobec etnicznych Gruzinów w Abchazji i regionie Cchinwali; współpracę z partnerami ONZ w celu wzmocnienia monitorowania i rozliczalności, utrzymania suwerenności i integralności terytorialnej Gruzji, zajęcia się sytuacją w zakresie praw człowieka na okupowanych terytoriach oraz wspierania bezpiecznego i godnego powrotu osób wewnętrznie przesiedlonych, w pełnej zgodności z prawem międzynarodowym i Kartą Narodów Zjednoczonych; </w:t>
      </w:r>
    </w:p>
    <w:bookmarkEnd w:id="17"/>
    <w:bookmarkEnd w:id="18"/>
    <w:p w14:paraId="1A7B5AE4" w14:textId="406BDD3E" w:rsidR="00EF5C53" w:rsidRDefault="00EF5C53" w:rsidP="002F032D">
      <w:pPr>
        <w:pStyle w:val="NormalHangingLeft12a"/>
      </w:pPr>
      <w:r w:rsidRPr="00E0308F">
        <w:t>aa)</w:t>
      </w:r>
      <w:r w:rsidRPr="00E0308F">
        <w:tab/>
        <w:t xml:space="preserve">wyrażenie głębokiego zaniepokojenia trwającymi działaniami wojskowymi na Bliskim Wschodzie, w tym destabilizującą rolą odgrywaną przez Iran i organizacje terrorystyczne, które są jego poplecznikami w regionie; podkreślenie, że ataki Stanów Zjednoczonych i Izraela są prowadzone poza systemem wielostronnym, który opiera się na zasadach; wyrażenie pełnej solidarności z narodem irańskim i wsparcia dla niego, zdecydowane potępienie reżimu irańskiego za brutalne tłumienie pokojowych protestów, masowe zabójstwa, arbitralne zatrzymania i egzekucje oraz wezwanie do ustanowienia niezależnej misji rozpoznawczej ONZ w celu zapewnienia odpowiedzialności za wszystkie poważne naruszenia międzynarodowego prawa praw człowieka i </w:t>
      </w:r>
      <w:r w:rsidRPr="00E0308F">
        <w:lastRenderedPageBreak/>
        <w:t>międzynarodowego prawa humanitarnego oraz do pełnej współpracy z tą misją; wyrażenie zadowolenia z przyjęcia rezolucji Rady Bezpieczeństwa ONZ nr 2817 (2026), w której z całą stanowczością potępiono ataki Iranu na Bahrajn, Kuwejt, Oman, Katar, Arabię Saudyjską, Zjednoczone Emiraty Arabskie, Jordanię i Irak oraz zażądano ich natychmiastowego zaprzestania; potępienie również ataków Iranu na Izrael; zintensyfikowanie wysiłków dyplomatycznych na forach wielostronnych i dążenie do ściślejszej współpracy z partnerami UE w regionie w celu wsparcia deeskalacji, odbudowy, konstruktywnego dialogu oraz trwałej stabilności w regionie zgodnie z prawem międzynarodowym i zasadami ONZ; uznanie wzmocnienia struktur państwowych Libanu za kluczowy element stabilności</w:t>
      </w:r>
      <w:r w:rsidR="009756DD">
        <w:t xml:space="preserve"> </w:t>
      </w:r>
      <w:r w:rsidR="009756DD" w:rsidRPr="001245BB">
        <w:rPr>
          <w:bCs/>
          <w:iCs/>
        </w:rPr>
        <w:t>poprzez pełne wdrożenie rezolucji Rady Bezpieczeństwa ONZ nr 1701, 1559 i 1680, rozbrojenie uzbrojonych grup niepaństwowych, w tym likwidację infrastruktury wojskowej Hezbollahu, całkowite rozmieszczenie libańskich sił zbrojnych, w tym na południu, oraz – jeśli zwróci się o to Liban – odpowiednie wsparcie międzynarodowe na mocy rezolucji Rady Bezpieczeństwa ONZ nr 1701, przy jednoczesnym poparciu wysiłków na rzecz trwałego rozwiązania konfliktu z Izraelem</w:t>
      </w:r>
      <w:r w:rsidRPr="00E0308F">
        <w:t>;</w:t>
      </w:r>
    </w:p>
    <w:p w14:paraId="155EE329" w14:textId="6E9C843C" w:rsidR="00AF0D59" w:rsidRDefault="00AF0D59" w:rsidP="002F032D">
      <w:pPr>
        <w:pStyle w:val="NormalHangingLeft12a"/>
        <w:rPr>
          <w:bCs/>
          <w:iCs/>
        </w:rPr>
      </w:pPr>
      <w:r w:rsidRPr="001245BB">
        <w:rPr>
          <w:bCs/>
          <w:iCs/>
        </w:rPr>
        <w:t>a</w:t>
      </w:r>
      <w:r w:rsidR="001245BB">
        <w:rPr>
          <w:bCs/>
          <w:iCs/>
        </w:rPr>
        <w:t>b</w:t>
      </w:r>
      <w:r w:rsidRPr="001245BB">
        <w:rPr>
          <w:bCs/>
          <w:iCs/>
        </w:rPr>
        <w:t>)</w:t>
      </w:r>
      <w:r w:rsidRPr="00AF0D59">
        <w:rPr>
          <w:bCs/>
          <w:iCs/>
        </w:rPr>
        <w:tab/>
      </w:r>
      <w:r w:rsidRPr="001245BB">
        <w:rPr>
          <w:bCs/>
          <w:iCs/>
        </w:rPr>
        <w:t>wezwanie Rady Bezpieczeństwa ONZ do skierowania sprawy sytuacji w Iranie do Międzynarodowego Trybunału Karnego, a tym samym do przyznania mu jurysdykcji w odniesieniu do zbrodni popełnionych w kontekście międzynarodowego konfliktu zbrojnego i jego szerszego wymiaru regionalnego, aby zapewnić pociągnięcie do odpowiedzialności za zbrodnie wojenne, zbrodnie przeciwko ludzkości i inne poważne naruszenia międzynarodowego prawa karnego popełnione przez wszystkie strony, w tym podmioty państwowe i niepaństwowe; podkreślenie, że w ramach tych międzynarodowych działań na rzecz rozliczalności należy zająć się zakrojonymi na szeroką skalę zabójstwami cywilów popełnionymi przez irańskie siły bezpieczeństwa w styczniu 2026 r.;</w:t>
      </w:r>
    </w:p>
    <w:p w14:paraId="4E7E45C0" w14:textId="2FBA8B5A" w:rsidR="009756DD" w:rsidRPr="009756DD" w:rsidRDefault="009756DD" w:rsidP="002F032D">
      <w:pPr>
        <w:pStyle w:val="NormalHangingLeft12a"/>
        <w:rPr>
          <w:bCs/>
          <w:iCs/>
        </w:rPr>
      </w:pPr>
      <w:proofErr w:type="spellStart"/>
      <w:r w:rsidRPr="001245BB">
        <w:rPr>
          <w:bCs/>
          <w:iCs/>
        </w:rPr>
        <w:t>a</w:t>
      </w:r>
      <w:r w:rsidR="001245BB">
        <w:rPr>
          <w:bCs/>
          <w:iCs/>
        </w:rPr>
        <w:t>c</w:t>
      </w:r>
      <w:proofErr w:type="spellEnd"/>
      <w:r w:rsidRPr="001245BB">
        <w:rPr>
          <w:bCs/>
          <w:iCs/>
        </w:rPr>
        <w:t>)</w:t>
      </w:r>
      <w:r w:rsidRPr="009756DD">
        <w:rPr>
          <w:bCs/>
          <w:iCs/>
        </w:rPr>
        <w:tab/>
      </w:r>
      <w:r w:rsidRPr="001245BB">
        <w:rPr>
          <w:bCs/>
          <w:iCs/>
        </w:rPr>
        <w:t>zdecydowane potępienie ataków na obiekty cywilne, w tym szkoły i obszary mieszkalne, które to ataki doprowadziły do śmierci dzieci i mogą stanowić poważne pogwałcenie międzynarodowego prawa humanitarnego; przypomnienie, że zakaz ataków na obiekty cywilne jest jedną z najbardziej podstawowych zasad międzynarodowego prawa humanitarnego i że dzieci mają prawo do szczególnej ochrony na mocy prawa międzynarodowego oraz wezwanie do pociągnięcia do pełnej odpowiedzialności za wszystkie popełnione wobec nich naruszenia;</w:t>
      </w:r>
    </w:p>
    <w:bookmarkEnd w:id="16"/>
    <w:p w14:paraId="095A9EFE" w14:textId="5B008C5E" w:rsidR="00EF5C53" w:rsidRPr="00E0308F" w:rsidRDefault="00EF5C53" w:rsidP="002F032D">
      <w:pPr>
        <w:pStyle w:val="NormalHangingLeft12a"/>
      </w:pPr>
      <w:r w:rsidRPr="00E0308F">
        <w:t>a</w:t>
      </w:r>
      <w:r w:rsidR="001245BB">
        <w:t>d</w:t>
      </w:r>
      <w:r w:rsidRPr="00E0308F">
        <w:t>)</w:t>
      </w:r>
      <w:r w:rsidRPr="00E0308F">
        <w:tab/>
      </w:r>
      <w:r w:rsidR="00AF0D59" w:rsidRPr="001245BB">
        <w:rPr>
          <w:bCs/>
          <w:iCs/>
        </w:rPr>
        <w:t>odnotowanie</w:t>
      </w:r>
      <w:r w:rsidR="00AF0D59" w:rsidRPr="00533E05">
        <w:t xml:space="preserve"> </w:t>
      </w:r>
      <w:r w:rsidRPr="00E0308F">
        <w:t xml:space="preserve">rezolucji Rady Bezpieczeństwa ONZ nr 2803 z 17 listopada 2025 r. w sprawie kompleksowego planu zakończenia konfliktu w Strefie Gazy; podkreślenie znaczenia dalszego pogłębiania synergii i współpracy między wszelkimi nowymi mechanizmami a istniejącymi międzynarodowymi strukturami pokoju i bezpieczeństwa na mocy Karty Narodów Zjednoczonych; aktywną współpracę z państwami członkowskimi na rzecz osiągnięcia trwałego zawieszenia broni, które będzie skutecznie wdrażane i przestrzegane, oraz pełnego wdrożenia rozwiązania dwupaństwowego; </w:t>
      </w:r>
      <w:r w:rsidR="00EE00AC" w:rsidRPr="00EE00AC">
        <w:t xml:space="preserve">podkreślenie, że zrównoważona przyszłość Gazy wymaga </w:t>
      </w:r>
      <w:r w:rsidR="00EE00AC">
        <w:t>rozbrojenia</w:t>
      </w:r>
      <w:r w:rsidR="00EE00AC" w:rsidRPr="00EE00AC">
        <w:t xml:space="preserve"> Hamasu i innych grup zbrojnych w Gazie oraz że grupy te nie powinny odgrywać żadnej roli w zarządzaniu i administrowaniu terytorium;</w:t>
      </w:r>
      <w:r w:rsidR="001245BB">
        <w:t xml:space="preserve"> </w:t>
      </w:r>
      <w:r w:rsidRPr="00E0308F">
        <w:t xml:space="preserve">potępienie wszelkich naruszeń międzynarodowego prawa humanitarnego, w tym zbrodni wojennych; </w:t>
      </w:r>
    </w:p>
    <w:p w14:paraId="749238A8" w14:textId="449DFF4B" w:rsidR="00EF5C53" w:rsidRPr="00E0308F" w:rsidRDefault="00EF5C53" w:rsidP="002F032D">
      <w:pPr>
        <w:pStyle w:val="NormalHangingLeft12a"/>
      </w:pPr>
      <w:proofErr w:type="spellStart"/>
      <w:r w:rsidRPr="00E0308F">
        <w:t>a</w:t>
      </w:r>
      <w:r w:rsidR="001245BB">
        <w:t>e</w:t>
      </w:r>
      <w:proofErr w:type="spellEnd"/>
      <w:r w:rsidRPr="00E0308F">
        <w:t>)</w:t>
      </w:r>
      <w:r w:rsidRPr="00E0308F">
        <w:tab/>
        <w:t xml:space="preserve">potępienie jednostronnych działań Izraela mających na celu zwiększenie jego </w:t>
      </w:r>
      <w:r w:rsidRPr="00E0308F">
        <w:lastRenderedPageBreak/>
        <w:t>obecności na Zachodnim Brzegu, ekspansji izraelskich osiedli na Zachodnim Brzegu, które Międzynarodowy Trybunał Sprawiedliwości (MTS) uznał za niezgodne z prawem w opinii doradczej z 19 lipca 2024 r., narastającej przemocy ze strony ekstremistycznych osadników</w:t>
      </w:r>
      <w:r w:rsidR="009756DD">
        <w:t xml:space="preserve">, </w:t>
      </w:r>
      <w:r w:rsidRPr="00E0308F">
        <w:t xml:space="preserve">przymusowych </w:t>
      </w:r>
      <w:proofErr w:type="spellStart"/>
      <w:r w:rsidRPr="00E0308F">
        <w:t>wysiedleń</w:t>
      </w:r>
      <w:proofErr w:type="spellEnd"/>
      <w:r w:rsidRPr="00E0308F">
        <w:t xml:space="preserve"> Palestyńczyków</w:t>
      </w:r>
      <w:r w:rsidR="009756DD">
        <w:t xml:space="preserve"> </w:t>
      </w:r>
      <w:r w:rsidR="009756DD" w:rsidRPr="001245BB">
        <w:rPr>
          <w:bCs/>
          <w:iCs/>
        </w:rPr>
        <w:t>oraz przyjętej przez Kneset ustawy rozszerzającej stosowanie kary śmierci zarówno w sądach wojskowych, jak i cywilnych</w:t>
      </w:r>
      <w:r w:rsidRPr="00E0308F">
        <w:t xml:space="preserve">; </w:t>
      </w:r>
      <w:r w:rsidR="00AF0D59" w:rsidRPr="001245BB">
        <w:rPr>
          <w:bCs/>
          <w:iCs/>
        </w:rPr>
        <w:t>aktywne dążenie do przyjęcia ukierunkowanych środków ograniczających Rady Bezpieczeństwa ONZ wobec stosujących przemoc izraelskich osadników odpowiedzialnych za ataki na Palestyńczyków na Zachodnim Brzegu, zgodnie z konkluzjami Rady Europejskiej z 11 maja 2026 r. w ramach globalnego systemu sankcji za naruszenia praw człowieka;</w:t>
      </w:r>
      <w:r w:rsidR="00AF0D59" w:rsidRPr="002A12D1">
        <w:t xml:space="preserve"> </w:t>
      </w:r>
      <w:r w:rsidRPr="00E0308F">
        <w:t>wezwanie wszystkich stron do pełnego wypełnienia zobowiązań wynikających z prawa międzynarodowego, aby osiągnąć sprawiedliwy, kompleksowy i trwały pokój oparty na rozwiązaniu dwupaństwowym; zatwierdzenie w kolejnych WRF instrumentu UE na rzecz odbudowy Strefy Gazy, zapewniającego wystarczające i przewidywalne wsparcie finansowe na rzecz odbudowy i demokratycznych rządów palestyńskich oraz przyczyniającego się do osiągnięcia rozwiązania dwupaństwowego;</w:t>
      </w:r>
    </w:p>
    <w:p w14:paraId="289482B0" w14:textId="7C57C672" w:rsidR="00EF5C53" w:rsidRPr="00E0308F" w:rsidRDefault="00EF5C53" w:rsidP="002F032D">
      <w:pPr>
        <w:pStyle w:val="NormalHangingLeft12a"/>
      </w:pPr>
      <w:bookmarkStart w:id="19" w:name="_Hlk225412487"/>
      <w:proofErr w:type="spellStart"/>
      <w:r w:rsidRPr="00E0308F">
        <w:t>a</w:t>
      </w:r>
      <w:r w:rsidR="001245BB">
        <w:t>f</w:t>
      </w:r>
      <w:proofErr w:type="spellEnd"/>
      <w:r w:rsidRPr="00E0308F">
        <w:t>)</w:t>
      </w:r>
      <w:r w:rsidRPr="00E0308F">
        <w:tab/>
        <w:t xml:space="preserve">potwierdzenie roli Agencji Narodów Zjednoczonych do spraw Pomocy Uchodźcom Palestyńskim na Bliskim Wschodzie (UNRWA) w zapewnianiu pomocy humanitarnej i podstawowych usług, w tym opieki zdrowotnej i edukacji, uchodźcom palestyńskim w Strefie Gazy i w całym regionie, oraz zauważenie, że obecnie nie ma realnej alternatywy dla zastąpienia jej funkcji; </w:t>
      </w:r>
      <w:bookmarkStart w:id="20" w:name="_Hlk225417994"/>
      <w:r w:rsidRPr="00E0308F">
        <w:t xml:space="preserve">dalsze monitorowanie pracy i bezstronności UNRWA, zapewnienie wiarygodnych gwarancji bezpieczeństwa i pełnej zgodności z prawem międzynarodowym, w tym wdrażanie sprawozdania </w:t>
      </w:r>
      <w:proofErr w:type="spellStart"/>
      <w:r w:rsidRPr="00E0308F">
        <w:t>Colonny</w:t>
      </w:r>
      <w:proofErr w:type="spellEnd"/>
      <w:r w:rsidRPr="00E0308F">
        <w:t>; przyjęcie z zadowoleniem sprawozdań z postępów w tym zakresie oraz wezwanie do pełnego i szybkiego przyjęcia zaleceń zawartych w sprawozdaniu dotyczących wzmocnienia gwarancji neutralności i systemów kontroli wewnętrznej w ramach UNRWA; monitorowanie stosowania planu działania przedstawionego przez UNRWA; apelowanie o pełne przywrócenie mandatu i finansowania UNRWA, przy zachowaniu silnego nadzoru i rozliczalności; podkreślenie, że wszelkie formy współpracy z terroryzmem lub tolerowania terroryzmu zasadniczo naruszają zasady humanitarne, stabilność regionalną i zaburzają perspektywy pokoju</w:t>
      </w:r>
      <w:bookmarkEnd w:id="20"/>
      <w:r w:rsidRPr="00E0308F">
        <w:t xml:space="preserve">; </w:t>
      </w:r>
    </w:p>
    <w:p w14:paraId="646664F0" w14:textId="12E4262F" w:rsidR="00EF5C53" w:rsidRPr="00E0308F" w:rsidRDefault="00EF5C53" w:rsidP="002F032D">
      <w:pPr>
        <w:pStyle w:val="NormalHangingLeft12a"/>
      </w:pPr>
      <w:r w:rsidRPr="00E0308F">
        <w:t>a</w:t>
      </w:r>
      <w:r w:rsidR="001245BB">
        <w:t>g</w:t>
      </w:r>
      <w:r w:rsidRPr="00E0308F">
        <w:t>)</w:t>
      </w:r>
      <w:r w:rsidRPr="00E0308F">
        <w:tab/>
        <w:t xml:space="preserve">oparcie się na stałej współpracy Komisji z odpowiednimi organami oświatowymi oraz podkreślanie, jak ważne jest wspieranie programów nauczania, które propagują współistnienie, tolerancję i pojednanie, a także poszanowanie praw człowieka, </w:t>
      </w:r>
      <w:r w:rsidR="00AF0D59" w:rsidRPr="001245BB">
        <w:rPr>
          <w:bCs/>
          <w:iCs/>
        </w:rPr>
        <w:t>zarówno w Izraelu, jak i Palestynie,</w:t>
      </w:r>
      <w:r w:rsidR="00AF0D59" w:rsidRPr="002A12D1">
        <w:t xml:space="preserve"> </w:t>
      </w:r>
      <w:r w:rsidRPr="00E0308F">
        <w:t xml:space="preserve">zgodnie ze standardami UNESCO; przyjęcie z zadowoleniem stałej współpracy Komisji z Palestyńską Władzą Narodową w zakresie reformy programów nauczania i wymiernych postępów zgłoszonych w 2025 r., w tym trwającego przeglądu i zmiany podręczników przez palestyńskie Ministerstwo Edukacji i Szkolnictwa Wyższego w celu zapewnienia zgodności ze standardami UNESCO; zaapelowanie do Palestyńskiej Władzy Narodowej o usunięcie </w:t>
      </w:r>
      <w:r w:rsidR="009756DD" w:rsidRPr="001245BB">
        <w:rPr>
          <w:bCs/>
          <w:iCs/>
        </w:rPr>
        <w:t>wszelkich</w:t>
      </w:r>
      <w:r w:rsidR="009756DD" w:rsidRPr="00533E05">
        <w:t xml:space="preserve"> </w:t>
      </w:r>
      <w:r w:rsidRPr="00E0308F">
        <w:t xml:space="preserve">materiałów i treści edukacyjnych, które nie są zgodne z normami UNESCO, w szczególności tych zawierających treści antysemickie i podżegające do przemocy oraz terroryzmu, i tych, z którymi palestyńskie dzieci nie powinny mieć styczności; </w:t>
      </w:r>
      <w:r w:rsidR="009756DD" w:rsidRPr="001245BB">
        <w:rPr>
          <w:bCs/>
          <w:iCs/>
        </w:rPr>
        <w:t xml:space="preserve">podkreślanie, jak ważne jest potępienie i eliminacja wszystkich form nawoływania do nienawiści i brutalnego zachowania zarówno po stronie izraelskiej, jak i palestyńskiej, niezależnie od kontekstu; podkreślanie znaczenia edukacji dla </w:t>
      </w:r>
      <w:r w:rsidR="009756DD" w:rsidRPr="001245BB">
        <w:rPr>
          <w:bCs/>
          <w:iCs/>
        </w:rPr>
        <w:lastRenderedPageBreak/>
        <w:t>tworzenia perspektyw rozwiązania dwupaństwowego; przypominanie stanowiska UE, zgodnie z którym wszystkie podręczniki i materiały szkolne obu stron muszą być zgodne z normami UNESCO dotyczącymi pokoju, tolerancji, współistnienia i niestosowania przemocy;</w:t>
      </w:r>
    </w:p>
    <w:bookmarkEnd w:id="19"/>
    <w:p w14:paraId="473B4492" w14:textId="328D7535" w:rsidR="00EF5C53" w:rsidRDefault="00EF5C53" w:rsidP="002F032D">
      <w:pPr>
        <w:pStyle w:val="NormalHangingLeft12a"/>
      </w:pPr>
      <w:r w:rsidRPr="00E0308F">
        <w:t>a</w:t>
      </w:r>
      <w:r w:rsidR="001245BB">
        <w:t>h</w:t>
      </w:r>
      <w:r w:rsidRPr="00E0308F">
        <w:t>)</w:t>
      </w:r>
      <w:r w:rsidRPr="00E0308F">
        <w:tab/>
        <w:t xml:space="preserve">potwierdzenie pełnego zaangażowania UE w poszanowanie suwerenności, niezależności i integralności terytorialnej wszystkich jej państw członkowskich, zgodnie z Kartą Narodów Zjednoczonych; podkreślenie, że ciągła nielegalna obecność wojsk tureckich na terytorium Republiki Cypryjskiej, państwa członkowskiego UE, stanowi naruszenie prawa międzynarodowego i podstawowych praw człowieka, i w związku z tym zaapelowanie o natychmiastowe i całkowite wycofanie tureckich sił okupacyjnych, prawo wszystkich uchodźców do powrotu do domu oraz ustalenie losu wszystkich zaginionych osób; dalsze wspieranie szybkiego wznowienia rozmów w sprawie rozwiązania kwestii cypryjskiej na zasadach uzgodnionych przez ONZ w oparciu o dwustrefową i dwuwspólnotową federację z zachowaniem równości politycznej zgodnie z odpowiednimi rezolucjami ONZ oraz ostrzeganie przed wszelkimi jednostronnymi działaniami, które są niezgodne z pokojowym rozwiązaniem; apelowanie o poszanowanie statusu strefy buforowej i mandatu sił pokojowych ONZ na Cyprze; wspieranie prac osobistej wysłanniczki Sekretarza Generalnego ONZ ds. Cypru oraz specjalnego wysłannika UE ds. Cypru; </w:t>
      </w:r>
    </w:p>
    <w:p w14:paraId="119F721E" w14:textId="241FB3E6" w:rsidR="009756DD" w:rsidRPr="009756DD" w:rsidRDefault="009756DD" w:rsidP="002F032D">
      <w:pPr>
        <w:pStyle w:val="NormalHangingLeft12a"/>
        <w:rPr>
          <w:bCs/>
          <w:iCs/>
        </w:rPr>
      </w:pPr>
      <w:proofErr w:type="spellStart"/>
      <w:r w:rsidRPr="001245BB">
        <w:rPr>
          <w:bCs/>
          <w:iCs/>
        </w:rPr>
        <w:t>a</w:t>
      </w:r>
      <w:r w:rsidR="001245BB">
        <w:rPr>
          <w:bCs/>
          <w:iCs/>
        </w:rPr>
        <w:t>i</w:t>
      </w:r>
      <w:proofErr w:type="spellEnd"/>
      <w:r w:rsidRPr="001245BB">
        <w:rPr>
          <w:bCs/>
          <w:iCs/>
        </w:rPr>
        <w:t>)</w:t>
      </w:r>
      <w:r w:rsidRPr="009756DD">
        <w:rPr>
          <w:bCs/>
          <w:iCs/>
        </w:rPr>
        <w:tab/>
      </w:r>
      <w:r w:rsidRPr="001245BB">
        <w:rPr>
          <w:bCs/>
          <w:iCs/>
        </w:rPr>
        <w:t>stanowcze potępienie mianowania przedstawicieli państw, w których panuje systemowa dyskryminacja kobiet, na stanowiska lub role przywódcze w organach ONZ zajmujących się prawami kobiet i prawami człowieka;</w:t>
      </w:r>
    </w:p>
    <w:p w14:paraId="47C278C5" w14:textId="77D63709" w:rsidR="00EF5C53" w:rsidRDefault="00EF5C53" w:rsidP="002F032D">
      <w:pPr>
        <w:pStyle w:val="NormalHangingLeft12a"/>
      </w:pPr>
      <w:r w:rsidRPr="00E0308F">
        <w:t>a</w:t>
      </w:r>
      <w:r w:rsidR="001245BB">
        <w:t>j</w:t>
      </w:r>
      <w:r w:rsidRPr="00E0308F">
        <w:t>)</w:t>
      </w:r>
      <w:r w:rsidRPr="00E0308F">
        <w:tab/>
        <w:t xml:space="preserve">podkreślenie, że transformacja polityczna i w zakresie bezpieczeństwa w Syrii pozostaje niepewna i nadal charakteryzuje się brakiem bezpieczeństwa, poważnymi naruszeniami praw człowieka, przesiedleniami i atakami na społeczności religijne i etniczne; solidaryzowanie się ze zróżnicowanym społeczeństwem Syrii, które od ponad dekady cierpi wskutek działań wspieranego przez Iran i Rosję reżimu </w:t>
      </w:r>
      <w:proofErr w:type="spellStart"/>
      <w:r w:rsidRPr="00E0308F">
        <w:t>Baszara</w:t>
      </w:r>
      <w:proofErr w:type="spellEnd"/>
      <w:r w:rsidRPr="00E0308F">
        <w:t xml:space="preserve"> al-</w:t>
      </w:r>
      <w:proofErr w:type="spellStart"/>
      <w:r w:rsidRPr="00E0308F">
        <w:t>Assada</w:t>
      </w:r>
      <w:proofErr w:type="spellEnd"/>
      <w:r w:rsidRPr="00E0308F">
        <w:t xml:space="preserve"> oraz grup terrorystycznych; popieranie pluralistycznego procesu politycznego prowadzonego przez Syryjczyków i pozostającego w ich gestii, który zapewnia integralność terytorialną i pojednanie; wezwanie władz syryjskich do włączenia wszystkich grup społeczeństwa syryjskiego w proces decyzyjny, zagwarantowania szybkiego, przejrzystego i niezależnego prowadzenia dochodzeń w sprawie aktów skierowanych przeciwko społecznościom religijnym i etnicznym, a także do walki z przemocą na tle religijnym i bezkarnością; podkreślenie potrzeby skoordynowanych działań UE i ONZ w celu wsparcia tego procesu, w tym porozumienia o integracji z 29 stycznia 2026 r. między tymczasowym rządem Syrii a administracją kurdyjską; </w:t>
      </w:r>
    </w:p>
    <w:p w14:paraId="0A879F2E" w14:textId="103262D9" w:rsidR="009756DD" w:rsidRPr="009756DD" w:rsidRDefault="009756DD" w:rsidP="002F032D">
      <w:pPr>
        <w:pStyle w:val="NormalHangingLeft12a"/>
        <w:rPr>
          <w:bCs/>
          <w:iCs/>
        </w:rPr>
      </w:pPr>
      <w:proofErr w:type="spellStart"/>
      <w:r w:rsidRPr="001245BB">
        <w:rPr>
          <w:bCs/>
          <w:iCs/>
        </w:rPr>
        <w:t>a</w:t>
      </w:r>
      <w:r w:rsidR="001245BB">
        <w:rPr>
          <w:bCs/>
          <w:iCs/>
        </w:rPr>
        <w:t>k</w:t>
      </w:r>
      <w:proofErr w:type="spellEnd"/>
      <w:r w:rsidRPr="001245BB">
        <w:rPr>
          <w:bCs/>
          <w:iCs/>
        </w:rPr>
        <w:t>)</w:t>
      </w:r>
      <w:r w:rsidRPr="009756DD">
        <w:rPr>
          <w:bCs/>
          <w:iCs/>
        </w:rPr>
        <w:tab/>
      </w:r>
      <w:r w:rsidRPr="001245BB">
        <w:rPr>
          <w:bCs/>
          <w:iCs/>
        </w:rPr>
        <w:t>ponowne podkreślenie, że międzynarodowe mechanizmy praw człowieka nie mogą być wykorzystywane do tworzenia faktycznych praw migrantów lub podważania suwerennego prawa państw do kontrolowania swoich granic i polityki migracyjnej;</w:t>
      </w:r>
    </w:p>
    <w:p w14:paraId="0A9FEE58" w14:textId="700A4ABB" w:rsidR="00EF5C53" w:rsidRPr="00E0308F" w:rsidRDefault="00EF5C53" w:rsidP="002F032D">
      <w:pPr>
        <w:pStyle w:val="NormalHangingLeft12a"/>
      </w:pPr>
      <w:r w:rsidRPr="00E0308F">
        <w:t>a</w:t>
      </w:r>
      <w:r w:rsidR="001245BB">
        <w:t>l</w:t>
      </w:r>
      <w:r w:rsidRPr="00E0308F">
        <w:t>)</w:t>
      </w:r>
      <w:r w:rsidRPr="00E0308F">
        <w:tab/>
        <w:t xml:space="preserve">utrzymanie zdecydowanego stanowiska wobec faktycznych władz w Afganistanie i pogarszającej się sytuacji humanitarnej; kontynuowanie i zwiększenie wsparcia UE dla Afgańczyków, zwłaszcza kobiet i dziewcząt, których prawa są stale </w:t>
      </w:r>
      <w:r w:rsidRPr="00E0308F">
        <w:lastRenderedPageBreak/>
        <w:t xml:space="preserve">łamane przez talibów; wezwanie talibów do zniesienia restrykcji ograniczających równy dostęp kobiet i dziewcząt do edukacji i uczestnictwa w życiu publicznym; naleganie na utrzymanie ściśle warunkowej współpracy z faktycznymi władzami, zgodnie z kryteriami określonymi przez UE i zaleceniami specjalnego sprawozdawcy ONZ; pociągnięcie faktycznych władz w Afganistanie do odpowiedzialności w drodze dochodzeń prowadzonych przez Międzynarodowy Trybunał Karny (MTK) i niezależny mechanizm dochodzeniowy ONZ; </w:t>
      </w:r>
    </w:p>
    <w:p w14:paraId="3487521A" w14:textId="55E1C884" w:rsidR="00EF5C53" w:rsidRDefault="00EF5C53" w:rsidP="002F032D">
      <w:pPr>
        <w:pStyle w:val="NormalHangingLeft12a"/>
      </w:pPr>
      <w:proofErr w:type="spellStart"/>
      <w:r w:rsidRPr="00E0308F">
        <w:t>a</w:t>
      </w:r>
      <w:r w:rsidR="001245BB">
        <w:t>m</w:t>
      </w:r>
      <w:proofErr w:type="spellEnd"/>
      <w:r w:rsidRPr="00E0308F">
        <w:t>)</w:t>
      </w:r>
      <w:r w:rsidRPr="00E0308F">
        <w:tab/>
        <w:t>podejmowanie działań dyplomatycznych, aby zapobiec dalszej eskalacji napięć w Cieśninie Tajwańskiej i na Morzu Południowochińskim, oraz sprzeciwienie się wszelkim jednostronnym zmianom status quo przy użyciu przymusu lub siły; współpracowanie z partnerami o podobnych poglądach w celu wzmocnienia stabilności i bezpieczeństwa w regionie oraz lepszego odstraszania przed środkami przymusu lub działaniami wojskowymi; dalsze bronienie zasady zakazu użycia siły zapisanej w Karcie Narodów Zjednoczonych; podkreślenie, że w rezolucji ONZ nr 2758 nie określa się suwerenności Tajwanu ani nie wspomina się o Tajwanie, oraz że nie może być ona wykorzystywana do wykluczania go z systemu międzynarodowego; zwiększenie wsparcia UE dla znaczącego udziału Tajwanu w organizacjach międzynarodowych, w przypadku których członkostwo lub działalność nie są ograniczone do państw, w tym takich, w których możliwy jest status obserwatora, z korzyścią dla społeczności międzynarodowej; wezwanie ONZ do zapewnienia dostępu do wydarzeń ONZ aktywistom, przedstawicielom społeczeństwa obywatelskiego i dziennikarzom posiadającym tajwański paszport;</w:t>
      </w:r>
    </w:p>
    <w:p w14:paraId="7FAB6774" w14:textId="2C897BDC" w:rsidR="009756DD" w:rsidRPr="009756DD" w:rsidRDefault="009756DD" w:rsidP="002F032D">
      <w:pPr>
        <w:pStyle w:val="NormalHangingLeft12a"/>
        <w:rPr>
          <w:bCs/>
          <w:iCs/>
        </w:rPr>
      </w:pPr>
      <w:proofErr w:type="spellStart"/>
      <w:r w:rsidRPr="001245BB">
        <w:rPr>
          <w:bCs/>
          <w:iCs/>
        </w:rPr>
        <w:t>a</w:t>
      </w:r>
      <w:r w:rsidR="001245BB">
        <w:rPr>
          <w:bCs/>
          <w:iCs/>
        </w:rPr>
        <w:t>n</w:t>
      </w:r>
      <w:proofErr w:type="spellEnd"/>
      <w:r w:rsidRPr="001245BB">
        <w:rPr>
          <w:bCs/>
          <w:iCs/>
        </w:rPr>
        <w:t>)</w:t>
      </w:r>
      <w:r w:rsidRPr="009756DD">
        <w:rPr>
          <w:bCs/>
          <w:iCs/>
        </w:rPr>
        <w:tab/>
      </w:r>
      <w:r w:rsidRPr="001245BB">
        <w:rPr>
          <w:bCs/>
          <w:iCs/>
        </w:rPr>
        <w:t>zachęcanie Królestwa Tajlandii i Królestwa Kambodży do pokojowego rozwiązywania wszelkich sporów w drodze dialogu dyplomatycznego, przy pełnym wykorzystaniu ustanowionych mechanizmów dwustronnych, regionalnych i międzynarodowych zgodnie z Kartą Narodów Zjednoczonych oraz odpowiednimi traktatami i umowami;</w:t>
      </w:r>
    </w:p>
    <w:p w14:paraId="466588C3" w14:textId="51D64F09" w:rsidR="00EF5C53" w:rsidRPr="00E0308F" w:rsidRDefault="00EF5C53" w:rsidP="002F032D">
      <w:pPr>
        <w:pStyle w:val="NormalHangingLeft12a"/>
      </w:pPr>
      <w:proofErr w:type="spellStart"/>
      <w:r w:rsidRPr="00E0308F">
        <w:t>a</w:t>
      </w:r>
      <w:r w:rsidR="001245BB">
        <w:t>o</w:t>
      </w:r>
      <w:proofErr w:type="spellEnd"/>
      <w:r w:rsidRPr="00E0308F">
        <w:t>)</w:t>
      </w:r>
      <w:r w:rsidRPr="00E0308F">
        <w:tab/>
        <w:t xml:space="preserve">zwiększenie roli Unii jako preferowanego partnera Afryki w dziedzinie bezpieczeństwa przez zacieśnienie współpracy między UE a Unią Afrykańską i Organizacją Narodów Zjednoczonych w zakresie zapobiegania konfliktom, mediacji i reagowania kryzysowego, w tym przy pomocy przewidywalnego i zrównoważonego finansowania operacji pokojowych prowadzonych w Afryce, zwłaszcza za pośrednictwem afrykańskiej architektury pokoju i bezpieczeństwa oraz, w stosownych przypadkach, wkładów ocenianych przez ONZ; zajęcie się pilnymi i wzajemnie powiązanymi kryzysami bezpieczeństwa i kryzysami humanitarnymi w Sahelu, Rogu Afryki, Sudanie i Demokratycznej Republice Konga (DRK), w tym rozprzestrzenianiem się terroryzmu </w:t>
      </w:r>
      <w:proofErr w:type="spellStart"/>
      <w:r w:rsidRPr="00E0308F">
        <w:t>dżihadystycznego</w:t>
      </w:r>
      <w:proofErr w:type="spellEnd"/>
      <w:r w:rsidRPr="00E0308F">
        <w:t xml:space="preserve">, brutalnego ekstremizmu, przewrotów wojskowych i niestabilności państw; wyraźne potępienie utrzymującej się przemocy i braku bezpieczeństwa we wschodniej części DRK, odgrywanie aktywnej roli w skoordynowanym procesie pokojowym oraz wezwanie do wznowienia międzynarodowych wysiłków na rzecz wspierania sprawiedliwości, zwalczania bezkarności i zapewnienia pełnych działań następczych w związku z raportem ONZ na temat naruszeń praw człowieka w DRK, w tym sankcji; wezwanie do rozszerzenia na pozostałą część Sudanu systemu embarga na broń, który obecnie ma zastosowanie do </w:t>
      </w:r>
      <w:proofErr w:type="spellStart"/>
      <w:r w:rsidRPr="00E0308F">
        <w:t>Darfuru</w:t>
      </w:r>
      <w:proofErr w:type="spellEnd"/>
      <w:r w:rsidRPr="00E0308F">
        <w:t xml:space="preserve">, na resztę Sudanu, w celu osiągnięcia trwałego zawieszenia broni w Sudanie; podjęcie działań w związku z brakiem bezpieczeństwa pogłębionym przez wycofanie misji międzynarodowych i rosnącą obecność destabilizujących podmiotów </w:t>
      </w:r>
      <w:r w:rsidRPr="00E0308F">
        <w:lastRenderedPageBreak/>
        <w:t xml:space="preserve">zewnętrznych, w tym rosyjskich sieci najemników i ingerencji hybrydowych; zadbanie o to, by wszystkie działania UE związane z zapewnianiem bezpieczeństwa opierały się na odpowiedzialności lokalnej, demokratycznej rozliczalności, uwzględnieniu aspektu płci i powiązaniu pomocy humanitarnej, rozwoju i pokoju, zgodnie z ramami ONZ dotyczącymi budowania pokoju oraz kobiet, pokoju i bezpieczeństwa; </w:t>
      </w:r>
    </w:p>
    <w:p w14:paraId="403C6819" w14:textId="25A2F95E" w:rsidR="00EF5C53" w:rsidRPr="00E0308F" w:rsidRDefault="00EF5C53" w:rsidP="002F032D">
      <w:pPr>
        <w:pStyle w:val="NormalHangingLeft12a"/>
      </w:pPr>
      <w:proofErr w:type="spellStart"/>
      <w:r w:rsidRPr="00E0308F">
        <w:t>a</w:t>
      </w:r>
      <w:r w:rsidR="001245BB">
        <w:t>p</w:t>
      </w:r>
      <w:proofErr w:type="spellEnd"/>
      <w:r w:rsidRPr="00E0308F">
        <w:t>)</w:t>
      </w:r>
      <w:r w:rsidRPr="00E0308F">
        <w:tab/>
        <w:t>dalszą współpracę z ONZ w celu sprostania globalnym wyzwaniom w zakresie bezpieczeństwa poprzez zapobieganie konfliktom, mediację, budowanie pokoju, zarządzanie kryzysowe i zwalczanie terroryzmu, zgodnie ze strategicznym partnerstwem UE–ONZ na rzecz pokoju i bezpieczeństwa; uznanie zasadniczej roli operacji pokojowych ONZ i wykorzystanie przeglądu przyszłego funkcjonowania tych operacji, aby zapewnić ich dostosowanie do dzisiejszego krajobrazu bezpieczeństwa; nawoływanie do stworzenia niezbędnych instrumentów prawnych definiujących zakres i możliwości stosowania zasady samoobrony, aby odpowiednio reagować na zagrożenia ze strony podmiotów niepaństwowych w erze coraz częstszych wojen asymetrycznych i środków hybrydowych; podkreślenie wzajemnych powiązań między wspieraniem demokracji a bezpieczeństwem na arenie międzynarodowej; zwiększenie wsparcia dla promowania demokracji zgodnie ze zobowiązaniami traktatowymi, w tym obserwacji wyborów;</w:t>
      </w:r>
    </w:p>
    <w:p w14:paraId="687256F4" w14:textId="7845509B" w:rsidR="00EF5C53" w:rsidRPr="00E0308F" w:rsidRDefault="00EF5C53" w:rsidP="002F032D">
      <w:pPr>
        <w:pStyle w:val="NormalHangingLeft12a"/>
      </w:pPr>
      <w:proofErr w:type="spellStart"/>
      <w:r w:rsidRPr="00E0308F">
        <w:t>a</w:t>
      </w:r>
      <w:r w:rsidR="001245BB">
        <w:t>q</w:t>
      </w:r>
      <w:proofErr w:type="spellEnd"/>
      <w:r w:rsidRPr="00E0308F">
        <w:t>)</w:t>
      </w:r>
      <w:r w:rsidRPr="00E0308F">
        <w:tab/>
        <w:t xml:space="preserve">przypomnienie o kluczowej roli, jaką kobiety odgrywają w misjach mediacyjnych i pokojowych; przypomnienie o ich niewystarczającej reprezentacji na wszystkich szczeblach w misjach ONZ i UE oraz o kluczowym znaczeniu ochrony kobiet i dziewcząt w sytuacjach konfliktowych i pokonfliktowych; zwrócenie uwagi na absolutną konieczność zapewnienia kobietom i dziewczętom w sytuacjach konfliktowych i pokonfliktowych pełnego dostępu do opieki w dziedzinie zdrowia seksualnego i reprodukcyjnego oraz do praw reprodukcyjnych i seksualnych; </w:t>
      </w:r>
    </w:p>
    <w:p w14:paraId="057EC09C" w14:textId="163232C3" w:rsidR="00EF5C53" w:rsidRPr="00E0308F" w:rsidRDefault="00EF5C53" w:rsidP="002F032D">
      <w:pPr>
        <w:pStyle w:val="NormalHangingLeft12a"/>
      </w:pPr>
      <w:r w:rsidRPr="00E0308F">
        <w:t>a</w:t>
      </w:r>
      <w:r w:rsidR="001245BB">
        <w:t>r</w:t>
      </w:r>
      <w:r w:rsidRPr="00E0308F">
        <w:t>)</w:t>
      </w:r>
      <w:r w:rsidRPr="00E0308F">
        <w:tab/>
        <w:t>uznanie poważnych zagrożeń wynikających z nowego wyścigu zbrojeń i osłabienia globalnych wysiłków na rzecz rozbrojenia, co jest w dużej mierze spowodowane zwiększaniem potencjału jądrowego przez Rosję, Chiny i Koreę Północną po tym, jak w 2023 r. Rosja jednostronnie zawiesiła przestrzeganie nowego układu START; wezwanie wszystkich państw uzbrojonych w broń jądrową do zaprzestania ilościowej i jakościowej rozbudowy ich arsenałów jądrowych oraz do zaangażowania się w procesy ograniczania ryzyka, przejrzystości i kontroli zbrojeń; dalsze zabezpieczanie i wzmacnianie wielostronnych ram regulujących nieproliferację i kontrolę zbrojeń, a także ram regulujących wywóz broni oraz towarów i technologii podwójnego zastosowania; promowanie i wzmacnianie wielostronnych instrumentów przeciwko produkcji, gromadzeniu i stosowaniu broni chemicznej i biologicznej;</w:t>
      </w:r>
    </w:p>
    <w:p w14:paraId="6AAFDEB6" w14:textId="1ED21E69" w:rsidR="00EF5C53" w:rsidRPr="00E0308F" w:rsidRDefault="00EF5C53" w:rsidP="002F032D">
      <w:pPr>
        <w:pStyle w:val="NormalHangingLeft12a"/>
      </w:pPr>
      <w:r w:rsidRPr="00E0308F">
        <w:t>a</w:t>
      </w:r>
      <w:r w:rsidR="001245BB">
        <w:t>s</w:t>
      </w:r>
      <w:r w:rsidRPr="00E0308F">
        <w:t>)</w:t>
      </w:r>
      <w:r w:rsidRPr="00E0308F">
        <w:tab/>
        <w:t xml:space="preserve">zintensyfikowanie starań na rzecz położenia kresu bezkarności i zapewnienia odpowiedzialności za naruszenia prawa międzynarodowego, w tym przez wspieranie szybkiego przyjęcia konwencji w sprawie zapobiegania zbrodniom przeciwko ludzkości i karania za nie, wzmocnienie niezależnych dochodzeń w sprawie zbrodni międzynarodowych oraz pełne wspieranie MTK i MTS jako kluczowych, niezależnych i bezstronnych instytucji sądowniczych, w tym przez utrzymanie statutu rzymskiego i uznanie wiążącego charakteru nakazów i wyroków MTS; wyrażenie ubolewania z powodu bezprecedensowych zagrożeń </w:t>
      </w:r>
      <w:r w:rsidRPr="00E0308F">
        <w:lastRenderedPageBreak/>
        <w:t>dla MTK, w tym ze strony Stanów Zjednoczonych, oraz nawoływanie do uruchomienia, skutecznego stosowania i wzmocnienia unijnego statusu blokującego</w:t>
      </w:r>
      <w:r w:rsidRPr="00E0308F">
        <w:rPr>
          <w:rStyle w:val="FootnoteReference"/>
        </w:rPr>
        <w:footnoteReference w:id="6"/>
      </w:r>
      <w:r w:rsidRPr="00E0308F">
        <w:t xml:space="preserve"> w celu ochrony niezależności i funkcjonowania międzynarodowych organów sądowych, w szczególności MTK i MTS, oraz organów współpracujących z tymi sądami i wspierających je; </w:t>
      </w:r>
    </w:p>
    <w:p w14:paraId="77FFD53D" w14:textId="4399BD5E" w:rsidR="00EF5C53" w:rsidRPr="00E0308F" w:rsidRDefault="00EF5C53" w:rsidP="002F032D">
      <w:pPr>
        <w:pStyle w:val="NormalHangingLeft12a"/>
      </w:pPr>
      <w:proofErr w:type="spellStart"/>
      <w:r w:rsidRPr="00E0308F">
        <w:t>a</w:t>
      </w:r>
      <w:r w:rsidR="001245BB">
        <w:t>t</w:t>
      </w:r>
      <w:proofErr w:type="spellEnd"/>
      <w:r w:rsidRPr="00E0308F">
        <w:t>)</w:t>
      </w:r>
      <w:r w:rsidRPr="00E0308F">
        <w:tab/>
        <w:t xml:space="preserve">wezwanie do kompleksowego przeglądu międzynarodowych systemów sankcji w celu zapewnienia większej skuteczności, spójności i rozliczalności, przy jednoczesnym zapobieganiu ich upolitycznieniu i minimalizowaniu ich potencjalnie negatywnego wpływu na ludność cywilną, zgodnie z prawem międzynarodowym; </w:t>
      </w:r>
    </w:p>
    <w:p w14:paraId="2CA47F4B" w14:textId="7C029DA1" w:rsidR="00EF5C53" w:rsidRPr="00E0308F" w:rsidRDefault="00EF5C53" w:rsidP="002F032D">
      <w:pPr>
        <w:pStyle w:val="NormalHangingLeft12a"/>
      </w:pPr>
      <w:r w:rsidRPr="00E0308F">
        <w:t>a</w:t>
      </w:r>
      <w:r w:rsidR="001245BB">
        <w:t>u</w:t>
      </w:r>
      <w:r w:rsidRPr="00E0308F">
        <w:t>)</w:t>
      </w:r>
      <w:r w:rsidRPr="00E0308F">
        <w:tab/>
        <w:t xml:space="preserve">potępienie wszelkich ataków, gróźb i aktów przemocy skierowanych przeciwko personelowi ONZ, siłom pokojowym i obiektom ONZ oraz wezwanie wszystkich stron konfliktu do poszanowania bezpieczeństwa, ochrony i neutralności personelu i infrastruktury ONZ, w pełnej zgodności z prawem międzynarodowym, w tym z Konwencją o bezpieczeństwie personelu Organizacji Narodów Zjednoczonych i personelu współdziałającego; </w:t>
      </w:r>
      <w:r w:rsidR="009756DD" w:rsidRPr="001245BB">
        <w:rPr>
          <w:bCs/>
          <w:iCs/>
        </w:rPr>
        <w:t>podkreślenie w związku z tym odważnych działań Tymczasowych Sił Zbrojnych ONZ w Libanie, w skład których wchodzi kilka kontyngentów europejskich działających w trudnych warunkach, oraz oddanie hołdu pamięci dwóch żołnierzy francuskiego kontyngentu zabitych w południowym Libanie w zasadzce Hezbollahu 18 kwietnia 2026 r.;</w:t>
      </w:r>
      <w:r w:rsidR="00A474C0">
        <w:rPr>
          <w:bCs/>
          <w:iCs/>
        </w:rPr>
        <w:t xml:space="preserve"> </w:t>
      </w:r>
      <w:r w:rsidR="00A474C0" w:rsidRPr="001245BB">
        <w:rPr>
          <w:bCs/>
          <w:iCs/>
        </w:rPr>
        <w:t>wyrażenie szczególnego zaniepokojenia powtarzającymi się atakami na włoski personel wojskowy przebywający w Libanie w ramach misji Tymczasowych Sił Zbrojnych ONZ w Libanie, które doprowadziły do obrażeń i zagroziły stabilności sił pokojowych, oraz zalecenie zintensyfikowania skoordynowanych środków ochrony ONZ, w tym niezależnych dochodzeń i sankcji wobec osób odpowiedzialnych za ataki, w celu zapewnienia skutecznego funkcjonowania misji i zgodności z rezolucją Rady Bezpieczeństwa ONZ nr 1701;</w:t>
      </w:r>
    </w:p>
    <w:p w14:paraId="3DB43D15" w14:textId="77777777" w:rsidR="00EF5C53" w:rsidRPr="00E0308F" w:rsidRDefault="00EF5C53" w:rsidP="00EF5C53">
      <w:pPr>
        <w:pStyle w:val="NormalHangingLeft12a"/>
        <w:ind w:left="1287" w:hanging="720"/>
        <w:rPr>
          <w:b/>
          <w:i/>
          <w:iCs/>
          <w:szCs w:val="24"/>
        </w:rPr>
      </w:pPr>
      <w:r w:rsidRPr="00E0308F">
        <w:rPr>
          <w:b/>
          <w:i/>
        </w:rPr>
        <w:t>Zrównoważony rozwój i prawa człowieka</w:t>
      </w:r>
    </w:p>
    <w:p w14:paraId="46982A7E" w14:textId="0B662B91" w:rsidR="00EF5C53" w:rsidRPr="00E0308F" w:rsidRDefault="00EF5C53" w:rsidP="002F032D">
      <w:pPr>
        <w:pStyle w:val="NormalHangingLeft12a"/>
      </w:pPr>
      <w:bookmarkStart w:id="21" w:name="_Hlk218760648"/>
      <w:proofErr w:type="spellStart"/>
      <w:r w:rsidRPr="00E0308F">
        <w:t>a</w:t>
      </w:r>
      <w:r w:rsidR="001245BB">
        <w:t>v</w:t>
      </w:r>
      <w:proofErr w:type="spellEnd"/>
      <w:r w:rsidRPr="00E0308F">
        <w:t>)</w:t>
      </w:r>
      <w:r w:rsidRPr="00E0308F">
        <w:tab/>
        <w:t>dalsze włączanie podejścia opartego na prawach człowieka do zrównoważonego rozwoju przy jednoczesnym uznaniu, że pełna realizacja praw człowieka jest kamieniem węgielnym Agendy 2030; podkreślenie wiodącej roli UE jako największego na świecie darczyńcy oficjalnej pomocy rozwojowej; pogłębienie wielostronnej współpracy w celu wzmocnienia gotowości i budowania odporności na kryzysy i wyzwania, które zagrażają postępom w realizacji celów zrównoważonego rozwoju; podkreślenie, że współpraca na rzecz rozwoju UE i pomoc dwustronna muszą być uzależnione od poszanowania podstawowych praw człowieka, zasad demokracji i wartości zapisanych w Traktatach UE;</w:t>
      </w:r>
      <w:bookmarkEnd w:id="21"/>
    </w:p>
    <w:p w14:paraId="56A2F1C6" w14:textId="0E37FE63" w:rsidR="00EF5C53" w:rsidRPr="00E0308F" w:rsidRDefault="00EF5C53" w:rsidP="002F032D">
      <w:pPr>
        <w:pStyle w:val="NormalHangingLeft12a"/>
      </w:pPr>
      <w:bookmarkStart w:id="22" w:name="_Hlk226618962"/>
      <w:bookmarkStart w:id="23" w:name="_Hlk218760711"/>
      <w:proofErr w:type="spellStart"/>
      <w:r w:rsidRPr="00E0308F">
        <w:t>a</w:t>
      </w:r>
      <w:r w:rsidR="001245BB">
        <w:t>w</w:t>
      </w:r>
      <w:proofErr w:type="spellEnd"/>
      <w:r w:rsidRPr="00E0308F">
        <w:t>)</w:t>
      </w:r>
      <w:r w:rsidRPr="00E0308F">
        <w:tab/>
        <w:t xml:space="preserve">dalsze wykorzystywanie strategii Global Gateway jako zrównoważonej, przejrzystej, demokratycznej i opartej na wartościach alternatywy dla </w:t>
      </w:r>
      <w:r w:rsidRPr="00E0308F">
        <w:lastRenderedPageBreak/>
        <w:t xml:space="preserve">konkurencyjnych inicjatyw infrastrukturalnych, w szczególności Rosji i Chin, jako strategicznego instrumentu wzmacniającego geopolityczną obecność Unii, jej widoczność i odporność na całym świecie, oraz jako inicjatywy, która przyczynia się do osiągnięcia celów zrównoważonego rozwoju poprzez wspieranie wzajemnego wzrostu, działalności gospodarczej i tworzenia miejsc pracy w krajach partnerskich, przy jednoczesnym wzmacnianiu strategicznej autonomii, pozycji geopolitycznej i globalnej wiarygodności UE; niemniej jednak usprawnienie monitorowania zgodności i oceny efektywności projektów finansowanych w ramach strategii Global Gateway; </w:t>
      </w:r>
    </w:p>
    <w:bookmarkEnd w:id="22"/>
    <w:p w14:paraId="44221624" w14:textId="1526C1CE" w:rsidR="00EF5C53" w:rsidRPr="00E0308F" w:rsidRDefault="00EF5C53" w:rsidP="002F032D">
      <w:pPr>
        <w:pStyle w:val="NormalHangingLeft12a"/>
      </w:pPr>
      <w:proofErr w:type="spellStart"/>
      <w:r w:rsidRPr="00E0308F">
        <w:t>a</w:t>
      </w:r>
      <w:r w:rsidR="001245BB">
        <w:t>x</w:t>
      </w:r>
      <w:proofErr w:type="spellEnd"/>
      <w:r w:rsidRPr="00E0308F">
        <w:t>)</w:t>
      </w:r>
      <w:r w:rsidRPr="00E0308F">
        <w:tab/>
        <w:t xml:space="preserve">przyjęcie z zadowoleniem wyników niedawnych szczytów ONZ wzywających do wzmocnienia i modernizacji międzynarodowych instytucji finansowych, w tym MFW i Banku Światowego; wezwanie do zwiększenia skuteczności i </w:t>
      </w:r>
      <w:proofErr w:type="spellStart"/>
      <w:r w:rsidRPr="00E0308F">
        <w:t>inkluzywności</w:t>
      </w:r>
      <w:proofErr w:type="spellEnd"/>
      <w:r w:rsidRPr="00E0308F">
        <w:t xml:space="preserve"> międzynarodowej architektury finansowej, zwiększenia finansowania na warunkach preferencyjnych i finansowania rozwoju, rozwiązania problemu niezrównoważonego zadłużenia poprzez poprawę mechanizmów redukcji zadłużenia i restrukturyzacji oraz dostosowania przepływów finansowych do celów zrównoważonego rozwoju i zobowiązań klimatycznych; </w:t>
      </w:r>
    </w:p>
    <w:p w14:paraId="6AB83B6B" w14:textId="0AE5CB43" w:rsidR="00EF5C53" w:rsidRPr="00E0308F" w:rsidRDefault="00EF5C53" w:rsidP="002F032D">
      <w:pPr>
        <w:pStyle w:val="NormalHangingLeft12a"/>
      </w:pPr>
      <w:proofErr w:type="spellStart"/>
      <w:r w:rsidRPr="00E0308F">
        <w:t>a</w:t>
      </w:r>
      <w:r w:rsidR="001245BB">
        <w:t>y</w:t>
      </w:r>
      <w:proofErr w:type="spellEnd"/>
      <w:r w:rsidRPr="00E0308F">
        <w:t>)</w:t>
      </w:r>
      <w:r w:rsidRPr="00E0308F">
        <w:tab/>
        <w:t xml:space="preserve">ostrzeżenie przed wykorzystaniem dźwigni finansowej, środków eksterytorialnych i przymusu gospodarczego jako narzędzi polityki zagranicznej, które podważają zaufanie do międzynarodowego systemu finansowego i przyczyniają się do globalnej niestabilności i nierówności; </w:t>
      </w:r>
    </w:p>
    <w:p w14:paraId="38CC57A1" w14:textId="2CB3917F" w:rsidR="00EF5C53" w:rsidRPr="00E0308F" w:rsidRDefault="00EF5C53" w:rsidP="002F032D">
      <w:pPr>
        <w:pStyle w:val="NormalHangingLeft12a"/>
      </w:pPr>
      <w:proofErr w:type="spellStart"/>
      <w:r w:rsidRPr="00E0308F">
        <w:t>a</w:t>
      </w:r>
      <w:r w:rsidR="001245BB">
        <w:t>z</w:t>
      </w:r>
      <w:proofErr w:type="spellEnd"/>
      <w:r w:rsidRPr="00E0308F">
        <w:t>)</w:t>
      </w:r>
      <w:r w:rsidRPr="00E0308F">
        <w:tab/>
        <w:t>jednoznaczne potwierdzenie i podkreślenie, że wszystkie prawa człowieka, w szczególności te zapisane w konwencjach ONZ, mają charakter powszechny i muszą być w pełni przestrzegane; wezwanie ONZ do potępienia globalnych tendencji podważających te prawa, w tym rosnącej marginalizacji praw człowieka i kurczącej się przestrzeni dla społeczeństwa obywatelskiego, także w ugruntowanych demokracjach;</w:t>
      </w:r>
    </w:p>
    <w:bookmarkEnd w:id="23"/>
    <w:p w14:paraId="124A9A93" w14:textId="401510B6" w:rsidR="00EF5C53" w:rsidRPr="00E0308F" w:rsidRDefault="001245BB" w:rsidP="002F032D">
      <w:pPr>
        <w:pStyle w:val="NormalHangingLeft12a"/>
      </w:pPr>
      <w:r>
        <w:t>ba</w:t>
      </w:r>
      <w:r w:rsidR="00EF5C53" w:rsidRPr="00E0308F">
        <w:t>)</w:t>
      </w:r>
      <w:r w:rsidR="00EF5C53" w:rsidRPr="00E0308F">
        <w:tab/>
        <w:t xml:space="preserve">promowanie ukierunkowanej na człowieka transformacji opartej na prawach poprzez wspieranie integracyjnej, otwartej, bezpiecznej i pewnej cyfrowej przyszłości oraz zapewnienie skutecznego wdrożenia Globalnego porozumienia cyfrowego; </w:t>
      </w:r>
    </w:p>
    <w:p w14:paraId="5318C022" w14:textId="032EE5C5" w:rsidR="00EF5C53" w:rsidRPr="00E0308F" w:rsidRDefault="001245BB" w:rsidP="002F032D">
      <w:pPr>
        <w:pStyle w:val="NormalHangingLeft12a"/>
      </w:pPr>
      <w:proofErr w:type="spellStart"/>
      <w:r>
        <w:t>bb</w:t>
      </w:r>
      <w:proofErr w:type="spellEnd"/>
      <w:r w:rsidR="00EF5C53" w:rsidRPr="00E0308F">
        <w:t>)</w:t>
      </w:r>
      <w:r w:rsidR="00EF5C53" w:rsidRPr="00E0308F">
        <w:tab/>
        <w:t xml:space="preserve">dalsze wspieranie praw kobiet zapisanych w deklaracji pekińskiej i pekińskiej platformie działania; wykorzystanie wszystkich dostępnych narzędzi do walki z przemocą wobec kobiet i dziewcząt w UE i na całym świecie; zwrócenie szczególnej uwagi na społeczności znajdujące się w trudnej sytuacji i społeczności zmarginalizowane w państwach, w których prawa kobiet są wielokrotnie podważane przez rządy krajowe; zwiększenie funduszy UE dla UN </w:t>
      </w:r>
      <w:proofErr w:type="spellStart"/>
      <w:r w:rsidR="00EF5C53" w:rsidRPr="00E0308F">
        <w:t>Women</w:t>
      </w:r>
      <w:proofErr w:type="spellEnd"/>
      <w:r w:rsidR="00EF5C53" w:rsidRPr="00E0308F">
        <w:t xml:space="preserve">, Funduszu Ludnościowego ONZ i innych programów ONZ działających na rzecz praw kobiet, równości płci i wzmocnienia pozycji wszystkich kobiet i dziewcząt; </w:t>
      </w:r>
    </w:p>
    <w:p w14:paraId="778FC42C" w14:textId="39316D44" w:rsidR="00EF5C53" w:rsidRPr="00E0308F" w:rsidRDefault="001245BB" w:rsidP="002F032D">
      <w:pPr>
        <w:pStyle w:val="NormalHangingLeft12a"/>
      </w:pPr>
      <w:proofErr w:type="spellStart"/>
      <w:r>
        <w:t>bc</w:t>
      </w:r>
      <w:proofErr w:type="spellEnd"/>
      <w:r w:rsidR="00EF5C53" w:rsidRPr="00E0308F">
        <w:t>)</w:t>
      </w:r>
      <w:r w:rsidR="00EF5C53" w:rsidRPr="00E0308F">
        <w:tab/>
        <w:t xml:space="preserve">prowadzenie w dalszym ciągu spójnego dialogu na forach ONZ w sprawie potrzeby zwalczania uporczywej dyskryminacji społeczności LGBTIQ+ i zapewnienia równego dostępu do ochrony socjalnej, opieki zdrowotnej, edukacji oraz dostępu do towarów i usług; wspieranie kampanii ONZ „Wolni i Równi” przez zwiększanie świadomości społecznej i wspieranie silniejszej ochrony </w:t>
      </w:r>
      <w:r w:rsidR="00EF5C53" w:rsidRPr="00E0308F">
        <w:lastRenderedPageBreak/>
        <w:t xml:space="preserve">prawnej, szczególnie w państwach, w których praktyki dyskryminacyjne są nadal powszechne; </w:t>
      </w:r>
    </w:p>
    <w:p w14:paraId="6165B46F" w14:textId="3839941C" w:rsidR="00EF5C53" w:rsidRPr="00E0308F" w:rsidRDefault="001245BB" w:rsidP="002F032D">
      <w:pPr>
        <w:pStyle w:val="NormalHangingLeft12a"/>
      </w:pPr>
      <w:proofErr w:type="spellStart"/>
      <w:r>
        <w:t>bd</w:t>
      </w:r>
      <w:proofErr w:type="spellEnd"/>
      <w:r w:rsidR="00EF5C53" w:rsidRPr="00E0308F">
        <w:t>)</w:t>
      </w:r>
      <w:r w:rsidR="00EF5C53" w:rsidRPr="00E0308F">
        <w:tab/>
        <w:t xml:space="preserve">priorytetowe traktowanie walki z dezinformacją i nieprawdziwymi informacjami szerzonymi za pomocą algorytmów przez duże platformy internetowe, coraz częstszym stosowaniem dużych modeli językowych bez odpowiednich zabezpieczeń, wykorzystywaniem ich przez działające w złej wierze podmioty zagraniczne oraz niewywiązywaniem się przez gigantów technologicznych z obowiązków wynikających z obowiązujących przepisów w tej dziedzinie, co zagraża demokracji i procesom wyborczym; wezwanie Zgromadzenia Ogólnego ONZ do przyjęcia silniejszych ram reagowania na zagrożenia hybrydowe, w tym kampanie dezinformacyjne i inne niekinetyczne działania w zakresie wywierania wpływu informacyjnego, które podważają procesy demokratyczne i spójność społeczną na całym świecie; działanie na rzecz wdrożenia globalnych ram ochrony małoletnich w </w:t>
      </w:r>
      <w:proofErr w:type="spellStart"/>
      <w:r w:rsidR="00EF5C53" w:rsidRPr="00E0308F">
        <w:t>internecie</w:t>
      </w:r>
      <w:proofErr w:type="spellEnd"/>
      <w:r w:rsidR="00EF5C53" w:rsidRPr="00E0308F">
        <w:t xml:space="preserve">, w tym wymogów dotyczących weryfikacji tożsamości na platformach mediów społecznościowych, w celu zagwarantowania, że każde konto użytkownika odpowiada osobie fizycznej korzystającej ze swojego prawdziwego imienia i nazwiska oraz tożsamości, przy jednoczesnym zapewnieniu wdrożenia takich środków w pełnej zgodności z obowiązującymi normami ochrony danych osobowych; zapewnienie Wydziałowi Komunikacji Strategicznej i Prognoz Strategicznych Europejskiej Służby Działań Zewnętrznych wystarczających zasobów do skutecznego zwalczania </w:t>
      </w:r>
      <w:proofErr w:type="spellStart"/>
      <w:r w:rsidR="00EF5C53" w:rsidRPr="00E0308F">
        <w:t>antyunijnych</w:t>
      </w:r>
      <w:proofErr w:type="spellEnd"/>
      <w:r w:rsidR="00EF5C53" w:rsidRPr="00E0308F">
        <w:t xml:space="preserve"> kampanii dezinformacyjnych i narracji stosowanych strategicznie przez autorytarne i nieliberalne reżimy, które dążą do osłabienia zarówno stosunków UE z Ameryką Łacińską, Afryką i Azją, jak i działań zewnętrznych UE na forach wielostronnych;</w:t>
      </w:r>
    </w:p>
    <w:p w14:paraId="15C7E842" w14:textId="13F3CED1" w:rsidR="00EF5C53" w:rsidRPr="00E0308F" w:rsidRDefault="001245BB" w:rsidP="002F032D">
      <w:pPr>
        <w:pStyle w:val="NormalHangingLeft12a"/>
      </w:pPr>
      <w:r>
        <w:t>be</w:t>
      </w:r>
      <w:r w:rsidR="00EF5C53" w:rsidRPr="00E0308F">
        <w:t>)</w:t>
      </w:r>
      <w:r w:rsidR="00EF5C53" w:rsidRPr="00E0308F">
        <w:tab/>
        <w:t xml:space="preserve">podkreślenie znaczenia zapewnienia bezpiecznego środowiska, niezależności redakcyjnej i wsparcia finansowego dla mediów; zwalczanie nasilających się zagrożeń dla dziennikarzy na całym świecie, w szczególności dla dziennikarek, które nieproporcjonalnie często są celem ataków; zacieśnienie współpracy z Biurem Wysokiego Komisarza Narodów Zjednoczonych ds. Praw Człowieka (OHCHR) w zakresie wsparcia realizacji planu działania ONZ dotyczącego bezpieczeństwa dziennikarzy i kwestii bezkarności; </w:t>
      </w:r>
    </w:p>
    <w:p w14:paraId="3125EEF7" w14:textId="0B51D6D6" w:rsidR="00EF5C53" w:rsidRPr="00E0308F" w:rsidRDefault="00EF5C53" w:rsidP="002F032D">
      <w:pPr>
        <w:pStyle w:val="NormalHangingLeft12a"/>
      </w:pPr>
      <w:proofErr w:type="spellStart"/>
      <w:r w:rsidRPr="00E0308F">
        <w:t>b</w:t>
      </w:r>
      <w:r w:rsidR="001245BB">
        <w:t>f</w:t>
      </w:r>
      <w:proofErr w:type="spellEnd"/>
      <w:r w:rsidRPr="00E0308F">
        <w:t>)</w:t>
      </w:r>
      <w:r w:rsidRPr="00E0308F">
        <w:tab/>
        <w:t>wzmocnienie propagowania wolności wyznania, myśli, sumienia i przekonań, która jest powszechnym prawem człowieka, oraz zaapelowanie o bardziej zdecydowane środki ochrony wszystkich mniejszości religijnych, etnicznych i innych mniejszości, w tym wspólnot chrześcijańskich, muzułmańskich i żydowskich; zdecydowane potępienie prześladowań wszystkich wspólnot religijnych, które są szeroko prześladowane na całym świecie, w szczególności chrześcijan, oraz wszelkich form przemocy lub dyskryminacji wobec innych wspólnot wyznaniowych; wezwanie wszystkich państw członkowskich ONZ do zagwarantowania wszystkim osobom pełnej wolności wyznania i kultu zgodnie z ich międzynarodowymi zobowiązaniami w zakresie praw człowieka;</w:t>
      </w:r>
    </w:p>
    <w:p w14:paraId="174D3C0B" w14:textId="5DAB77FA" w:rsidR="00EF5C53" w:rsidRPr="00E0308F" w:rsidRDefault="00EF5C53" w:rsidP="002F032D">
      <w:pPr>
        <w:pStyle w:val="NormalHangingLeft12a"/>
      </w:pPr>
      <w:bookmarkStart w:id="24" w:name="_Hlk218761193"/>
      <w:proofErr w:type="spellStart"/>
      <w:r w:rsidRPr="00E0308F">
        <w:t>b</w:t>
      </w:r>
      <w:r w:rsidR="001245BB">
        <w:t>g</w:t>
      </w:r>
      <w:proofErr w:type="spellEnd"/>
      <w:r w:rsidRPr="00E0308F">
        <w:t>)</w:t>
      </w:r>
      <w:r w:rsidRPr="00E0308F">
        <w:tab/>
        <w:t xml:space="preserve">ponowne podkreślenie potrzeby dokonania przeglądu procesu wyborczego do Rady Praw Człowieka ONZ, w szczególności w celu uniemożliwienia zasiadania w niej krajom łamiącym prawa człowieka; podkreślenie, że przy wyborze członków Rady Praw Człowieka ONZ na Zgromadzeniu Ogólnym ONZ spoczywa obowiązek uwzględnienia zaangażowania kandydatów w promowanie i </w:t>
      </w:r>
      <w:r w:rsidRPr="00E0308F">
        <w:lastRenderedPageBreak/>
        <w:t xml:space="preserve">ochronę praw człowieka; wezwanie państw członkowskich UE do przyjęcia skoordynowanego stanowiska wobec członkostwa w Radzie Praw Człowieka oraz do głosowania przeciwko wszystkim kandydatom do Rady Praw Człowieka ONZ, którzy nie przestrzegają praw człowieka; </w:t>
      </w:r>
    </w:p>
    <w:p w14:paraId="09054253" w14:textId="1626A06B" w:rsidR="00EF5C53" w:rsidRPr="00E0308F" w:rsidRDefault="00EF5C53" w:rsidP="002F032D">
      <w:pPr>
        <w:pStyle w:val="NormalHangingLeft12a"/>
      </w:pPr>
      <w:proofErr w:type="spellStart"/>
      <w:r w:rsidRPr="00E0308F">
        <w:t>b</w:t>
      </w:r>
      <w:r w:rsidR="001245BB">
        <w:t>h</w:t>
      </w:r>
      <w:proofErr w:type="spellEnd"/>
      <w:r w:rsidRPr="00E0308F">
        <w:t>)</w:t>
      </w:r>
      <w:r w:rsidRPr="00E0308F">
        <w:tab/>
        <w:t>wzmocnienie zaangażowania UE na rzecz promowania – wraz z partnerami – zdrowia na świecie przez wspieranie kampanii szczepień, wdrażanie umowy w sprawie pandemii, zwalczanie chorób niezakaźnych oraz wzmacnianie wielostronnych mechanizmów zapobiegania pandemiom, gotowości i reagowania na nie;</w:t>
      </w:r>
      <w:bookmarkEnd w:id="24"/>
    </w:p>
    <w:p w14:paraId="29CE12D7" w14:textId="4FE5AB68" w:rsidR="00EF5C53" w:rsidRPr="00E0308F" w:rsidRDefault="00EF5C53" w:rsidP="002F032D">
      <w:pPr>
        <w:pStyle w:val="NormalHangingLeft12a"/>
      </w:pPr>
      <w:proofErr w:type="spellStart"/>
      <w:r w:rsidRPr="00E0308F">
        <w:t>b</w:t>
      </w:r>
      <w:r w:rsidR="001245BB">
        <w:t>i</w:t>
      </w:r>
      <w:proofErr w:type="spellEnd"/>
      <w:r w:rsidRPr="00E0308F">
        <w:t>)</w:t>
      </w:r>
      <w:r w:rsidRPr="00E0308F">
        <w:tab/>
        <w:t>zintensyfikowanie propagowania wolności artystycznej oraz ochrony dziedzictwa kulturowego i praw kulturalnych przez wspieranie prac UNESCO i dążenie do ustanowienia stałego sprawozdawcy UE lub stałego przedstawiciela UE w rozmowach z UNESCO;</w:t>
      </w:r>
    </w:p>
    <w:p w14:paraId="61B58DC8" w14:textId="77777777" w:rsidR="00EF5C53" w:rsidRPr="00E0308F" w:rsidRDefault="00EF5C53" w:rsidP="00EF5C53">
      <w:pPr>
        <w:pStyle w:val="NormalHanging12a"/>
        <w:jc w:val="center"/>
      </w:pPr>
      <w:r w:rsidRPr="00E0308F">
        <w:t>°</w:t>
      </w:r>
    </w:p>
    <w:p w14:paraId="0D0D1D08" w14:textId="77777777" w:rsidR="00EF5C53" w:rsidRPr="00E0308F" w:rsidRDefault="00EF5C53" w:rsidP="00EF5C53">
      <w:pPr>
        <w:pStyle w:val="NormalHanging12a"/>
        <w:jc w:val="center"/>
      </w:pPr>
      <w:r w:rsidRPr="00E0308F">
        <w:t>°</w:t>
      </w:r>
      <w:r w:rsidRPr="00E0308F">
        <w:tab/>
        <w:t>°</w:t>
      </w:r>
    </w:p>
    <w:p w14:paraId="4B1F7A8C" w14:textId="77777777" w:rsidR="00EF5C53" w:rsidRPr="00E0308F" w:rsidRDefault="00EF5C53" w:rsidP="00EF5C53">
      <w:pPr>
        <w:pStyle w:val="NormalHanging12a"/>
        <w:ind w:left="720" w:hanging="720"/>
      </w:pPr>
      <w:r w:rsidRPr="00E0308F">
        <w:t>2.</w:t>
      </w:r>
      <w:r w:rsidRPr="00E0308F">
        <w:tab/>
        <w:t>zobowiązuje swoją przewodniczącą do przekazania niniejszego zalecenia Radzie, Komisji i Wiceprzewodniczącej Komisji / Wysokiej Przedstawicielce Unii do Spraw Zagranicznych i Polityki Bezpieczeństwa oraz – do wiadomości – Zgromadzeniu Ogólnemu Narodów Zjednoczonych i Sekretarzowi Generalnemu Organizacji Narodów Zjednoczonych.</w:t>
      </w:r>
    </w:p>
    <w:p w14:paraId="76A5E331" w14:textId="05BA96D3" w:rsidR="00E365E1" w:rsidRPr="00E0308F" w:rsidRDefault="00E365E1" w:rsidP="002F032D">
      <w:pPr>
        <w:widowControl/>
      </w:pPr>
    </w:p>
    <w:sectPr w:rsidR="00E365E1" w:rsidRPr="00E0308F" w:rsidSect="00E030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D6D33" w14:textId="77777777" w:rsidR="00B057F7" w:rsidRPr="00E0308F" w:rsidRDefault="00B057F7">
      <w:r w:rsidRPr="00E0308F">
        <w:separator/>
      </w:r>
    </w:p>
  </w:endnote>
  <w:endnote w:type="continuationSeparator" w:id="0">
    <w:p w14:paraId="4377E149" w14:textId="77777777" w:rsidR="00B057F7" w:rsidRPr="00E0308F" w:rsidRDefault="00B057F7">
      <w:r w:rsidRPr="00E030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3D842" w14:textId="77777777" w:rsidR="00064002" w:rsidRPr="00E030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7C3F4" w14:textId="77777777" w:rsidR="00064002" w:rsidRPr="00E030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C9206" w14:textId="77777777" w:rsidR="00064002" w:rsidRPr="00E030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E683E" w14:textId="77777777" w:rsidR="00B057F7" w:rsidRPr="00E0308F" w:rsidRDefault="00B057F7">
      <w:r w:rsidRPr="00E0308F">
        <w:separator/>
      </w:r>
    </w:p>
  </w:footnote>
  <w:footnote w:type="continuationSeparator" w:id="0">
    <w:p w14:paraId="252F4BBE" w14:textId="77777777" w:rsidR="00B057F7" w:rsidRPr="00E0308F" w:rsidRDefault="00B057F7">
      <w:r w:rsidRPr="00E0308F">
        <w:continuationSeparator/>
      </w:r>
    </w:p>
  </w:footnote>
  <w:footnote w:id="1">
    <w:p w14:paraId="2DFFA6BA" w14:textId="5278E52E" w:rsidR="00EF5C53" w:rsidRPr="00E0308F" w:rsidRDefault="00EF5C53" w:rsidP="00E0308F">
      <w:pPr>
        <w:pStyle w:val="FootnoteText"/>
        <w:ind w:left="567" w:hanging="567"/>
        <w:rPr>
          <w:sz w:val="24"/>
          <w:lang w:val="pl-PL"/>
        </w:rPr>
      </w:pPr>
      <w:r w:rsidRPr="00E0308F">
        <w:rPr>
          <w:rStyle w:val="FootnoteReference"/>
          <w:sz w:val="24"/>
          <w:lang w:val="pl-PL"/>
        </w:rPr>
        <w:footnoteRef/>
      </w:r>
      <w:r w:rsidR="00E0308F" w:rsidRPr="00E0308F">
        <w:rPr>
          <w:sz w:val="24"/>
          <w:lang w:val="pl-PL"/>
        </w:rPr>
        <w:t xml:space="preserve"> </w:t>
      </w:r>
      <w:r w:rsidR="00E0308F" w:rsidRPr="00E0308F">
        <w:rPr>
          <w:sz w:val="24"/>
          <w:lang w:val="pl-PL"/>
        </w:rPr>
        <w:tab/>
      </w:r>
      <w:r w:rsidRPr="00E0308F">
        <w:rPr>
          <w:sz w:val="24"/>
          <w:lang w:val="pl-PL"/>
        </w:rPr>
        <w:t>Teksty przyjęte, P10_</w:t>
      </w:r>
      <w:proofErr w:type="gramStart"/>
      <w:r w:rsidRPr="00E0308F">
        <w:rPr>
          <w:sz w:val="24"/>
          <w:lang w:val="pl-PL"/>
        </w:rPr>
        <w:t>TA(</w:t>
      </w:r>
      <w:proofErr w:type="gramEnd"/>
      <w:r w:rsidRPr="00E0308F">
        <w:rPr>
          <w:sz w:val="24"/>
          <w:lang w:val="pl-PL"/>
        </w:rPr>
        <w:t>2026)0012.</w:t>
      </w:r>
    </w:p>
  </w:footnote>
  <w:footnote w:id="2">
    <w:p w14:paraId="43AC05B0" w14:textId="3C032B75" w:rsidR="00EF5C53" w:rsidRPr="00E0308F" w:rsidRDefault="00EF5C53" w:rsidP="00E0308F">
      <w:pPr>
        <w:pStyle w:val="FootnoteText"/>
        <w:ind w:left="567" w:hanging="567"/>
        <w:rPr>
          <w:sz w:val="24"/>
          <w:lang w:val="pl-PL"/>
        </w:rPr>
      </w:pPr>
      <w:r w:rsidRPr="00E0308F">
        <w:rPr>
          <w:rStyle w:val="FootnoteReference"/>
          <w:sz w:val="24"/>
          <w:lang w:val="pl-PL"/>
        </w:rPr>
        <w:footnoteRef/>
      </w:r>
      <w:r w:rsidR="00E0308F" w:rsidRPr="00E0308F">
        <w:rPr>
          <w:sz w:val="24"/>
          <w:lang w:val="pl-PL"/>
        </w:rPr>
        <w:t xml:space="preserve"> </w:t>
      </w:r>
      <w:r w:rsidR="00E0308F" w:rsidRPr="00E0308F">
        <w:rPr>
          <w:sz w:val="24"/>
          <w:lang w:val="pl-PL"/>
        </w:rPr>
        <w:tab/>
      </w:r>
      <w:r w:rsidRPr="00E0308F">
        <w:rPr>
          <w:sz w:val="24"/>
          <w:lang w:val="pl-PL"/>
        </w:rPr>
        <w:t>Teksty przyjęte, P10_</w:t>
      </w:r>
      <w:proofErr w:type="gramStart"/>
      <w:r w:rsidRPr="00E0308F">
        <w:rPr>
          <w:sz w:val="24"/>
          <w:lang w:val="pl-PL"/>
        </w:rPr>
        <w:t>TA(</w:t>
      </w:r>
      <w:proofErr w:type="gramEnd"/>
      <w:r w:rsidRPr="00E0308F">
        <w:rPr>
          <w:sz w:val="24"/>
          <w:lang w:val="pl-PL"/>
        </w:rPr>
        <w:t>2026)0014.</w:t>
      </w:r>
    </w:p>
  </w:footnote>
  <w:footnote w:id="3">
    <w:p w14:paraId="3962FBCB" w14:textId="7FA9AFA2" w:rsidR="00EF5C53" w:rsidRPr="00E0308F" w:rsidRDefault="00EF5C53" w:rsidP="00E0308F">
      <w:pPr>
        <w:pStyle w:val="FootnoteText"/>
        <w:ind w:left="567" w:hanging="567"/>
        <w:rPr>
          <w:sz w:val="24"/>
          <w:lang w:val="pl-PL"/>
        </w:rPr>
      </w:pPr>
      <w:r w:rsidRPr="00E0308F">
        <w:rPr>
          <w:rStyle w:val="FootnoteReference"/>
          <w:sz w:val="24"/>
          <w:lang w:val="pl-PL"/>
        </w:rPr>
        <w:footnoteRef/>
      </w:r>
      <w:r w:rsidR="00E0308F" w:rsidRPr="00E0308F">
        <w:rPr>
          <w:sz w:val="24"/>
          <w:lang w:val="pl-PL"/>
        </w:rPr>
        <w:t xml:space="preserve"> </w:t>
      </w:r>
      <w:r w:rsidR="00E0308F" w:rsidRPr="00E0308F">
        <w:rPr>
          <w:sz w:val="24"/>
          <w:lang w:val="pl-PL"/>
        </w:rPr>
        <w:tab/>
      </w:r>
      <w:r w:rsidRPr="00E0308F">
        <w:rPr>
          <w:sz w:val="24"/>
          <w:lang w:val="pl-PL"/>
        </w:rPr>
        <w:t xml:space="preserve">Dz.U. C 67 z </w:t>
      </w:r>
      <w:proofErr w:type="gramStart"/>
      <w:r w:rsidRPr="00E0308F">
        <w:rPr>
          <w:sz w:val="24"/>
          <w:lang w:val="pl-PL"/>
        </w:rPr>
        <w:t>8.2.2022</w:t>
      </w:r>
      <w:proofErr w:type="gramEnd"/>
      <w:r w:rsidRPr="00E0308F">
        <w:rPr>
          <w:sz w:val="24"/>
          <w:lang w:val="pl-PL"/>
        </w:rPr>
        <w:t>, s. 150.</w:t>
      </w:r>
    </w:p>
  </w:footnote>
  <w:footnote w:id="4">
    <w:p w14:paraId="25625FD5" w14:textId="158B0613" w:rsidR="00EF5C53" w:rsidRPr="00E0308F" w:rsidRDefault="00EF5C53" w:rsidP="00E0308F">
      <w:pPr>
        <w:pStyle w:val="FootnoteText"/>
        <w:ind w:left="567" w:hanging="567"/>
        <w:rPr>
          <w:sz w:val="24"/>
          <w:lang w:val="pl-PL"/>
        </w:rPr>
      </w:pPr>
      <w:r w:rsidRPr="00E0308F">
        <w:rPr>
          <w:rStyle w:val="FootnoteReference"/>
          <w:sz w:val="24"/>
          <w:lang w:val="pl-PL"/>
        </w:rPr>
        <w:footnoteRef/>
      </w:r>
      <w:r w:rsidR="00E0308F" w:rsidRPr="00E0308F">
        <w:rPr>
          <w:sz w:val="24"/>
          <w:lang w:val="pl-PL"/>
        </w:rPr>
        <w:t xml:space="preserve"> </w:t>
      </w:r>
      <w:r w:rsidR="00E0308F" w:rsidRPr="00E0308F">
        <w:rPr>
          <w:sz w:val="24"/>
          <w:lang w:val="pl-PL"/>
        </w:rPr>
        <w:tab/>
      </w:r>
      <w:r w:rsidRPr="00E0308F">
        <w:rPr>
          <w:sz w:val="24"/>
          <w:lang w:val="pl-PL"/>
        </w:rPr>
        <w:t xml:space="preserve">Dz.U. C, C/2025/487, </w:t>
      </w:r>
      <w:proofErr w:type="gramStart"/>
      <w:r w:rsidRPr="00E0308F">
        <w:rPr>
          <w:sz w:val="24"/>
          <w:lang w:val="pl-PL"/>
        </w:rPr>
        <w:t>29.1.2025</w:t>
      </w:r>
      <w:proofErr w:type="gramEnd"/>
      <w:r w:rsidRPr="00E0308F">
        <w:rPr>
          <w:sz w:val="24"/>
          <w:lang w:val="pl-PL"/>
        </w:rPr>
        <w:t>, ELI: </w:t>
      </w:r>
      <w:hyperlink r:id="rId1" w:tgtFrame="_blank" w:tooltip="Dostęp do dokumentu poprzez identyfikator URI w systemie ELI." w:history="1">
        <w:r w:rsidRPr="00E0308F">
          <w:rPr>
            <w:rStyle w:val="Hyperlink"/>
            <w:sz w:val="24"/>
            <w:lang w:val="pl-PL"/>
          </w:rPr>
          <w:t>http://data.europa.eu/eli/C/2025/487/oj</w:t>
        </w:r>
      </w:hyperlink>
      <w:r w:rsidRPr="00E0308F">
        <w:rPr>
          <w:sz w:val="24"/>
          <w:lang w:val="pl-PL"/>
        </w:rPr>
        <w:t>. </w:t>
      </w:r>
    </w:p>
  </w:footnote>
  <w:footnote w:id="5">
    <w:p w14:paraId="4A0333FD" w14:textId="47A2FB73" w:rsidR="00EF5C53" w:rsidRPr="00E0308F" w:rsidRDefault="00EF5C53" w:rsidP="00E0308F">
      <w:pPr>
        <w:pStyle w:val="FootnoteText"/>
        <w:ind w:left="567" w:hanging="567"/>
        <w:rPr>
          <w:sz w:val="24"/>
          <w:lang w:val="pl-PL"/>
        </w:rPr>
      </w:pPr>
      <w:r w:rsidRPr="00E0308F">
        <w:rPr>
          <w:rStyle w:val="FootnoteReference"/>
          <w:sz w:val="24"/>
          <w:lang w:val="pl-PL"/>
        </w:rPr>
        <w:footnoteRef/>
      </w:r>
      <w:r w:rsidR="00E0308F" w:rsidRPr="00E0308F">
        <w:rPr>
          <w:sz w:val="24"/>
          <w:lang w:val="pl-PL"/>
        </w:rPr>
        <w:t xml:space="preserve"> </w:t>
      </w:r>
      <w:r w:rsidR="00E0308F" w:rsidRPr="00E0308F">
        <w:rPr>
          <w:sz w:val="24"/>
          <w:lang w:val="pl-PL"/>
        </w:rPr>
        <w:tab/>
      </w:r>
      <w:r w:rsidRPr="00E0308F">
        <w:rPr>
          <w:sz w:val="24"/>
          <w:lang w:val="pl-PL"/>
        </w:rPr>
        <w:t>Dz.U. C 404 z 6.10.2021, s. 202.</w:t>
      </w:r>
    </w:p>
  </w:footnote>
  <w:footnote w:id="6">
    <w:p w14:paraId="0A3DEA5E" w14:textId="2CDCEAC0" w:rsidR="00EF5C53" w:rsidRPr="00E0308F" w:rsidRDefault="00EF5C53" w:rsidP="00E0308F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E0308F">
        <w:rPr>
          <w:rStyle w:val="FootnoteReference"/>
          <w:sz w:val="24"/>
          <w:lang w:val="pl-PL"/>
        </w:rPr>
        <w:footnoteRef/>
      </w:r>
      <w:r w:rsidR="00E0308F" w:rsidRPr="00E0308F">
        <w:rPr>
          <w:sz w:val="24"/>
          <w:lang w:val="pl-PL"/>
        </w:rPr>
        <w:t xml:space="preserve"> </w:t>
      </w:r>
      <w:r w:rsidR="00E0308F" w:rsidRPr="00E0308F">
        <w:rPr>
          <w:sz w:val="24"/>
          <w:lang w:val="pl-PL"/>
        </w:rPr>
        <w:tab/>
      </w:r>
      <w:r w:rsidRPr="00E0308F">
        <w:rPr>
          <w:sz w:val="24"/>
          <w:lang w:val="pl-PL"/>
        </w:rPr>
        <w:t>Rozporządzenie Rady (WE) nr 2271/96 z dnia 22 listopada 1996 r. zabezpieczające przed skutkami eksterytorialnego stosowania ustawodawstwa przyjętego przez państwo trzecie oraz działaniami opartymi na nim lub z niego wynikającymi</w:t>
      </w:r>
      <w:r w:rsidR="00301B9F">
        <w:rPr>
          <w:sz w:val="24"/>
          <w:lang w:val="pl-PL"/>
        </w:rPr>
        <w:t xml:space="preserve">. </w:t>
      </w:r>
      <w:r w:rsidR="00E0308F" w:rsidRPr="00E0308F">
        <w:rPr>
          <w:sz w:val="24"/>
          <w:lang w:val="pl-PL"/>
        </w:rPr>
        <w:tab/>
      </w:r>
      <w:r w:rsidRPr="00E0308F">
        <w:rPr>
          <w:sz w:val="24"/>
          <w:lang w:val="pl-PL"/>
        </w:rPr>
        <w:t>(Dz.U. L 309 z 29.11.1996, s. 1, ELI: </w:t>
      </w:r>
      <w:hyperlink r:id="rId2" w:tooltip="Dostęp do dokumentu poprzez identyfikator URI w systemie ELI." w:history="1">
        <w:r w:rsidRPr="00E0308F">
          <w:rPr>
            <w:rStyle w:val="Hyperlink"/>
            <w:sz w:val="24"/>
            <w:lang w:val="pl-PL"/>
          </w:rPr>
          <w:t>http://data.europa.eu/eli/reg/1996/2271/oj</w:t>
        </w:r>
      </w:hyperlink>
      <w:r w:rsidRPr="00E0308F">
        <w:rPr>
          <w:sz w:val="24"/>
          <w:lang w:val="pl-PL"/>
        </w:rPr>
        <w:t>).</w:t>
      </w:r>
    </w:p>
    <w:p w14:paraId="0454CE07" w14:textId="3C27052D" w:rsidR="00EF5C53" w:rsidRPr="00E0308F" w:rsidRDefault="00E0308F" w:rsidP="00E0308F">
      <w:pPr>
        <w:pStyle w:val="FootnoteText"/>
        <w:ind w:left="567" w:hanging="567"/>
        <w:rPr>
          <w:sz w:val="24"/>
          <w:lang w:val="pl-PL"/>
        </w:rPr>
      </w:pPr>
      <w:r w:rsidRPr="00E0308F">
        <w:rPr>
          <w:sz w:val="24"/>
          <w:lang w:val="pl-PL"/>
        </w:rPr>
        <w:t xml:space="preserve"> </w:t>
      </w:r>
      <w:r w:rsidRPr="00E0308F">
        <w:rPr>
          <w:sz w:val="24"/>
          <w:lang w:val="pl-PL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CE80" w14:textId="77777777" w:rsidR="00064002" w:rsidRPr="00E030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6338" w14:textId="77777777" w:rsidR="00064002" w:rsidRPr="00E030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621B2" w14:textId="77777777" w:rsidR="00064002" w:rsidRPr="00E030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5BA341D"/>
    <w:multiLevelType w:val="hybridMultilevel"/>
    <w:tmpl w:val="FE0491D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6351034">
    <w:abstractNumId w:val="9"/>
  </w:num>
  <w:num w:numId="2" w16cid:durableId="413086325">
    <w:abstractNumId w:val="9"/>
  </w:num>
  <w:num w:numId="3" w16cid:durableId="2062169921">
    <w:abstractNumId w:val="7"/>
  </w:num>
  <w:num w:numId="4" w16cid:durableId="1171406018">
    <w:abstractNumId w:val="7"/>
  </w:num>
  <w:num w:numId="5" w16cid:durableId="1607883109">
    <w:abstractNumId w:val="6"/>
  </w:num>
  <w:num w:numId="6" w16cid:durableId="1151407801">
    <w:abstractNumId w:val="6"/>
  </w:num>
  <w:num w:numId="7" w16cid:durableId="1121457574">
    <w:abstractNumId w:val="5"/>
  </w:num>
  <w:num w:numId="8" w16cid:durableId="368578258">
    <w:abstractNumId w:val="5"/>
  </w:num>
  <w:num w:numId="9" w16cid:durableId="946623377">
    <w:abstractNumId w:val="4"/>
  </w:num>
  <w:num w:numId="10" w16cid:durableId="207423309">
    <w:abstractNumId w:val="4"/>
  </w:num>
  <w:num w:numId="11" w16cid:durableId="975376719">
    <w:abstractNumId w:val="8"/>
  </w:num>
  <w:num w:numId="12" w16cid:durableId="1574971003">
    <w:abstractNumId w:val="8"/>
  </w:num>
  <w:num w:numId="13" w16cid:durableId="1807891549">
    <w:abstractNumId w:val="3"/>
  </w:num>
  <w:num w:numId="14" w16cid:durableId="1635407953">
    <w:abstractNumId w:val="3"/>
  </w:num>
  <w:num w:numId="15" w16cid:durableId="1503620002">
    <w:abstractNumId w:val="2"/>
  </w:num>
  <w:num w:numId="16" w16cid:durableId="1424381233">
    <w:abstractNumId w:val="2"/>
  </w:num>
  <w:num w:numId="17" w16cid:durableId="337582197">
    <w:abstractNumId w:val="1"/>
  </w:num>
  <w:num w:numId="18" w16cid:durableId="1613631711">
    <w:abstractNumId w:val="1"/>
  </w:num>
  <w:num w:numId="19" w16cid:durableId="706949594">
    <w:abstractNumId w:val="0"/>
  </w:num>
  <w:num w:numId="20" w16cid:durableId="2039354087">
    <w:abstractNumId w:val="0"/>
  </w:num>
  <w:num w:numId="21" w16cid:durableId="1125152672">
    <w:abstractNumId w:val="9"/>
  </w:num>
  <w:num w:numId="22" w16cid:durableId="1580216313">
    <w:abstractNumId w:val="7"/>
  </w:num>
  <w:num w:numId="23" w16cid:durableId="1417441965">
    <w:abstractNumId w:val="6"/>
  </w:num>
  <w:num w:numId="24" w16cid:durableId="778261465">
    <w:abstractNumId w:val="5"/>
  </w:num>
  <w:num w:numId="25" w16cid:durableId="188379971">
    <w:abstractNumId w:val="4"/>
  </w:num>
  <w:num w:numId="26" w16cid:durableId="1174105940">
    <w:abstractNumId w:val="8"/>
  </w:num>
  <w:num w:numId="27" w16cid:durableId="1607543953">
    <w:abstractNumId w:val="3"/>
  </w:num>
  <w:num w:numId="28" w16cid:durableId="1515992254">
    <w:abstractNumId w:val="2"/>
  </w:num>
  <w:num w:numId="29" w16cid:durableId="431710714">
    <w:abstractNumId w:val="1"/>
  </w:num>
  <w:num w:numId="30" w16cid:durableId="1706249696">
    <w:abstractNumId w:val="0"/>
  </w:num>
  <w:num w:numId="31" w16cid:durableId="1765344397">
    <w:abstractNumId w:val="9"/>
  </w:num>
  <w:num w:numId="32" w16cid:durableId="592203452">
    <w:abstractNumId w:val="7"/>
  </w:num>
  <w:num w:numId="33" w16cid:durableId="1278364950">
    <w:abstractNumId w:val="6"/>
  </w:num>
  <w:num w:numId="34" w16cid:durableId="880629787">
    <w:abstractNumId w:val="5"/>
  </w:num>
  <w:num w:numId="35" w16cid:durableId="555816228">
    <w:abstractNumId w:val="4"/>
  </w:num>
  <w:num w:numId="36" w16cid:durableId="1675834872">
    <w:abstractNumId w:val="8"/>
  </w:num>
  <w:num w:numId="37" w16cid:durableId="2145998849">
    <w:abstractNumId w:val="3"/>
  </w:num>
  <w:num w:numId="38" w16cid:durableId="22290053">
    <w:abstractNumId w:val="2"/>
  </w:num>
  <w:num w:numId="39" w16cid:durableId="1402871138">
    <w:abstractNumId w:val="1"/>
  </w:num>
  <w:num w:numId="40" w16cid:durableId="646710044">
    <w:abstractNumId w:val="0"/>
  </w:num>
  <w:num w:numId="41" w16cid:durableId="1615139334">
    <w:abstractNumId w:val="10"/>
  </w:num>
  <w:num w:numId="42" w16cid:durableId="2130195066">
    <w:abstractNumId w:val="10"/>
  </w:num>
  <w:num w:numId="43" w16cid:durableId="700596437">
    <w:abstractNumId w:val="10"/>
  </w:num>
  <w:num w:numId="44" w16cid:durableId="2080714361">
    <w:abstractNumId w:val="11"/>
  </w:num>
  <w:num w:numId="45" w16cid:durableId="21177526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3/2026"/>
    <w:docVar w:name="dvlangue" w:val="PL"/>
    <w:docVar w:name="dvnumam" w:val="0"/>
    <w:docVar w:name="dvpe" w:val="778.304"/>
    <w:docVar w:name="dvrapporteur" w:val="Sprawozdawca: "/>
    <w:docVar w:name="dvstar" w:val="??"/>
    <w:docVar w:name="dvtitre" w:val="Zalecenie Parlamentu Europejskiego dla Rady w sprawie zalecenia Parlamentu Europejskiego dla Rady, dla Komisji i dla wiceprzewodniczącej Komisji / wysokiej przedstawicielki Unii do spraw zagranicznych i polityki bezpieczeństwa w sprawie 81. sesji Zgromadzenia Ogólnego Narodów Zjednoczonych(2025/2167(INI))"/>
  </w:docVars>
  <w:rsids>
    <w:rsidRoot w:val="00B057F7"/>
    <w:rsid w:val="00002272"/>
    <w:rsid w:val="00064002"/>
    <w:rsid w:val="000677B9"/>
    <w:rsid w:val="000831BA"/>
    <w:rsid w:val="000A42CC"/>
    <w:rsid w:val="000E7DD9"/>
    <w:rsid w:val="0010095E"/>
    <w:rsid w:val="001245BB"/>
    <w:rsid w:val="00125B37"/>
    <w:rsid w:val="00187494"/>
    <w:rsid w:val="001F32AE"/>
    <w:rsid w:val="002767FF"/>
    <w:rsid w:val="002B18FE"/>
    <w:rsid w:val="002B5493"/>
    <w:rsid w:val="002F032D"/>
    <w:rsid w:val="00301B9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E2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5FC"/>
    <w:rsid w:val="00786EC0"/>
    <w:rsid w:val="007D1690"/>
    <w:rsid w:val="007E22AD"/>
    <w:rsid w:val="00817416"/>
    <w:rsid w:val="00842779"/>
    <w:rsid w:val="0085242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56DD"/>
    <w:rsid w:val="00981893"/>
    <w:rsid w:val="009E6F13"/>
    <w:rsid w:val="00A1687D"/>
    <w:rsid w:val="00A43E52"/>
    <w:rsid w:val="00A4678D"/>
    <w:rsid w:val="00A474C0"/>
    <w:rsid w:val="00A778C7"/>
    <w:rsid w:val="00AB441E"/>
    <w:rsid w:val="00AB6293"/>
    <w:rsid w:val="00AE0928"/>
    <w:rsid w:val="00AF0D59"/>
    <w:rsid w:val="00AF3B82"/>
    <w:rsid w:val="00B057F7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584B"/>
    <w:rsid w:val="00D834A0"/>
    <w:rsid w:val="00D872DF"/>
    <w:rsid w:val="00D91E21"/>
    <w:rsid w:val="00DA7FCD"/>
    <w:rsid w:val="00E0308F"/>
    <w:rsid w:val="00E365E1"/>
    <w:rsid w:val="00E820A4"/>
    <w:rsid w:val="00EB006A"/>
    <w:rsid w:val="00EB4772"/>
    <w:rsid w:val="00ED169E"/>
    <w:rsid w:val="00ED4235"/>
    <w:rsid w:val="00EE00AC"/>
    <w:rsid w:val="00EF5C5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3C1DFF"/>
  <w15:chartTrackingRefBased/>
  <w15:docId w15:val="{521C854C-C28B-478C-82F7-BA751119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F5C53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EF5C53"/>
    <w:pPr>
      <w:spacing w:after="240"/>
      <w:ind w:left="567" w:hanging="567"/>
    </w:pPr>
  </w:style>
  <w:style w:type="paragraph" w:customStyle="1" w:styleId="NormalHangingLeft12a">
    <w:name w:val="NormalHangingLeft12a"/>
    <w:basedOn w:val="Normal"/>
    <w:rsid w:val="00EF5C53"/>
    <w:pPr>
      <w:spacing w:after="240"/>
      <w:ind w:left="1134" w:hanging="567"/>
    </w:pPr>
  </w:style>
  <w:style w:type="paragraph" w:customStyle="1" w:styleId="NormalHanging">
    <w:name w:val="NormalHanging"/>
    <w:basedOn w:val="Normal"/>
    <w:rsid w:val="00EF5C53"/>
    <w:pPr>
      <w:spacing w:after="240"/>
      <w:ind w:left="566" w:hanging="566"/>
    </w:pPr>
    <w:rPr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EF5C53"/>
    <w:rPr>
      <w:sz w:val="24"/>
      <w:lang w:val="pl-PL"/>
    </w:rPr>
  </w:style>
  <w:style w:type="character" w:styleId="Hyperlink">
    <w:name w:val="Hyperlink"/>
    <w:basedOn w:val="DefaultParagraphFont"/>
    <w:rsid w:val="00EF5C53"/>
    <w:rPr>
      <w:color w:val="0000FF"/>
      <w:u w:val="single"/>
    </w:rPr>
  </w:style>
  <w:style w:type="paragraph" w:styleId="Revision">
    <w:name w:val="Revision"/>
    <w:hidden/>
    <w:uiPriority w:val="99"/>
    <w:semiHidden/>
    <w:rsid w:val="0085242A"/>
    <w:rPr>
      <w:sz w:val="24"/>
      <w:lang w:val="pl-PL"/>
    </w:rPr>
  </w:style>
  <w:style w:type="paragraph" w:styleId="ListParagraph">
    <w:name w:val="List Paragraph"/>
    <w:basedOn w:val="Normal"/>
    <w:uiPriority w:val="34"/>
    <w:qFormat/>
    <w:rsid w:val="009E6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1996/2271/oj" TargetMode="External"/><Relationship Id="rId1" Type="http://schemas.openxmlformats.org/officeDocument/2006/relationships/hyperlink" Target="http://data.europa.eu/eli/C/2025/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7068</Words>
  <Characters>48928</Characters>
  <Application>Microsoft Office Word</Application>
  <DocSecurity>0</DocSecurity>
  <Lines>407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2</cp:revision>
  <cp:lastPrinted>2004-11-19T15:42:00Z</cp:lastPrinted>
  <dcterms:created xsi:type="dcterms:W3CDTF">2026-06-29T08:03:00Z</dcterms:created>
  <dcterms:modified xsi:type="dcterms:W3CDTF">2026-06-29T08:03:00Z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A10-0103/2026</vt:lpwstr>
  </property>
  <property fmtid="{D5CDD505-2E9C-101B-9397-08002B2CF9AE}" pid="4" name="&lt;Type&gt;">
    <vt:lpwstr>RR</vt:lpwstr>
  </property>
</Properties>
</file>