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64D4" w14:paraId="6197F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25D604" w14:textId="775E5719" w:rsidR="00751A4A" w:rsidRPr="00F264D4" w:rsidRDefault="00C85696" w:rsidP="0010095E">
            <w:pPr>
              <w:pStyle w:val="EPName"/>
            </w:pPr>
            <w:r w:rsidRPr="00F264D4">
              <w:t>Evropský parlament</w:t>
            </w:r>
          </w:p>
          <w:p w14:paraId="15900EC1" w14:textId="77777777" w:rsidR="00751A4A" w:rsidRPr="00F264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64D4">
              <w:t>2024</w:t>
            </w:r>
            <w:r w:rsidR="00817416" w:rsidRPr="00F264D4">
              <w:t>-202</w:t>
            </w:r>
            <w:r w:rsidRPr="00F264D4">
              <w:t>9</w:t>
            </w:r>
          </w:p>
        </w:tc>
        <w:tc>
          <w:tcPr>
            <w:tcW w:w="2268" w:type="dxa"/>
            <w:shd w:val="clear" w:color="auto" w:fill="auto"/>
          </w:tcPr>
          <w:p w14:paraId="5292B789" w14:textId="77777777" w:rsidR="00751A4A" w:rsidRPr="00F264D4" w:rsidRDefault="00187494" w:rsidP="0010095E">
            <w:pPr>
              <w:pStyle w:val="EPLogo"/>
            </w:pPr>
            <w:r w:rsidRPr="00F264D4">
              <w:rPr>
                <w:noProof/>
                <w:lang w:eastAsia="ja-JP"/>
              </w:rPr>
              <w:drawing>
                <wp:inline distT="0" distB="0" distL="0" distR="0" wp14:anchorId="7BFF2788" wp14:editId="069C8A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55C98" w14:textId="77777777" w:rsidR="00D058B8" w:rsidRPr="00F264D4" w:rsidRDefault="00D058B8" w:rsidP="004C5D52">
      <w:pPr>
        <w:pStyle w:val="LineTop"/>
      </w:pPr>
    </w:p>
    <w:p w14:paraId="261DE4D3" w14:textId="3558AE51" w:rsidR="00680577" w:rsidRPr="00F264D4" w:rsidRDefault="00C85696" w:rsidP="00680577">
      <w:pPr>
        <w:pStyle w:val="EPBodyTA1"/>
      </w:pPr>
      <w:r w:rsidRPr="00F264D4">
        <w:t>PŘIJATÉ TEXTY</w:t>
      </w:r>
    </w:p>
    <w:p w14:paraId="63E02F91" w14:textId="77777777" w:rsidR="00D058B8" w:rsidRPr="00F264D4" w:rsidRDefault="00D058B8" w:rsidP="00D058B8">
      <w:pPr>
        <w:pStyle w:val="LineBottom"/>
      </w:pPr>
    </w:p>
    <w:p w14:paraId="76D3AF0D" w14:textId="0DFFBD1B" w:rsidR="00C85696" w:rsidRPr="00A47842" w:rsidRDefault="00C85696" w:rsidP="00C85696">
      <w:pPr>
        <w:pStyle w:val="ATHeading1"/>
      </w:pPr>
      <w:bookmarkStart w:id="0" w:name="TANumber"/>
      <w:r w:rsidRPr="00A47842">
        <w:t>P10_TA(2026)0</w:t>
      </w:r>
      <w:r w:rsidR="0027371E">
        <w:t>183</w:t>
      </w:r>
      <w:bookmarkEnd w:id="0"/>
    </w:p>
    <w:p w14:paraId="6A493920" w14:textId="77777777" w:rsidR="00C85696" w:rsidRPr="00A47842" w:rsidRDefault="00C85696" w:rsidP="00C85696">
      <w:pPr>
        <w:pStyle w:val="ATHeading2"/>
      </w:pPr>
      <w:bookmarkStart w:id="1" w:name="title"/>
      <w:r w:rsidRPr="00A47842">
        <w:t>Příležitosti a výzvy, které přináší komplexní strategie v oblasti umělé inteligence pro obchod EU</w:t>
      </w:r>
      <w:bookmarkEnd w:id="1"/>
    </w:p>
    <w:p w14:paraId="63A89E84" w14:textId="77777777" w:rsidR="00C85696" w:rsidRPr="00F264D4" w:rsidRDefault="00C85696" w:rsidP="00C85696">
      <w:pPr>
        <w:rPr>
          <w:i/>
          <w:vanish/>
        </w:rPr>
      </w:pPr>
      <w:r w:rsidRPr="00F264D4">
        <w:rPr>
          <w:i/>
        </w:rPr>
        <w:fldChar w:fldCharType="begin"/>
      </w:r>
      <w:r w:rsidRPr="00F264D4">
        <w:rPr>
          <w:i/>
        </w:rPr>
        <w:instrText xml:space="preserve"> TC"(</w:instrText>
      </w:r>
      <w:bookmarkStart w:id="2" w:name="DocNumber"/>
      <w:r w:rsidRPr="00F264D4">
        <w:rPr>
          <w:i/>
        </w:rPr>
        <w:instrText>A10-0122/2026</w:instrText>
      </w:r>
      <w:bookmarkEnd w:id="2"/>
      <w:r w:rsidRPr="00F264D4">
        <w:rPr>
          <w:i/>
        </w:rPr>
        <w:instrText xml:space="preserve"> - Zpravodaj: Brando Benifei)"\l3 \n&gt; \* MERGEFORMAT </w:instrText>
      </w:r>
      <w:r w:rsidRPr="00F264D4">
        <w:rPr>
          <w:i/>
        </w:rPr>
        <w:fldChar w:fldCharType="end"/>
      </w:r>
    </w:p>
    <w:p w14:paraId="4A4FD947" w14:textId="77777777" w:rsidR="00C85696" w:rsidRPr="00F264D4" w:rsidRDefault="00C85696" w:rsidP="00C85696">
      <w:pPr>
        <w:rPr>
          <w:vanish/>
        </w:rPr>
      </w:pPr>
      <w:bookmarkStart w:id="3" w:name="Commission"/>
      <w:r w:rsidRPr="00F264D4">
        <w:rPr>
          <w:vanish/>
        </w:rPr>
        <w:t>Výbor pro mezinárodní obchod</w:t>
      </w:r>
      <w:bookmarkEnd w:id="3"/>
    </w:p>
    <w:p w14:paraId="676FBFEA" w14:textId="77777777" w:rsidR="00C85696" w:rsidRPr="00F264D4" w:rsidRDefault="00C85696" w:rsidP="00C85696">
      <w:pPr>
        <w:rPr>
          <w:vanish/>
        </w:rPr>
      </w:pPr>
      <w:bookmarkStart w:id="4" w:name="PE"/>
      <w:r w:rsidRPr="00F264D4">
        <w:rPr>
          <w:vanish/>
        </w:rPr>
        <w:t>PE784.156</w:t>
      </w:r>
      <w:bookmarkEnd w:id="4"/>
    </w:p>
    <w:p w14:paraId="46459DC6" w14:textId="77777777" w:rsidR="00C85696" w:rsidRPr="00A47842" w:rsidRDefault="00C85696" w:rsidP="00C85696">
      <w:pPr>
        <w:pStyle w:val="ATHeading3"/>
      </w:pPr>
      <w:bookmarkStart w:id="5" w:name="Sujet"/>
      <w:r w:rsidRPr="00A47842">
        <w:t>Usnesení Evropského parlamentu ze dne 20. května 2026 o příležitostech a výzvách, které přináší komplexní strategie v oblasti umělé inteligence pro obchod EU</w:t>
      </w:r>
      <w:bookmarkEnd w:id="5"/>
      <w:r w:rsidRPr="00A47842">
        <w:t xml:space="preserve"> </w:t>
      </w:r>
      <w:bookmarkStart w:id="6" w:name="References"/>
      <w:r w:rsidRPr="00A47842">
        <w:t>(2025/2112(INI))</w:t>
      </w:r>
      <w:bookmarkEnd w:id="6"/>
    </w:p>
    <w:p w14:paraId="3261D7ED" w14:textId="77777777" w:rsidR="00C67D89" w:rsidRPr="00F264D4" w:rsidRDefault="00C67D89" w:rsidP="00A47842">
      <w:pPr>
        <w:pStyle w:val="Normal12"/>
        <w:spacing w:before="480"/>
      </w:pPr>
      <w:r w:rsidRPr="00A47842">
        <w:rPr>
          <w:i/>
          <w:iCs/>
        </w:rPr>
        <w:t>Evropský parlament</w:t>
      </w:r>
      <w:r w:rsidRPr="00F264D4">
        <w:t>,</w:t>
      </w:r>
    </w:p>
    <w:p w14:paraId="6EA5744A" w14:textId="6ECF7722" w:rsidR="00C67D89" w:rsidRPr="00293126" w:rsidRDefault="00C67D89" w:rsidP="00293126">
      <w:pPr>
        <w:pStyle w:val="NormalHanging"/>
      </w:pPr>
      <w:r w:rsidRPr="00F264D4">
        <w:t>–</w:t>
      </w:r>
      <w:r w:rsidRPr="00F264D4">
        <w:tab/>
        <w:t>s ohledem n</w:t>
      </w:r>
      <w:r w:rsidRPr="00293126">
        <w:t>a nařízení Evropského parlamentu a Rady (EU) 2024/1689 ze dne 13. června 2024, kterým se stanoví harmonizovaná pravidla pro umělou inteligenci a mění nařízení (ES) č. 300/2008, (EU) č. 167/2013, (EU) č. 168/2013, (EU) 2018/858, (EU) 2018/1139 a (EU) 2019/2144 a směrnice 2014/90/EU, (EU) 2016/797 a (EU) 2020/1828 (akt o umělé inteligenci)</w:t>
      </w:r>
      <w:r w:rsidR="00A65CDA">
        <w:rPr>
          <w:rStyle w:val="FootnoteReference"/>
        </w:rPr>
        <w:footnoteReference w:id="1"/>
      </w:r>
      <w:r w:rsidRPr="00293126">
        <w:t>,</w:t>
      </w:r>
    </w:p>
    <w:p w14:paraId="5C6B28E0" w14:textId="47B48954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nařízení Evropského parlamentu a Rady (EU) 2016/679 ze dne 27. dubna 2016 o ochraně fyzických osob v souvislosti se zpracováním osobních údajů a o volném pohybu těchto údajů, kterým se ruší směrnice 95/46/ES („obecné nařízení o ochraně údajů“)</w:t>
      </w:r>
      <w:r w:rsidR="00A65CDA">
        <w:rPr>
          <w:rStyle w:val="FootnoteReference"/>
        </w:rPr>
        <w:footnoteReference w:id="2"/>
      </w:r>
      <w:r w:rsidRPr="00293126">
        <w:t>,</w:t>
      </w:r>
    </w:p>
    <w:p w14:paraId="160C0C18" w14:textId="318BD67D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nařízení Evropského parlamentu a Rady (EU) 2023/1781 ze dne 13. září 2023, kterým se zřizuje rámec opatření pro posílení evropského ekosystému polovodičů a mění nařízení (EU) 2021/694 (akt o čipech)</w:t>
      </w:r>
      <w:r w:rsidR="00A65CDA">
        <w:rPr>
          <w:rStyle w:val="FootnoteReference"/>
        </w:rPr>
        <w:footnoteReference w:id="3"/>
      </w:r>
      <w:r w:rsidRPr="00293126">
        <w:t>,</w:t>
      </w:r>
    </w:p>
    <w:p w14:paraId="6738ABB7" w14:textId="4A01A596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nařízení Evropského parlamentu a Rady (EU) 2024/1252 ze dne 11. dubna 2024, kterým se stanoví rámec pro zajištění bezpečných a udržitelných dodávek kritických surovin a mění nařízení (EU) č. 168/2013, (EU) 2018/858, (EU) 2018/1724 a (EU) 2019/1020 (nařízení o kritických surovinách)</w:t>
      </w:r>
      <w:r w:rsidR="00A65CDA">
        <w:rPr>
          <w:rStyle w:val="FootnoteReference"/>
        </w:rPr>
        <w:footnoteReference w:id="4"/>
      </w:r>
      <w:r w:rsidRPr="00293126">
        <w:t>,</w:t>
      </w:r>
    </w:p>
    <w:p w14:paraId="042071C3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 xml:space="preserve">s ohledem na výsledky jednání ministrů o kritických nerostných surovinách, které se konalo 4. února 2026 ve Washingtonu DC, a na probíhající spolupráci mezi EU a USA </w:t>
      </w:r>
      <w:r w:rsidRPr="00293126">
        <w:lastRenderedPageBreak/>
        <w:t>s cílem diverzifikovat a posílit bezpečné a udržitelné dodavatelské řetězce kritických surovin, které mají zásadní význam pro konkurenceschopnost EU, špičkové technologie a odolnost na světových trzích,</w:t>
      </w:r>
    </w:p>
    <w:p w14:paraId="6BB8F6FE" w14:textId="0A76029F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nařízení Evropského parlamentu a Rady (EU) 2019/452 ze dne 19. března 2019, kterým se stanoví rámec pro prověřování přímých zahraničních investic směřujících do Unie</w:t>
      </w:r>
      <w:r w:rsidR="00A65CDA">
        <w:rPr>
          <w:rStyle w:val="FootnoteReference"/>
        </w:rPr>
        <w:footnoteReference w:id="5"/>
      </w:r>
      <w:r w:rsidRPr="00293126">
        <w:t>,</w:t>
      </w:r>
    </w:p>
    <w:p w14:paraId="31E84E1C" w14:textId="1D92E886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nařízení Evropského parlamentu a Rady (EU) 2023/2675 ze dne 22.</w:t>
      </w:r>
      <w:r w:rsidR="009F4776" w:rsidRPr="00293126">
        <w:t> </w:t>
      </w:r>
      <w:r w:rsidRPr="00293126">
        <w:t>listopadu 2023, kterým se zavádí ochrana Unie a jejích členských států před hospodářským nátlakem třetích zemí</w:t>
      </w:r>
      <w:r w:rsidR="00A65CDA">
        <w:rPr>
          <w:rStyle w:val="FootnoteReference"/>
        </w:rPr>
        <w:footnoteReference w:id="6"/>
      </w:r>
      <w:r w:rsidRPr="00293126">
        <w:t>,</w:t>
      </w:r>
    </w:p>
    <w:p w14:paraId="380947F0" w14:textId="3B4538DB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nařízení Evropského parlamentu a Rady (EU) 2021/821 ze dne 20. května 2021, kterým se zavádí režim Unie pro kontrolu vývozu, zprostředkování, technické pomoci, tranzitu a přepravy zboží dvojího užití (přepracované znění)</w:t>
      </w:r>
      <w:r w:rsidR="00A65CDA">
        <w:rPr>
          <w:rStyle w:val="FootnoteReference"/>
        </w:rPr>
        <w:footnoteReference w:id="7"/>
      </w:r>
      <w:r w:rsidRPr="00293126">
        <w:t>,</w:t>
      </w:r>
    </w:p>
    <w:p w14:paraId="57198BC4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sdělení Komise ze dne 19. listopadu 2025 nazvané „Strategie evropské datové unie – zpřístupnění dat pro umělou inteligenci“ (COM(2025)0835),</w:t>
      </w:r>
    </w:p>
    <w:p w14:paraId="0A13C648" w14:textId="5C0F22D5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</w:r>
      <w:bookmarkStart w:id="7" w:name="_Hlk233621907"/>
      <w:r w:rsidRPr="00293126">
        <w:t>s ohledem na sdělení Komise ze dne 24. ledna 2024 nazvané „Zvýšení evropské hospodářské bezpečnosti: úvod k pěti novým iniciativám“ (COM(2024)0022)</w:t>
      </w:r>
      <w:r w:rsidR="00311588">
        <w:t xml:space="preserve"> final</w:t>
      </w:r>
      <w:r w:rsidRPr="00293126">
        <w:t>,</w:t>
      </w:r>
    </w:p>
    <w:bookmarkEnd w:id="7"/>
    <w:p w14:paraId="33AA7719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společné sdělení Komise a vysokého představitele Unie pro zahraniční věci a bezpečnostní politiku ze dne 3. prosince 2025 nazvané „Posílení hospodářské bezpečnosti EU“ (JOIN(2025)0977),</w:t>
      </w:r>
    </w:p>
    <w:p w14:paraId="2DA7C3BD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společné sdělení Komise a vysoké představitelky Unie pro zahraniční věci a bezpečnostní politiku ze dne 5. června 2025 nazvané „Mezinárodní digitální strategie pro Evropskou unii“ (JOIN(2025)0140),</w:t>
      </w:r>
    </w:p>
    <w:p w14:paraId="180CF258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sdělení Komise ze dne 9. dubna 2025 s názvem Akční plán pro kontinent umělé inteligence (COM(2025)0165),</w:t>
      </w:r>
    </w:p>
    <w:p w14:paraId="43B9D4CA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sdělení Komise ze dne 8. října 2025 nazvané „Strategie pro využívání umělé inteligence“ (COM(2025)0723),</w:t>
      </w:r>
    </w:p>
    <w:p w14:paraId="4B251369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zprávu Maria Draghiho ze dne 9. září 2024 nazvanou „Budoucnost evropské konkurenceschopnosti“, dále jen „Draghiho zpráva“),</w:t>
      </w:r>
    </w:p>
    <w:p w14:paraId="68668EAA" w14:textId="208C94EC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zprávu Enrica Letty ze dne 1</w:t>
      </w:r>
      <w:r w:rsidR="00EB7BBA">
        <w:t>0</w:t>
      </w:r>
      <w:r w:rsidRPr="00293126">
        <w:t>. dubna 2024 nazvanou „Mnohem více než jen trh“, dále jen „Lettova zpráva“),</w:t>
      </w:r>
    </w:p>
    <w:p w14:paraId="417C02B3" w14:textId="5B8D7BA3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své usnesení ze dne 9. července 2025 o bezpečnosti výrobků a dodržování právních předpisů v elektronickém obchodu a při dovozu ze zemí mimo EU</w:t>
      </w:r>
      <w:r w:rsidR="00A65CDA">
        <w:rPr>
          <w:rStyle w:val="FootnoteReference"/>
        </w:rPr>
        <w:footnoteReference w:id="8"/>
      </w:r>
      <w:r w:rsidRPr="00293126">
        <w:t>,</w:t>
      </w:r>
    </w:p>
    <w:p w14:paraId="4D8058EE" w14:textId="3951F0F3" w:rsidR="00C67D89" w:rsidRPr="00293126" w:rsidRDefault="00C67D89" w:rsidP="00293126">
      <w:pPr>
        <w:pStyle w:val="NormalHanging"/>
      </w:pPr>
      <w:r w:rsidRPr="00293126">
        <w:lastRenderedPageBreak/>
        <w:t>–</w:t>
      </w:r>
      <w:r w:rsidRPr="00293126">
        <w:tab/>
        <w:t>s ohledem na své usnesení ze dne 13. listopadu 2025 o návrhu rozhodnutí Rady o uzavření Dohody o digitálním obchodu mezi Evropskou unií a Singapurskou republikou</w:t>
      </w:r>
      <w:r w:rsidR="00A65CDA">
        <w:rPr>
          <w:rStyle w:val="FootnoteReference"/>
        </w:rPr>
        <w:footnoteReference w:id="9"/>
      </w:r>
      <w:r w:rsidRPr="00293126">
        <w:t>,</w:t>
      </w:r>
    </w:p>
    <w:p w14:paraId="4FE07C60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zásadní úlohu, kterou Světová obchodní organizace (WTO) hraje při vytvoření mnohostranného obchodního systému založeného na pravidlech, a na její význam pro zavádění nových technologií včetně umělé inteligence v mezinárodním obchodě,</w:t>
      </w:r>
    </w:p>
    <w:p w14:paraId="72104783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 ohledem na pravidla WTO, zejména na zásady nediskriminace a transparentnosti, pokud jde o vývozní omezení,</w:t>
      </w:r>
    </w:p>
    <w:p w14:paraId="75946838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článek 55 jednacího řádu,</w:t>
      </w:r>
    </w:p>
    <w:p w14:paraId="596F2175" w14:textId="77777777" w:rsidR="00C67D89" w:rsidRPr="00293126" w:rsidRDefault="00C67D89" w:rsidP="00293126">
      <w:pPr>
        <w:pStyle w:val="NormalHanging"/>
      </w:pPr>
      <w:r w:rsidRPr="00293126">
        <w:t>–</w:t>
      </w:r>
      <w:r w:rsidRPr="00293126">
        <w:tab/>
        <w:t>s ohledem na zprávu Výboru pro mezinárodní obchod (A10-0122/2026),</w:t>
      </w:r>
    </w:p>
    <w:p w14:paraId="17635BC0" w14:textId="77777777" w:rsidR="00C67D89" w:rsidRPr="00293126" w:rsidRDefault="00C67D89" w:rsidP="00293126">
      <w:pPr>
        <w:pStyle w:val="NormalHanging"/>
      </w:pPr>
      <w:r w:rsidRPr="00293126">
        <w:t>A.</w:t>
      </w:r>
      <w:r w:rsidRPr="00293126">
        <w:tab/>
        <w:t>vzhledem k tomu, že umělá inteligence (AI) je univerzální technologie, která mění obchod EU se zbožím, službami a datovými toky; vzhledem k tomu, že umělá inteligence má potenciál snížit náklady na informace a dodržování předpisů, transformovat řízení dodavatelského řetězce a rozšířit digitálně poskytované služby; vzhledem k tomu, že umělá inteligence a mocenská dynamika spojená s vlastnictvím technologií představují jak významné výzvy, tak i transformativní příležitosti pro obchodní konkurenceschopnost EU; vzhledem k tomu, že obchodní politika EU má zásadní význam pro zajištění komplexní vnější strategie v oblasti umělé inteligence, která bude spojovat otevřenost, transparentnost a bezpečnost s odolností a dodržováním základních práv a bude podporovat předvídatelné přeshraniční operace; vzhledem k tomu, že umělá inteligence představuje významné příležitosti ke zvýšení účinnosti a bezpečnosti celních kontrol a dohledu nad trhem v Evropské unii s cílem bojovat proti podvodům, padělání a nekalým obchodním praktikám;</w:t>
      </w:r>
    </w:p>
    <w:p w14:paraId="59C38AD9" w14:textId="77777777" w:rsidR="00C67D89" w:rsidRPr="00293126" w:rsidRDefault="00C67D89" w:rsidP="00293126">
      <w:pPr>
        <w:pStyle w:val="NormalHanging"/>
      </w:pPr>
      <w:r w:rsidRPr="00293126">
        <w:t>B.</w:t>
      </w:r>
      <w:r w:rsidRPr="00293126">
        <w:tab/>
        <w:t>vzhledem k tomu, že rychlé šíření a používání umělé inteligence přispívá ke strukturálním změnám v organizaci, geografii a správy a řízení mezinárodního obchodu se službami, což má dopad na konkurenceschopnost, zaměstnanost a rozvoj; vzhledem k tomu, že řešení umělé inteligence s otevřeným zdrojovým kódem nabízejí významné výhody, včetně nižších nákladů a větší ochrany osobních údajů díky zavádění na místní úrovni, přispívají ke zvýšení zdravé konkurence v oblasti umělé inteligence a snižují závislost na poskytovatelích mimo EU; vzhledem k tomu, že tyto změny probíhají ve vzájemné interakci se stávajícími nedostatky ve výrobní kapacitě, infrastruktuře a dovednostech v EU i mimo ni; vzhledem k tomu, že udržení otevřeného, odolného a inkluzivního modelu udržitelného obchodu vyžaduje soudržnou a komplexní strategii pro řízení změn vyvolaných umělou inteligencí; vzhledem k tomu, že vnější hospodářské vztahy EU včetně vztahů s partnery v zemích globálního Jihu, by měly podporovat inkluzivní zavádění umělé inteligence a vytváření společných hodnot a prosazovat model zaměřený na člověka, který vychází ze standardní etické zásady zaměřené na podporu lidské důstojnosti;</w:t>
      </w:r>
    </w:p>
    <w:p w14:paraId="3DB28637" w14:textId="77777777" w:rsidR="00C67D89" w:rsidRPr="00293126" w:rsidRDefault="00C67D89" w:rsidP="00293126">
      <w:pPr>
        <w:pStyle w:val="NormalHanging"/>
      </w:pPr>
      <w:r w:rsidRPr="00293126">
        <w:t>C.</w:t>
      </w:r>
      <w:r w:rsidRPr="00293126">
        <w:tab/>
        <w:t xml:space="preserve">vzhledem k tomu, že přeshraniční datové toky a přístup k údajům jsou zásadní složkou pro vývoj, trénování a nasazení umělé inteligence, je však třeba je pečlivě zkoumat, aby byla i nadále zajištěna vysoká úroveň ochrany údajů, zejména co se týče citlivých </w:t>
      </w:r>
      <w:r w:rsidRPr="00293126">
        <w:lastRenderedPageBreak/>
        <w:t>osobních údajů jako jsou zdravotní údaje; vzhledem k tomu, že pravidla digitálního obchodu stále více utvářejí konkurenceschopnost umělé inteligence, což zdůrazňuje potřebu ustanovení o spolupráci v oblasti regulace v budoucích obchodních dohodách a modernizaci dohod stávajících; vzhledem k tomu, že rámec EU zaměřený na člověka, zakotvený v obecném nařízení o ochraně osobních údajů (GDPR) a v aktu o umělé inteligenci, představuje spolehlivý model pro důvěryhodnou umělou inteligenci, který v případě, že se prosadí na mezinárodní úrovni, může představovat konkurenční výhodu na trzích, na kterých se cení transparentnost a správa a řízení respektující práva; vzhledem k tomu, že WTO by mohla být vhodným fórem pro mnohostranné diskuse o umělé inteligenci a obchodu s cílem řešit narušení hospodářské soutěže, obchodní překážky a rizika roztříštěnosti právních předpisů a zajistit předvídatelný a spravedlivý digitální obchod respektující práva;</w:t>
      </w:r>
    </w:p>
    <w:p w14:paraId="04D3CE97" w14:textId="77777777" w:rsidR="00C67D89" w:rsidRPr="00293126" w:rsidRDefault="00C67D89" w:rsidP="00293126">
      <w:pPr>
        <w:pStyle w:val="NormalHanging"/>
      </w:pPr>
      <w:r w:rsidRPr="00293126">
        <w:t>D.</w:t>
      </w:r>
      <w:r w:rsidRPr="00293126">
        <w:tab/>
        <w:t>vzhledem k tomu, že využívání umělé inteligence zůstává napříč odvětvími, regiony či jednotlivými velikostmi podniků nerovnoměrné, přičemž výhody získávají subjekty disponující daty, výpočetním výkonem a dovednostmi, což představuje riziko prohloubení rozdílů v produktivitě a vývozu pro malé a střední podniky a společnosti, které umělou inteligenci přijmou v pozdější fázi; vzhledem k tomu, že konkurenceschopnost obchodu založeného na umělé inteligenci závisí na přístupu k datům, výpočetní kapacitě, energii, konektivitě, kapitálu a dovednostem a že mnohé z těchto faktorů jsou ovlivněny obchodními a investičními vztahy; vzhledem k tomu, že EU v první polovině roku 2024 přilákala pouze šest procent celosvětových investic do startupů v oblasti umělé inteligence, což vytváří strukturální závislosti, které mají dopad na obchodní vztahy a strategickou autonomii Evropy; vzhledem k tomu, že spravedlivý přístup k infrastruktuře umělé inteligence je nezbytný pro zachování konkurenceschopnosti malých a středních podniků, které čelí výrazně větším překážkám než velké společnosti, včetně vysokých nákladů na výpočetní zdroje, omezeného přístupu k datům a nedostatku technických odborníků;</w:t>
      </w:r>
    </w:p>
    <w:p w14:paraId="4CA92BD4" w14:textId="77777777" w:rsidR="00C67D89" w:rsidRPr="00293126" w:rsidRDefault="00C67D89" w:rsidP="00293126">
      <w:pPr>
        <w:pStyle w:val="NormalHanging"/>
      </w:pPr>
      <w:r w:rsidRPr="00293126">
        <w:t>E.</w:t>
      </w:r>
      <w:r w:rsidRPr="00293126">
        <w:tab/>
        <w:t>vzhledem k tomu, že umělá inteligence je stále rychle se vyvíjející technologií; vzhledem k tomu, že předčasné nebo nadměrné regulační zásahy mohou ohrozit inovace, investice a konkurenceschopnost; vzhledem k tomu, že zásadní je přiměřený přístup založený na rizicích a podporující inovace;</w:t>
      </w:r>
    </w:p>
    <w:p w14:paraId="11034DF8" w14:textId="77777777" w:rsidR="00C67D89" w:rsidRPr="00293126" w:rsidRDefault="00C67D89" w:rsidP="00293126">
      <w:pPr>
        <w:pStyle w:val="NormalHanging"/>
      </w:pPr>
      <w:r w:rsidRPr="00293126">
        <w:t>F.</w:t>
      </w:r>
      <w:r w:rsidRPr="00293126">
        <w:tab/>
        <w:t xml:space="preserve">vzhledem k tomu, že dodavatelský řetězec v oblasti umělé inteligence je silně koncentrován v malém počtu zemí a regionů, což vytváří riziko závislosti na přístupu ke kritickému výpočetnímu výkonu, surovinám a polovodičům; vzhledem k tomu, že kritická infrastruktura umělé inteligence v zahraničním vlastnictví zvyšuje riziko zahraniční manipulace s informacemi a vměšování; vzhledem k tomu, že zneužívání algoritmů může oslabit demokracii a zvýšit současné geopolitické obchodní napětí; vzhledem k tomu, že sílící celosvětová technologická konkurence, která se vyznačuje rozdílnými modely správy umělé inteligence, eskalací cel a kontrolou vývozu kritických technologií, zvyšuje riziko, že přístup ke klíčovým vstupům umělé inteligence bude využíván jako geopolitická páka; vzhledem k tomu, že některé případy zahraničního vměšování mohou oslabit přísné normy EU v oblasti transparentnosti, odpovědnosti a ochrany základních práv, a tím ohrozit schopnost Unie prosazovat své hodnoty, zajistit rovné podmínky pro podniky a chránit občany před riziky neregulované umělé inteligence a digitálních technologií; vzhledem k tomu, že EU by měla tyto normy i nadále hájit; vzhledem k tomu, že EU by měla posílit strategickou autonomii diverzifikací dodavatelských řetězců a prohloubením spolupráce s důvěryhodnými </w:t>
      </w:r>
      <w:r w:rsidRPr="00293126">
        <w:lastRenderedPageBreak/>
        <w:t>partnery, kteří sdílejí demokratické hodnoty a závazek k otevřenému obchodu založenému na pravidlech;</w:t>
      </w:r>
    </w:p>
    <w:p w14:paraId="46D2D06D" w14:textId="77777777" w:rsidR="00C67D89" w:rsidRPr="00293126" w:rsidRDefault="00C67D89" w:rsidP="00293126">
      <w:pPr>
        <w:pStyle w:val="NormalHanging"/>
      </w:pPr>
      <w:r w:rsidRPr="00293126">
        <w:t>G.</w:t>
      </w:r>
      <w:r w:rsidRPr="00293126">
        <w:tab/>
        <w:t>vzhledem k tomu, že vývoj a zavádění umělé inteligence závisí na přístupu na globální trhy a k technologiím, které jsou ovlivněny rámcem obchodní politiky; vzhledem k tomu, že Světová obchodní organizace (WTO) podporuje rozvoj a zavádění umělé inteligence tím, že umožňuje otevřenější, transparentnější a předvídatelnější obchod se zbožím a službami využívajícími umělou inteligenci; vzhledem k tomu, že stávající dohody WTO již významně přispívají k rozvoji a zavádění umělé inteligence, včetně dohody o informačních technologiích, která snižuje náklady na zavádění hardwaru pro umělou inteligenci, dohody o technických překážkách obchodu, která podporuje transparentnost regulace a mezinárodní normy, Všeobecné dohody o obchodu službami, která usnadňuje obchod se službami souvisejícími s umělou inteligencí, a dohody o obchodních aspektech práv k duševnímu vlastnictví, která podporuje rozvoj a šíření umělé inteligence;</w:t>
      </w:r>
    </w:p>
    <w:p w14:paraId="2092BB51" w14:textId="77777777" w:rsidR="00C67D89" w:rsidRPr="00293126" w:rsidRDefault="00C67D89" w:rsidP="00293126">
      <w:pPr>
        <w:pStyle w:val="NormalHanging"/>
      </w:pPr>
      <w:r w:rsidRPr="00293126">
        <w:t>H.</w:t>
      </w:r>
      <w:r w:rsidRPr="00293126">
        <w:tab/>
        <w:t>vzhledem k tomu, že povaha dvojího užití umělé inteligence a její rostoucí militarizace, včetně jejího nasazení v současných konfliktech, jako je ruská útočná válka proti Ukrajině, urychlují posun od spolupráce zaměřené na ochranu ke geoekonomické a bezpečnostní soutěži založené na umělé inteligenci; vzhledem k tomu, že správa umělé inteligence, kontrola vývozu a normy jsou stále více využívány jako nástroje strategického vlivu a projekce moci;</w:t>
      </w:r>
    </w:p>
    <w:p w14:paraId="3828E479" w14:textId="77777777" w:rsidR="00C67D89" w:rsidRPr="00293126" w:rsidRDefault="00C67D89" w:rsidP="00293126">
      <w:pPr>
        <w:pStyle w:val="NormalHanging"/>
      </w:pPr>
      <w:r w:rsidRPr="00293126">
        <w:t>I.</w:t>
      </w:r>
      <w:r w:rsidRPr="00293126">
        <w:tab/>
        <w:t>vzhledem k tomu, že umělá inteligence může být použita ve zbraňových systémech a nástrojích hromadného sledování; vzhledem k tomu, že tyto postupy vyvolávají závažné etické otázky a obavy týkající se lidských práv; vzhledem k tomu, že generální tajemník OSN vyzval k celosvětovému zákazu smrtonosných autonomních zbraňových systémů, tedy strojů schopných připravit člověka o život bez lidského dohledu;</w:t>
      </w:r>
    </w:p>
    <w:p w14:paraId="13D1CBD4" w14:textId="77777777" w:rsidR="00C67D89" w:rsidRPr="00293126" w:rsidRDefault="00C67D89" w:rsidP="00A47842">
      <w:pPr>
        <w:pStyle w:val="Normal12a"/>
        <w:ind w:left="566" w:hanging="566"/>
      </w:pPr>
      <w:r w:rsidRPr="00293126">
        <w:rPr>
          <w:b/>
          <w:i/>
        </w:rPr>
        <w:t>Umělá inteligence v oblasti usnadnění obchodu a vymáhání právních předpisů</w:t>
      </w:r>
    </w:p>
    <w:p w14:paraId="72853DA2" w14:textId="77777777" w:rsidR="00C67D89" w:rsidRPr="00293126" w:rsidRDefault="00C67D89" w:rsidP="00293126">
      <w:pPr>
        <w:pStyle w:val="NormalHanging12a"/>
      </w:pPr>
      <w:r w:rsidRPr="00293126">
        <w:t>1.</w:t>
      </w:r>
      <w:r w:rsidRPr="00293126">
        <w:tab/>
        <w:t>uvědomuje si, že umělá inteligence může urychlit vývoz z EU i dovoz do EU, zejména pro malé a střední podniky, tím, že sníží překážky vstupu na trh a náklady na dodržování předpisů, a umožní tak firmám dosáhnout na trhy, které dříve přesahovaly jejich možnosti, za předpokladu, že malé a střední podniky mají spravedlivý přístup k infrastruktuře umělé inteligence; vyzývá Komisi, aby integrovala důvěryhodné poradenské služby v oblasti umělé inteligence do portálu Access2Markets a jednotného vstupního místa za účelem usnadnění orientace v tarifech, pravidlech původu a regulačních požadavcích; vyzývá Komisi, aby upřednostnila nástroje umělé inteligence vstřícné vůči malým a středním podnikům a zajistila, aby digitální řešení pro dodržování předpisů zůstala jednoduchá, cenově dostupná a přístupná;</w:t>
      </w:r>
    </w:p>
    <w:p w14:paraId="7C9A63D6" w14:textId="77777777" w:rsidR="00C67D89" w:rsidRPr="00293126" w:rsidRDefault="00C67D89" w:rsidP="00293126">
      <w:pPr>
        <w:pStyle w:val="NormalHanging12a"/>
      </w:pPr>
      <w:r w:rsidRPr="00293126">
        <w:t>2.</w:t>
      </w:r>
      <w:r w:rsidRPr="00293126">
        <w:tab/>
        <w:t xml:space="preserve">konstatuje, že umělá inteligence může pomoci omezit zpoždění a snížit náklady v rámci dodavatelských řetězců EU tím, že zlepší plánování a koordinaci; vyzývá Komisi, aby prosadila bezpapírový obchod a podpořila sdílení spolehlivých informací mezi hospodářskými subjekty a úřady; vyzývá k investicím do logistiky založené na umělé inteligenci, která by zmírnila úzká místa v přístavech a koridorech, a k podpoře ekologičtější logistiky prostřednictvím inteligentnějšího směrování a údržby; vyzývá Komisi, aby podporovala řešení umělé inteligence s otevřeným zdrojovým kódem, která přispívají k posílení hospodářské soutěže a snižují závislost na poskytovatelích mimo EU; zdůrazňuje, že digitalizace a logistika využívající umělou inteligenci by měly vést </w:t>
      </w:r>
      <w:r w:rsidRPr="00293126">
        <w:lastRenderedPageBreak/>
        <w:t>k vyšší produktivitě, efektivitě a lepšímu řízení dodavatelského řetězce, nižším obchodním nákladům a snížení administrativní zátěže;</w:t>
      </w:r>
    </w:p>
    <w:p w14:paraId="49F50FD6" w14:textId="77777777" w:rsidR="00C67D89" w:rsidRPr="00293126" w:rsidRDefault="00C67D89" w:rsidP="00293126">
      <w:pPr>
        <w:pStyle w:val="NormalHanging12a"/>
      </w:pPr>
      <w:r w:rsidRPr="00293126">
        <w:t>3.</w:t>
      </w:r>
      <w:r w:rsidRPr="00293126">
        <w:tab/>
        <w:t>bere na vědomí potenciální úlohu umělé inteligence při posilování celních kontrol v podmínkách nadměrné kapacity trhu a omezení lidských kontrol, s ohledem na výzvy způsobené přílivem zboží, zejména malých zásilek pocházejících z Číny; vyzývá Komisi, aby poskytla zdroje a dovednosti orgánům dozoru nad trhem a celním orgánům, a to i prostřednictvím posílené spolupráce mezi členskými státy v rámci celního datového centra EU, s cílem zajistit, aby využívání umělé inteligence zvýšilo donucovací kapacitu a sdílení údajů mezi orgány; vyzývá Komisi, aby prozkoumala potenciál umělé inteligence, pokud jde o dodržování právních předpisů EU u dováženého zboží, zlepšení sledovatelnosti dovážených výrobků v reálném čase a celní kontroly dovážených výrobků a dohled nad trhem, zavedení bezpečných a specializovaných nástrojů umělé inteligence pro systematickou analýzu údajů týkajících se malých zásilek nebo zajištění sledovatelnosti výrobků v celém dodavatelském řetězci s cílem bojovat proti padělanému zboží, celním podvodům, nekalým obchodním praktikám a obcházení sankcí uložených EU; zdůrazňuje, že tyto systémy umělé inteligence by představovaly kritickou infrastrukturu, a proto by měly zůstat nezávislé a svrchované; vyzývá Komisi, aby zajistila, že tyto nástroje budou důsledně v souladu s příslušnými právními předpisy EU;</w:t>
      </w:r>
    </w:p>
    <w:p w14:paraId="596D71C3" w14:textId="3C27254A" w:rsidR="00C67D89" w:rsidRPr="00293126" w:rsidRDefault="00C67D89" w:rsidP="00293126">
      <w:pPr>
        <w:pStyle w:val="NormalHanging12a"/>
      </w:pPr>
      <w:r w:rsidRPr="00293126">
        <w:t>4.</w:t>
      </w:r>
      <w:r w:rsidRPr="00293126">
        <w:tab/>
        <w:t>konstatuje, že umělá inteligence může být pro společnosti, celní orgány a orgány dozoru nad trhem užitečným nástrojem k prosazování ochrany lidských práv tím, že usnadňuje účinné provádění a dodržování pravidel EU, jako je směrnice o náležité péči podniků v oblasti udržitelnosti</w:t>
      </w:r>
      <w:r w:rsidR="00A65CDA">
        <w:rPr>
          <w:rStyle w:val="FootnoteReference"/>
        </w:rPr>
        <w:footnoteReference w:id="10"/>
      </w:r>
      <w:r w:rsidRPr="00293126">
        <w:t>, nařízení o odlesňování</w:t>
      </w:r>
      <w:r w:rsidR="00A65CDA">
        <w:rPr>
          <w:rStyle w:val="FootnoteReference"/>
        </w:rPr>
        <w:footnoteReference w:id="11"/>
      </w:r>
      <w:r w:rsidRPr="00293126">
        <w:t xml:space="preserve"> nebo nařízení EU o nucené práci</w:t>
      </w:r>
      <w:r w:rsidR="00A65CDA">
        <w:rPr>
          <w:rStyle w:val="FootnoteReference"/>
        </w:rPr>
        <w:footnoteReference w:id="12"/>
      </w:r>
      <w:r w:rsidRPr="00293126">
        <w:t>, a k prosazování ochrany spotřebitelů tím, že usnadňuje účinné provádění a dodržování pravidel EU, jako je registrace, hodnocení, povolování a omezování chemických látek (REACH), označení CE a nařízení o obecné bezpečnosti výrobků</w:t>
      </w:r>
      <w:r w:rsidR="00A65CDA">
        <w:rPr>
          <w:rStyle w:val="FootnoteReference"/>
        </w:rPr>
        <w:footnoteReference w:id="13"/>
      </w:r>
      <w:r w:rsidRPr="00293126">
        <w:t>;</w:t>
      </w:r>
    </w:p>
    <w:p w14:paraId="56B22AB1" w14:textId="77777777" w:rsidR="00C67D89" w:rsidRPr="00293126" w:rsidRDefault="00C67D89" w:rsidP="00A65CDA">
      <w:pPr>
        <w:pStyle w:val="Normal12a"/>
      </w:pPr>
      <w:r w:rsidRPr="00293126">
        <w:rPr>
          <w:b/>
          <w:i/>
        </w:rPr>
        <w:t>Umělá inteligence a strukturální změny v obchodu se zbožím a službami, obchodu a udržitelném rozvoji</w:t>
      </w:r>
    </w:p>
    <w:p w14:paraId="0C1CB4E0" w14:textId="77777777" w:rsidR="00C67D89" w:rsidRPr="00293126" w:rsidRDefault="00C67D89" w:rsidP="00293126">
      <w:pPr>
        <w:pStyle w:val="NormalHanging12a"/>
      </w:pPr>
      <w:r w:rsidRPr="00293126">
        <w:t>5.</w:t>
      </w:r>
      <w:r w:rsidRPr="00293126">
        <w:tab/>
        <w:t xml:space="preserve">uznává, že konkurenceschopnost Evropy v obchodu se zbožím bude stále více záviset na zvyšování produktivity a kvality s využitím umělé inteligence ve strategických </w:t>
      </w:r>
      <w:r w:rsidRPr="00293126">
        <w:lastRenderedPageBreak/>
        <w:t>průmyslových hodnotových řetězcích, včetně zpracovatelského průmyslu, automobilového průmyslu, farmaceutického průmyslu a energetických technologií; vyzývá Komisi, aby tyto zájmy systematicky promítala do obchodních jednání tím, že zajistí účinný přístup na trh, spolehlivé mechanismy v oblasti necelních překážek a vymahatelná ustanovení, která zachovají rovné podmínky tím, že zabrání nekalé soutěži a narušením souvisejícím s technologiemi, přičemž uznává právo EU na regulaci;</w:t>
      </w:r>
    </w:p>
    <w:p w14:paraId="4453B06B" w14:textId="77777777" w:rsidR="00C67D89" w:rsidRPr="00293126" w:rsidRDefault="00C67D89" w:rsidP="00293126">
      <w:pPr>
        <w:pStyle w:val="NormalHanging12a"/>
      </w:pPr>
      <w:r w:rsidRPr="00293126">
        <w:t>6.</w:t>
      </w:r>
      <w:r w:rsidRPr="00293126">
        <w:tab/>
        <w:t>uznává, že umělá inteligence mění podobu obchodu s digitálně poskytovanými službami tím, že z odborných znalostí činí komoditu, což vyžaduje další úsilí k zachování komparativní výhody Evropy, kterou dosud měla, v oblasti profesionálních, technických a obchodních služeb s vysokou hodnotou; zdůrazňuje, že reakce na zesílenou globální konkurenci v oblasti obchodu se službami vyžaduje mobilizaci investic a zlepšení přístupu k financování, s níž počítají Draghiho i Lettova zpráva; naléhavě vyzývá Komisi, aby zmobilizovala obchodní a investiční partnerství s cílem přilákat kapitál a talenty a posílit evropské společnosti;</w:t>
      </w:r>
    </w:p>
    <w:p w14:paraId="59A3D7CE" w14:textId="77777777" w:rsidR="00C67D89" w:rsidRPr="00293126" w:rsidRDefault="00C67D89" w:rsidP="00293126">
      <w:pPr>
        <w:pStyle w:val="NormalHanging12a"/>
      </w:pPr>
      <w:r w:rsidRPr="00293126">
        <w:t>7.</w:t>
      </w:r>
      <w:r w:rsidRPr="00293126">
        <w:tab/>
        <w:t>uznává, že umělá inteligence má potenciál měnit práci a trhy práce na celém světě; varuje před riziky přesunu pracovníků v důsledku automatizace, obchodu se službami založenými na umělé inteligenci a prohlubujícího se nedostatku kvalifikovaných pracovníků v EU; zdůrazňuje proto potřebu přijmout strategie, aby bylo možné tyto změny předvídat a přizpůsobit jim odpovídajícím způsobem pracovní sílu; konstatuje, že vývoj a zavádění modelů a systémů umělé inteligence má negativní důsledky pro životní prostředí, včetně zvýšené poptávky po elektřině a spotřeby vody; vyzývá Komisi, aby v rámci posouzení dopadů dohod o volném obchodu analyzovala, která odvětví mohou být dotčena umělou inteligencí, a aby posoudila dopad používání umělé inteligence na práva pracovníků a na životní prostředí;</w:t>
      </w:r>
    </w:p>
    <w:p w14:paraId="7D9AD8FE" w14:textId="77777777" w:rsidR="00C67D89" w:rsidRPr="00293126" w:rsidRDefault="00C67D89" w:rsidP="00293126">
      <w:pPr>
        <w:pStyle w:val="NormalHanging12a"/>
      </w:pPr>
      <w:r w:rsidRPr="00293126">
        <w:t>8.</w:t>
      </w:r>
      <w:r w:rsidRPr="00293126">
        <w:tab/>
        <w:t>varuje, že digitální propast představuje riziko vyloučení partnerů ze zemí globálního Jihu z příležitostí k růstu založených na umělé inteligenci a zvyšuje závislost na dovážených modelech; zdůrazňuje, že spolupráce podporující využívání nástrojů umělé inteligence v rozvojových zemích by měla posílit mnohostranný obchodní systém a být podporována prostřednictvím rámce WTO; vyzývá Komisi, aby využila ustanovení o digitálním začleňování v kapitolách o obchodu a udržitelném rozvoji a dohodách o digitálním obchodu k podpoře zavádění umělé inteligence a zvyšování produktivity, jakož i k podpoře inkluzivní a důvěryhodné umělé inteligence prostřednictvím specializovaných programů mezinárodní spolupráce a iniciativ zaměřených na budování kapacit v rámci stávajících nástrojů EU, včetně programů odborné přípravy a přístupu k digitální infrastruktuře a infrastruktuře umělé inteligence; vyzývá Komisi, aby se při budování kapacit strategie Global Gateway zaměřila na etické ekosystémy umělé inteligence s otevřeným zdrojem a místní kapacity a podpořila tak odolné a vzájemně výhodné obchodní a investiční vztahy;</w:t>
      </w:r>
    </w:p>
    <w:p w14:paraId="38837C57" w14:textId="77777777" w:rsidR="00C67D89" w:rsidRPr="00293126" w:rsidRDefault="00C67D89" w:rsidP="00293126">
      <w:pPr>
        <w:pStyle w:val="NormalHanging12a"/>
      </w:pPr>
      <w:r w:rsidRPr="00293126">
        <w:t>9.</w:t>
      </w:r>
      <w:r w:rsidRPr="00293126">
        <w:tab/>
        <w:t xml:space="preserve">konstatuje, že řešení v oblasti umělé inteligence s otevřeným zdrojovým kódem tím, že umožňují transparentní opětovné použití a nezávislé testování, nabízejí významné výhody, včetně snížení nákladů a zlepšení ochrany údajů prostřednictvím místního zavádění, přispívají ke zvýšení zdravé hospodářské soutěže v oblasti umělé inteligence a snížení závislosti na poskytovatelích ze zemí mimo EU a zároveň podporují kontrolovatelná, místně přizpůsobená řešení umělé inteligence, která jsou vyvíjena společně s partnery z globálního Jihu; zdůrazňuje, že začlenění této spolupráce do obchodní politiky EU a digitálních partnerství může diverzifikovat partnerství, snížit </w:t>
      </w:r>
      <w:r w:rsidRPr="00293126">
        <w:lastRenderedPageBreak/>
        <w:t>závislost na několika málo proprietárních ekosystémech a posílit dlouhodobé geopolitické vazby; vyzývá Komisi, aby podporovala řešení umělé inteligence s otevřeným zdrojovým kódem, která přispívají ke snižování závislosti na poskytovatelích mimo EU; zdůrazňuje, že spolupráce s otevřeným zdrojovým kódem by měla zahrnovat projekty týkající se umělé inteligence pro veřejné blaho, jako je boj proti změně klimatu, podpora přechodu na čistou energii a zlepšení zdravotní péče a potravinového zabezpečení;</w:t>
      </w:r>
    </w:p>
    <w:p w14:paraId="2745D705" w14:textId="77777777" w:rsidR="00C67D89" w:rsidRPr="00293126" w:rsidRDefault="00C67D89" w:rsidP="00825283">
      <w:pPr>
        <w:pStyle w:val="Normal12a"/>
      </w:pPr>
      <w:r w:rsidRPr="00293126">
        <w:rPr>
          <w:b/>
          <w:i/>
        </w:rPr>
        <w:t>Správa a řízení digitálního obchodu, spolupráce v oblasti regulace a mnohostranná pravidla</w:t>
      </w:r>
    </w:p>
    <w:p w14:paraId="3D56A43F" w14:textId="77777777" w:rsidR="00C67D89" w:rsidRPr="00293126" w:rsidRDefault="00C67D89" w:rsidP="00293126">
      <w:pPr>
        <w:pStyle w:val="NormalHanging12a"/>
      </w:pPr>
      <w:r w:rsidRPr="00293126">
        <w:t>10.</w:t>
      </w:r>
      <w:r w:rsidRPr="00293126">
        <w:tab/>
        <w:t>poukazuje na strategickou úlohu digitálních partnerství a rad pro obchod a technologie s podobně smýšlejícími partnery, kteří sdílejí demokratické hodnoty, vysoké standardy správy věcí veřejných a závazek k otevřenému obchodu při prosazování přístupu EU k umělé inteligenci, který je založen na hodnotách, zaměřen na člověka a zohledňuje rizika; vyzývá k většímu zapojení Parlamentu do rad pro obchod a technologie; vyzývá Komisi k provádění mezinárodní digitální strategie prostřednictvím koordinovaných postojů v rámci skupin G7, G20, Organizace pro hospodářskou spolupráci a rozvoj a Organizace spojených národů a strukturované spolupráce mezi regulačními orgány s cílem dosáhnout celosvětového sblížení vysokých norem v oblasti bezpečnosti umělé inteligence a ochrany základních práv;</w:t>
      </w:r>
    </w:p>
    <w:p w14:paraId="3FE7DF07" w14:textId="77777777" w:rsidR="00C67D89" w:rsidRPr="00293126" w:rsidRDefault="00C67D89" w:rsidP="00293126">
      <w:pPr>
        <w:pStyle w:val="NormalHanging12a"/>
      </w:pPr>
      <w:r w:rsidRPr="00293126">
        <w:t>11.</w:t>
      </w:r>
      <w:r w:rsidRPr="00293126">
        <w:tab/>
        <w:t>zdůrazňuje, že je třeba bránit a podporovat, zejména na mnohostranných fórech, model umělé inteligence EU zaměřený na člověka jako mezinárodní normu a akt o umělé inteligenci jako referenční hodnotu, která může pomoci sladit normy transparentnosti a bezpečnosti a zároveň zachovat otevřený a předvídatelný obchod; vyzývá Komisi, aby posílila spolupráci v oblasti norem pro umělou inteligenci, technologických inovací a bezpečných dodavatelských řetězců s důvěryhodnými partnery a podobně smýšlejícími zeměmi, a to i prostřednictvím dvoustranných partnerství a mnohostranných fór, přičemž by měla upřednostňovat partnery, kteří prosazují demokratické hodnoty a mezinárodní řád založený na pravidlech; konstatuje, že pokročilé systémy umělé inteligence vytvářejí přeshraniční výzvy, a vyzývá Komisi, aby usilovala o globální minimální úroveň ochrany před nejzávažnějšími riziky jako základ pro interoperabilní a důvěryhodnou správu, zejména prostřednictvím mezinárodních iniciativ, jako je globální partnerství pro umělou inteligenci, zásady OECD v oblasti umělé inteligence a etický rámec UNESCO pro umělou inteligenci;</w:t>
      </w:r>
    </w:p>
    <w:p w14:paraId="3D63D6BA" w14:textId="77777777" w:rsidR="00C67D89" w:rsidRPr="00293126" w:rsidRDefault="00C67D89" w:rsidP="00293126">
      <w:pPr>
        <w:pStyle w:val="NormalHanging12a"/>
      </w:pPr>
      <w:r w:rsidRPr="00293126">
        <w:t>12.</w:t>
      </w:r>
      <w:r w:rsidRPr="00293126">
        <w:tab/>
        <w:t>zdůrazňuje, že nad rámec globální minimální úrovně ochrany je zapotřebí koalice podobně smýšlejících partnerů, kteří sdílejí přístup EU zaměřený na člověka, aby bylo možné rychleji pokročit v zavádění vysokých standardů bezpečnosti, transparentnosti, odpovědnosti a základních práv v oblasti umělé inteligence, zejména prostřednictvím strukturovaného regulačního dialogu s cílem řešit spory, vyměňovat si osvědčené postupy a přizpůsobit závazky s ohledem na technologický vývoj; vyzývá Komisi, aby sbližování právních předpisů v oblasti vysokých norem v oblasti bezpečnosti a základních práv spojila s konkrétními kroky na podporu budování kapacit, včetně společných investic do bezpečných a cenově dostupných výpočetních a testovacích kapacit, partnerství v oblasti talentů a dovedností s cílem snížit strategickou závislost a vytvořit důvěryhodné modely provádění, k nimž se mohou partnerské země připojit, a posílit tak důvěryhodnou umělou inteligenci jako základ otevřeného a odolného digitálního obchodu;</w:t>
      </w:r>
    </w:p>
    <w:p w14:paraId="3A31667A" w14:textId="77777777" w:rsidR="00C67D89" w:rsidRPr="00293126" w:rsidRDefault="00C67D89" w:rsidP="00293126">
      <w:pPr>
        <w:pStyle w:val="NormalHanging12a"/>
      </w:pPr>
      <w:r w:rsidRPr="00293126">
        <w:lastRenderedPageBreak/>
        <w:t>13.</w:t>
      </w:r>
      <w:r w:rsidRPr="00293126">
        <w:tab/>
        <w:t>zdůrazňuje, že pro obchod založený na umělé inteligenci jsou nezbytné zákonné a bezpečné datové toky; připomíná, že je třeba, aby dohody EU o digitálním obchodu byly v souladu s horizontálními ustanoveními Komise o přeshraničních tocích údajů a ochraně osobních údajů a soukromí v hlavě o digitálním obchodu obchodních dohod EU, která Unii umožňují zahrnout do obchodních dohod opatření na usnadnění přeshraničních datových toků při zachování základních práv fyzických osob na ochranu údajů a soukromí, a zdůrazňuje, že by měly zahrnovat zvláštní ustanovení o regulační spolupráci v oblasti umělé inteligence, která usnadní vzájemné porozumění regulačním přístupům, a vyzývá Komisi, aby tato ustanovení zahrnula do všech budoucích kapitol a dohod o digitálním obchodu; znovu potvrzuje, že minimálními požadavky pro předávání osobních údajů v rámci EU jsou záruky, které splňují požadavky nařízení GDPR nebo rovnocenných norem; vyzývá k tomu, aby dohody o digitálním obchodu chránily regulační autonomii a zachovaly technický přístup, který regulační orgány potřebují k prosazování aktu o umělé inteligenci a k zajištění transparentnosti, kontrolovatelnosti, spravedlnosti, bezpečnosti a odpovědnosti systémů umělé inteligence, a zároveň zajistily, aby občanská společnost a nezávislí výzkumní pracovníci měli přístup ke zdrojovému kódu a algoritmům systémů;</w:t>
      </w:r>
    </w:p>
    <w:p w14:paraId="1435260C" w14:textId="77777777" w:rsidR="00C67D89" w:rsidRPr="00293126" w:rsidRDefault="00C67D89" w:rsidP="00293126">
      <w:pPr>
        <w:pStyle w:val="NormalHanging12a"/>
      </w:pPr>
      <w:r w:rsidRPr="00293126">
        <w:t>14.</w:t>
      </w:r>
      <w:r w:rsidRPr="00293126">
        <w:tab/>
        <w:t>připomíná závazek EU k mnohostrannému obchodnímu systému založenému na pravidlech; zdůrazňuje, že WTO by měla významně přispět k vytvoření robustního, bezpečného, inkluzivního a důvěryhodného rámce pro správu umělé inteligence v oblasti obchodu, mimo jiné zřízením specializované pracovní skupiny WTO pro umělou inteligenci, která by usnadňovala dialog, sdílení znalostí a spolupráci mezi členy v oblasti právních předpisů a politik týkajících se umělé inteligence; zdůrazňuje, že vyvážená pravidla o elektronickém obchodu mají zásadní význam pro uvolnění potenciálu obchodu založeného na umělé inteligenci; vyzývá Komisi, aby zajistila, že jakýkoli text WTO o elektronickém obchodu zajistí politický prostor pro demokratickou správu umělé inteligence, včetně vymahatelných záruk pro pracovníky a spotřebitele; vyzývá Komisi, aby v rámci WTO pokračovala v diskusích o umělé inteligenci a obchodu a podporovala celosvětovou spolupráci, která usnadňuje důvěryhodné datové toky a digitální obchod, jakož i přístup ke službám a nástrojům využívajícím umělou inteligenci, zejména v rozvojových zemích;</w:t>
      </w:r>
    </w:p>
    <w:p w14:paraId="56015806" w14:textId="77777777" w:rsidR="00C67D89" w:rsidRPr="00293126" w:rsidRDefault="00C67D89" w:rsidP="00293126">
      <w:pPr>
        <w:pStyle w:val="NormalHanging12a"/>
      </w:pPr>
      <w:r w:rsidRPr="00293126">
        <w:t>15.</w:t>
      </w:r>
      <w:r w:rsidRPr="00293126">
        <w:tab/>
        <w:t>varuje, že kvůli rozdílným režimům dodržování právních předpisů v oblasti umělé inteligence hrozí roztříštění trhů a zvýšení obchodních nákladů; zdůrazňuje úlohu mezinárodní spolupráce při předcházení roztříštěnosti právních předpisů; vyzývá Komisi, aby využila mezinárodní normy a technické překážky obchodu a mechanismy transparentnosti WTO jako nástroje pro zamezení tomu, aby se rozdíly v oblasti regulace staly neodůvodněnou překážkou obchodu, a aby zároveň zachovala a využila rámec EU pro správu umělé inteligence k usnadnění důvěryhodného digitálního obchodu a podpoře globálních rovných podmínek pro důvěryhodnou umělou inteligenci;</w:t>
      </w:r>
    </w:p>
    <w:p w14:paraId="0C9ACAD4" w14:textId="77777777" w:rsidR="00C67D89" w:rsidRPr="00293126" w:rsidRDefault="00C67D89" w:rsidP="00A47842">
      <w:pPr>
        <w:pStyle w:val="Normal12a"/>
        <w:ind w:left="566" w:hanging="566"/>
      </w:pPr>
      <w:r w:rsidRPr="00293126">
        <w:rPr>
          <w:b/>
          <w:i/>
        </w:rPr>
        <w:t>Ekonomická bezpečnost a strategické závislosti v hodnotovém řetězci umělé inteligence</w:t>
      </w:r>
    </w:p>
    <w:p w14:paraId="2963E907" w14:textId="77777777" w:rsidR="00C67D89" w:rsidRPr="00293126" w:rsidRDefault="00C67D89" w:rsidP="00293126">
      <w:pPr>
        <w:pStyle w:val="NormalHanging12a"/>
      </w:pPr>
      <w:r w:rsidRPr="00293126">
        <w:t>16.</w:t>
      </w:r>
      <w:r w:rsidRPr="00293126">
        <w:tab/>
        <w:t xml:space="preserve">zdůrazňuje, že bezpečný přístup k pokročilým polovodičům a cenově dostupnému výpočetnímu výkonu je základem technologické suverenity a konkurenceschopnosti EU; konstatuje, že existuje riziko, že akt o čipech a agenda pro továrny na umělou inteligenci nebudou splněny kvůli roztříštěnosti a omezenému rozsahu; vyzývá Komisi, aby urychlila jejich provádění, prosazovala svou diplomacii v oblasti surovin a využívala obchodní dohody, rámcové dohody a dohody o partnerství </w:t>
      </w:r>
      <w:r w:rsidRPr="00293126">
        <w:lastRenderedPageBreak/>
        <w:t>s důvěryhodnými partnery k diverzifikaci dodavatelských řetězců a snížení strategických závislostí; v této souvislosti uznává zásadní úlohu vyspělých ekosystémů výroby čipů v ekonomikách podobně smýšlejících partnerů, při podpoře globální výpočetní kapacity v oblasti umělé inteligence, a podporuje prohlubování spolupráce s těmito partnery v oblasti odolnosti dodavatelského řetězce polovodičů; dále zdůrazňuje, že je naléhavě nutné posílit evropskou výrobu pokročilých polovodičů, zejména podporou evropských iniciativ, jako je navrhovaná revize aktu o čipech (akt o čipech 2.0); vyzývá Komisi, aby měla jasnější strategii, jak by se EU mohla rozvíjet jako klíčový hráč v ekosystému umělé inteligence, a aby do obchodních dohod začlenila přísná ustanovení s cílem zajistit spravedlivý přístup ke kritickým technologiím a surovinám;</w:t>
      </w:r>
    </w:p>
    <w:p w14:paraId="78EF8C5A" w14:textId="77777777" w:rsidR="00C67D89" w:rsidRPr="00293126" w:rsidRDefault="00C67D89" w:rsidP="00293126">
      <w:pPr>
        <w:pStyle w:val="NormalHanging12a"/>
      </w:pPr>
      <w:r w:rsidRPr="00293126">
        <w:t>17.</w:t>
      </w:r>
      <w:r w:rsidRPr="00293126">
        <w:tab/>
        <w:t>považuje strategická partnerství o odolnosti dodavatelského řetězce kritických nerostných surovin za potenciálně významné nástroje směrem k další koordinaci se spojenci ohledně přístupu ke vstupům kritickým pro umělou inteligenci, včetně prvků vzácných zemin a pokročilých polovodičových materiálů; trvá na tom, že zapojení EU musí být podmíněno souladem s referenčními hodnotami aktu o kritických surovinách a cíli otevřené strategické autonomie EU, přičemž je třeba spíše snižovat zranitelnost než přesouvat závislosti; vyzývá Komisi, aby zajistila, že veškeré vícestranné obchodní nástroje, které z takových partnerství vzejdou, včetně minimálních cen nebo mechanismů odběru, budou v souladu se závazky WTO a budou sloužit zájmům EU; vyzývá k posílení dialogu a spolupráce mezi důvěryhodnými partnery za účelem ochrany mezinárodních obchodních toků a posílení integrity a odolnosti průmyslových ekosystémů souvisejících s umělou inteligencí;</w:t>
      </w:r>
    </w:p>
    <w:p w14:paraId="18E85E98" w14:textId="27EF115B" w:rsidR="00C67D89" w:rsidRPr="00293126" w:rsidRDefault="00C67D89" w:rsidP="00293126">
      <w:pPr>
        <w:pStyle w:val="NormalHanging12a"/>
      </w:pPr>
      <w:r w:rsidRPr="00293126">
        <w:t>18.</w:t>
      </w:r>
      <w:r w:rsidRPr="00293126">
        <w:tab/>
        <w:t>varuje, že koncentrace cloudové infrastruktury v zemích mimo EU vystavuje EU zranitelnosti ze strany zahraničních jurisdikcí; vyzývá Komisi, aby prostřednictvím aktu pro rozvoj cloudu a umělé inteligence a aktu o akcelerátoru průmyslu (</w:t>
      </w:r>
      <w:r w:rsidR="00825283" w:rsidRPr="00A47842">
        <w:t>COM(2026)0100</w:t>
      </w:r>
      <w:r w:rsidRPr="00293126">
        <w:t>) zavedla odstupňované rámce suverenity, které by prostřednictvím veřejných zakázek upřednostňovaly poskytovatele kritických služeb se sídlem v EU, a zároveň zajistila otevřenou strategickou autonomii tím, že zachová nediskriminační přístup pro podobně smýšlející poskytovatele, kteří splňují požadavky EU na certifikaci a interoperabilitu;</w:t>
      </w:r>
    </w:p>
    <w:p w14:paraId="2581B77A" w14:textId="77777777" w:rsidR="00C67D89" w:rsidRPr="00293126" w:rsidRDefault="00C67D89" w:rsidP="00293126">
      <w:pPr>
        <w:pStyle w:val="NormalHanging12a"/>
      </w:pPr>
      <w:r w:rsidRPr="00293126">
        <w:t>19.</w:t>
      </w:r>
      <w:r w:rsidRPr="00293126">
        <w:tab/>
        <w:t>vyzývá Komisi, aby zajistila, že její doktrína hospodářské bezpečnosti bude koordinovat prověřování přímých zahraničních investic, přičemž zvláštní pozornost bude věnována strategickému digitálnímu odvětví, jako jsou platformy umělé inteligence, cloudové služby a datová centra, dále bude koordinovat kontrolu vývozu, nástroj proti nátlakovým praktikám a ochranu obchodu v podobě uceleného systému, který zabrání účelovému využívání závislostí na umělé inteligenci jako zbraně; upozorňuje, že omezení vývozu kritických surovin a rostoucí geopolitická nestabilita si žádají posílenou koordinaci a vymáhání práva, aby byl chráněn evropský ekosystém umělé inteligence; vyzývá Komisi, aby navrhla cílenou revizi nařízení o zboží dvojího užití s cílem komplexněji řešit pokročilou umělou inteligenci s ohledem na její potenciální využití třetími zeměmi v bezpečnostních, sledovacích nebo obranných aplikacích;</w:t>
      </w:r>
    </w:p>
    <w:p w14:paraId="7C687704" w14:textId="77777777" w:rsidR="00C67D89" w:rsidRPr="00293126" w:rsidRDefault="00C67D89" w:rsidP="00293126">
      <w:pPr>
        <w:pStyle w:val="NormalHanging12a"/>
      </w:pPr>
      <w:r w:rsidRPr="00293126">
        <w:t>20.</w:t>
      </w:r>
      <w:r w:rsidRPr="00293126">
        <w:tab/>
        <w:t xml:space="preserve">vyjadřuje znepokojení nad opakovanými omezeními vývozu prvků vzácných zemin ze strany Číny, která významně narušují dodavatelské řetězce důležité pro společnosti vyrábějící polovodiče i širší hodnotový řetězec umělé inteligence; domnívá se, že činnost Číny je neodůvodněná, a vyzývá Komisi, aby situaci pečlivě sledovala a </w:t>
      </w:r>
      <w:r w:rsidRPr="00293126">
        <w:lastRenderedPageBreak/>
        <w:t>odpovídajícím způsobem reagovala s cílem zajistit, aby nebyla ovlivněna globální ekonomika a odolnost mezinárodního obchodu;</w:t>
      </w:r>
    </w:p>
    <w:p w14:paraId="4EAAE165" w14:textId="77777777" w:rsidR="00C67D89" w:rsidRPr="00293126" w:rsidRDefault="00C67D89" w:rsidP="00293126">
      <w:pPr>
        <w:pStyle w:val="NormalHanging12a"/>
      </w:pPr>
      <w:r w:rsidRPr="00293126">
        <w:t>21.</w:t>
      </w:r>
      <w:r w:rsidRPr="00293126">
        <w:tab/>
        <w:t>zdůrazňuje, že je třeba, aby EU urychlila provádění nařízení o kritických surovinách a diverzifikovala dodavatelské řetězce s cílem posílit hospodářskou odolnost; zdůrazňuje naléhavou potřebu zajistit investice do strategických projektů schválených v rámci nařízení o kritických surovinách a do dalších projektů na podporu těžby, rafinace, zpracování a recyklace, které přispívají ke snižování rizik spojených s Čínou;</w:t>
      </w:r>
    </w:p>
    <w:p w14:paraId="1611A8A5" w14:textId="77777777" w:rsidR="00293126" w:rsidRDefault="00293126" w:rsidP="00293126">
      <w:pPr>
        <w:pStyle w:val="NormalCenter12a"/>
      </w:pPr>
      <w:r>
        <w:t>°</w:t>
      </w:r>
    </w:p>
    <w:p w14:paraId="52B4C9A8" w14:textId="77777777" w:rsidR="00293126" w:rsidRDefault="00293126" w:rsidP="00293126">
      <w:pPr>
        <w:pStyle w:val="NormalCenter12a"/>
      </w:pPr>
      <w:r>
        <w:t>°     °</w:t>
      </w:r>
    </w:p>
    <w:p w14:paraId="06713CE6" w14:textId="1C740E4C" w:rsidR="00E365E1" w:rsidRPr="00293126" w:rsidRDefault="00C67D89" w:rsidP="00A47842">
      <w:pPr>
        <w:pStyle w:val="NormalHanging12a"/>
      </w:pPr>
      <w:r w:rsidRPr="00293126">
        <w:t>22.</w:t>
      </w:r>
      <w:r w:rsidRPr="00293126">
        <w:tab/>
        <w:t>pověřuje svou předsedkyni, aby předala toto usnesení Radě, Komisi a vládám a parlamentům členských států.</w:t>
      </w:r>
    </w:p>
    <w:sectPr w:rsidR="00E365E1" w:rsidRPr="00293126" w:rsidSect="00EB11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74433" w14:textId="77777777" w:rsidR="00C85696" w:rsidRPr="00EB11D0" w:rsidRDefault="00C85696">
      <w:r w:rsidRPr="00EB11D0">
        <w:separator/>
      </w:r>
    </w:p>
  </w:endnote>
  <w:endnote w:type="continuationSeparator" w:id="0">
    <w:p w14:paraId="65848D0D" w14:textId="77777777" w:rsidR="00C85696" w:rsidRPr="00EB11D0" w:rsidRDefault="00C85696">
      <w:r w:rsidRPr="00EB11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F255" w14:textId="77777777" w:rsidR="00064002" w:rsidRPr="00EB11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EAD6" w14:textId="77777777" w:rsidR="00064002" w:rsidRPr="00EB11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CF9E" w14:textId="77777777" w:rsidR="00064002" w:rsidRPr="00EB11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38B5" w14:textId="77777777" w:rsidR="00C85696" w:rsidRPr="00EB11D0" w:rsidRDefault="00C85696">
      <w:r w:rsidRPr="00EB11D0">
        <w:separator/>
      </w:r>
    </w:p>
  </w:footnote>
  <w:footnote w:type="continuationSeparator" w:id="0">
    <w:p w14:paraId="3012BB4A" w14:textId="77777777" w:rsidR="00C85696" w:rsidRPr="00EB11D0" w:rsidRDefault="00C85696">
      <w:r w:rsidRPr="00EB11D0">
        <w:continuationSeparator/>
      </w:r>
    </w:p>
  </w:footnote>
  <w:footnote w:id="1">
    <w:p w14:paraId="281A3D01" w14:textId="442FC28C" w:rsidR="00A65CDA" w:rsidRPr="00A65CDA" w:rsidRDefault="00A65CDA" w:rsidP="00A65CDA">
      <w:pPr>
        <w:pStyle w:val="FootnoteText"/>
        <w:spacing w:line="240" w:lineRule="auto"/>
        <w:ind w:left="567" w:hanging="567"/>
        <w:rPr>
          <w:sz w:val="24"/>
          <w:szCs w:val="24"/>
          <w:lang w:val="cs-CZ"/>
        </w:rPr>
      </w:pPr>
      <w:r w:rsidRPr="00A65CDA">
        <w:rPr>
          <w:rStyle w:val="FootnoteReference"/>
          <w:sz w:val="24"/>
          <w:szCs w:val="24"/>
        </w:rPr>
        <w:footnoteRef/>
      </w:r>
      <w:r w:rsidRPr="00A65CDA">
        <w:rPr>
          <w:sz w:val="24"/>
          <w:szCs w:val="24"/>
          <w:lang w:val="fi-FI"/>
        </w:rPr>
        <w:t xml:space="preserve"> </w:t>
      </w:r>
      <w:r w:rsidRPr="00A65CDA">
        <w:rPr>
          <w:sz w:val="24"/>
          <w:szCs w:val="24"/>
          <w:lang w:val="cs-CZ"/>
        </w:rPr>
        <w:tab/>
        <w:t>Úř. věst. L</w:t>
      </w:r>
      <w:r w:rsidR="001B0F1E">
        <w:rPr>
          <w:sz w:val="24"/>
          <w:szCs w:val="24"/>
          <w:lang w:val="cs-CZ"/>
        </w:rPr>
        <w:t>,</w:t>
      </w:r>
      <w:r w:rsidRPr="00A65CDA">
        <w:rPr>
          <w:sz w:val="24"/>
          <w:szCs w:val="24"/>
          <w:lang w:val="cs-CZ"/>
        </w:rPr>
        <w:t xml:space="preserve"> 2024/1689, 12.7.2024, ELI: </w:t>
      </w:r>
      <w:hyperlink r:id="rId1" w:tgtFrame="http://data.europa.eu/eli/reg/2024/1689/oj" w:history="1">
        <w:r w:rsidRPr="00A65CDA">
          <w:rPr>
            <w:rStyle w:val="Hyperlink"/>
            <w:sz w:val="24"/>
            <w:szCs w:val="24"/>
            <w:lang w:val="cs-CZ"/>
          </w:rPr>
          <w:t>http://data.europa.eu/eli/reg/2024/1689/oj</w:t>
        </w:r>
      </w:hyperlink>
      <w:r w:rsidRPr="00A65CDA">
        <w:rPr>
          <w:sz w:val="24"/>
          <w:szCs w:val="24"/>
          <w:lang w:val="cs-CZ"/>
        </w:rPr>
        <w:t>.</w:t>
      </w:r>
    </w:p>
  </w:footnote>
  <w:footnote w:id="2">
    <w:p w14:paraId="3FAC1529" w14:textId="099A162E" w:rsidR="00A65CDA" w:rsidRPr="00A65CDA" w:rsidRDefault="00A65CDA" w:rsidP="00A65CDA">
      <w:pPr>
        <w:pStyle w:val="FootnoteText"/>
        <w:spacing w:line="240" w:lineRule="auto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A65CDA">
        <w:rPr>
          <w:sz w:val="24"/>
          <w:szCs w:val="24"/>
          <w:vertAlign w:val="superscript"/>
          <w:lang w:val="cs-CZ"/>
        </w:rPr>
        <w:t xml:space="preserve"> </w:t>
      </w:r>
      <w:r w:rsidRPr="00A65CDA">
        <w:rPr>
          <w:sz w:val="24"/>
          <w:szCs w:val="24"/>
          <w:vertAlign w:val="superscript"/>
          <w:lang w:val="cs-CZ"/>
        </w:rPr>
        <w:tab/>
      </w:r>
      <w:r w:rsidRPr="00A65CDA">
        <w:rPr>
          <w:sz w:val="24"/>
          <w:szCs w:val="24"/>
          <w:lang w:val="cs-CZ"/>
        </w:rPr>
        <w:t xml:space="preserve">Úř. věst. L 119, 4.5.2016, s. 1, ELI: </w:t>
      </w:r>
      <w:hyperlink r:id="rId2" w:tgtFrame="http://data.europa.eu/eli/reg/2016/679/oj" w:history="1">
        <w:r w:rsidRPr="00A65CDA">
          <w:rPr>
            <w:rStyle w:val="Hyperlink"/>
            <w:sz w:val="24"/>
            <w:szCs w:val="24"/>
            <w:lang w:val="cs-CZ"/>
          </w:rPr>
          <w:t>http://data.europa.eu/eli/reg/2016/679/oj</w:t>
        </w:r>
      </w:hyperlink>
      <w:r w:rsidRPr="00A65CDA">
        <w:rPr>
          <w:sz w:val="24"/>
          <w:szCs w:val="24"/>
          <w:lang w:val="cs-CZ"/>
        </w:rPr>
        <w:t>.</w:t>
      </w:r>
    </w:p>
  </w:footnote>
  <w:footnote w:id="3">
    <w:p w14:paraId="004D5393" w14:textId="19799E23" w:rsidR="00A65CDA" w:rsidRPr="00A65CDA" w:rsidRDefault="00A65CDA" w:rsidP="00A65CDA">
      <w:pPr>
        <w:pStyle w:val="FootnoteText"/>
        <w:spacing w:line="240" w:lineRule="auto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A65CDA">
        <w:rPr>
          <w:sz w:val="24"/>
          <w:szCs w:val="24"/>
          <w:vertAlign w:val="superscript"/>
          <w:lang w:val="cs-CZ"/>
        </w:rPr>
        <w:t xml:space="preserve"> </w:t>
      </w:r>
      <w:r w:rsidRPr="00A65CDA">
        <w:rPr>
          <w:sz w:val="24"/>
          <w:szCs w:val="24"/>
          <w:vertAlign w:val="superscript"/>
          <w:lang w:val="cs-CZ"/>
        </w:rPr>
        <w:tab/>
      </w:r>
      <w:r w:rsidRPr="00A65CDA">
        <w:rPr>
          <w:sz w:val="24"/>
          <w:szCs w:val="24"/>
          <w:lang w:val="cs-CZ"/>
        </w:rPr>
        <w:t xml:space="preserve">Úř. věst. L 229, 18.9.2023, s. 1, ELI: </w:t>
      </w:r>
      <w:hyperlink r:id="rId3" w:tgtFrame="http://data.europa.eu/eli/reg/2023/1781/oj" w:history="1">
        <w:r w:rsidRPr="00A65CDA">
          <w:rPr>
            <w:rStyle w:val="Hyperlink"/>
            <w:sz w:val="24"/>
            <w:szCs w:val="24"/>
            <w:lang w:val="cs-CZ"/>
          </w:rPr>
          <w:t>http://data.europa.eu/eli/reg/2023/1781/oj</w:t>
        </w:r>
      </w:hyperlink>
      <w:r w:rsidRPr="00A65CDA">
        <w:rPr>
          <w:sz w:val="24"/>
          <w:szCs w:val="24"/>
          <w:lang w:val="cs-CZ"/>
        </w:rPr>
        <w:t>.</w:t>
      </w:r>
    </w:p>
  </w:footnote>
  <w:footnote w:id="4">
    <w:p w14:paraId="34375697" w14:textId="25348084" w:rsidR="00A65CDA" w:rsidRPr="00EB11D0" w:rsidRDefault="00A65CDA" w:rsidP="00A65CDA">
      <w:pPr>
        <w:pStyle w:val="FootnoteText"/>
        <w:spacing w:line="240" w:lineRule="auto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A65CDA">
        <w:rPr>
          <w:sz w:val="24"/>
          <w:szCs w:val="24"/>
          <w:vertAlign w:val="superscript"/>
          <w:lang w:val="cs-CZ"/>
        </w:rPr>
        <w:t xml:space="preserve"> </w:t>
      </w:r>
      <w:r w:rsidRPr="00A65CDA">
        <w:rPr>
          <w:sz w:val="24"/>
          <w:szCs w:val="24"/>
          <w:vertAlign w:val="superscript"/>
          <w:lang w:val="cs-CZ"/>
        </w:rPr>
        <w:tab/>
      </w:r>
      <w:r w:rsidRPr="00A65CDA">
        <w:rPr>
          <w:sz w:val="24"/>
          <w:szCs w:val="24"/>
          <w:lang w:val="cs-CZ"/>
        </w:rPr>
        <w:t xml:space="preserve">Úř. věst. L, 2024/1252, 3.5.2024, ELI: </w:t>
      </w:r>
      <w:hyperlink r:id="rId4" w:tgtFrame="http://data.europa.eu/eli/reg/2024/1252/oj" w:history="1">
        <w:r w:rsidRPr="00A65CDA">
          <w:rPr>
            <w:rStyle w:val="Hyperlink"/>
            <w:sz w:val="24"/>
            <w:szCs w:val="24"/>
            <w:lang w:val="cs-CZ"/>
          </w:rPr>
          <w:t>http://data.europa.eu/eli/reg/2024/1252/oj</w:t>
        </w:r>
      </w:hyperlink>
      <w:r w:rsidRPr="00A65CDA">
        <w:rPr>
          <w:sz w:val="24"/>
          <w:szCs w:val="24"/>
          <w:lang w:val="cs-CZ"/>
        </w:rPr>
        <w:t>.</w:t>
      </w:r>
    </w:p>
  </w:footnote>
  <w:footnote w:id="5">
    <w:p w14:paraId="7EDD4A3D" w14:textId="562E140C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>Úř. věst. L 79</w:t>
      </w:r>
      <w:r w:rsidR="009F4776">
        <w:rPr>
          <w:sz w:val="24"/>
          <w:lang w:val="cs-CZ"/>
        </w:rPr>
        <w:t xml:space="preserve"> </w:t>
      </w:r>
      <w:r w:rsidRPr="00EB11D0">
        <w:rPr>
          <w:sz w:val="24"/>
          <w:lang w:val="cs-CZ"/>
        </w:rPr>
        <w:t xml:space="preserve">I, 21.3.2019, s. 1, ELI: </w:t>
      </w:r>
      <w:hyperlink r:id="rId5" w:tgtFrame="http://data.europa.eu/eli/reg/2019/452/oj" w:history="1">
        <w:r w:rsidRPr="00EB11D0">
          <w:rPr>
            <w:rStyle w:val="Hyperlink"/>
            <w:sz w:val="24"/>
            <w:lang w:val="cs-CZ"/>
          </w:rPr>
          <w:t>http://data.europa.eu/eli/reg/2019/452/oj</w:t>
        </w:r>
      </w:hyperlink>
      <w:r w:rsidRPr="00EB11D0">
        <w:rPr>
          <w:sz w:val="24"/>
          <w:lang w:val="cs-CZ"/>
        </w:rPr>
        <w:t>.</w:t>
      </w:r>
    </w:p>
  </w:footnote>
  <w:footnote w:id="6">
    <w:p w14:paraId="3F2EF283" w14:textId="35B49E1D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 xml:space="preserve">Úř. věst. L, 2023/2675, 7.12.2023, ELI: </w:t>
      </w:r>
      <w:hyperlink r:id="rId6" w:tgtFrame="http://data.europa.eu/eli/reg/2023/2675/oj" w:history="1">
        <w:r w:rsidRPr="00EB11D0">
          <w:rPr>
            <w:rStyle w:val="Hyperlink"/>
            <w:sz w:val="24"/>
            <w:lang w:val="cs-CZ"/>
          </w:rPr>
          <w:t>http://data.europa.eu/eli/reg/2023/2675/oj</w:t>
        </w:r>
      </w:hyperlink>
      <w:r w:rsidRPr="00EB11D0">
        <w:rPr>
          <w:sz w:val="24"/>
          <w:lang w:val="cs-CZ"/>
        </w:rPr>
        <w:t>.</w:t>
      </w:r>
    </w:p>
  </w:footnote>
  <w:footnote w:id="7">
    <w:p w14:paraId="0C2324BE" w14:textId="2F448087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 xml:space="preserve">Úř. věst. L 206, 11.6.2021, s. 1, ELI: </w:t>
      </w:r>
      <w:hyperlink r:id="rId7" w:tgtFrame="http://data.europa.eu/eli/reg/2021/821/oj" w:history="1">
        <w:r w:rsidRPr="00EB11D0">
          <w:rPr>
            <w:rStyle w:val="Hyperlink"/>
            <w:sz w:val="24"/>
            <w:lang w:val="cs-CZ"/>
          </w:rPr>
          <w:t>http://data.europa.eu/eli/reg/2021/821/oj</w:t>
        </w:r>
      </w:hyperlink>
      <w:r w:rsidRPr="00EB11D0">
        <w:rPr>
          <w:sz w:val="24"/>
          <w:lang w:val="cs-CZ"/>
        </w:rPr>
        <w:t>.</w:t>
      </w:r>
    </w:p>
  </w:footnote>
  <w:footnote w:id="8">
    <w:p w14:paraId="323CA4DD" w14:textId="1FC8320E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 xml:space="preserve">Úř. věst. C, C/2026/1436, 31.3.2026, ELI: </w:t>
      </w:r>
      <w:hyperlink r:id="rId8" w:tgtFrame="http://data.europa.eu/eli/C/2026/1436/oj" w:history="1">
        <w:r w:rsidRPr="00EB11D0">
          <w:rPr>
            <w:rStyle w:val="Hyperlink"/>
            <w:sz w:val="24"/>
            <w:lang w:val="cs-CZ"/>
          </w:rPr>
          <w:t>http://data.europa.eu/eli/C/2026/1436/oj</w:t>
        </w:r>
      </w:hyperlink>
      <w:r w:rsidRPr="00EB11D0">
        <w:rPr>
          <w:sz w:val="24"/>
          <w:lang w:val="cs-CZ"/>
        </w:rPr>
        <w:t>.</w:t>
      </w:r>
    </w:p>
  </w:footnote>
  <w:footnote w:id="9">
    <w:p w14:paraId="254A9564" w14:textId="59EB07B6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 xml:space="preserve">Úř. věst. C, C/2026/1674, 22.4.2026, ELI: </w:t>
      </w:r>
      <w:hyperlink r:id="rId9" w:tgtFrame="http://data.europa.eu/eli/C/2026/1674/oj" w:history="1">
        <w:r w:rsidRPr="00EB11D0">
          <w:rPr>
            <w:rStyle w:val="Hyperlink"/>
            <w:sz w:val="24"/>
            <w:lang w:val="cs-CZ"/>
          </w:rPr>
          <w:t>http://data.europa.eu/eli/C/2026/1674/oj</w:t>
        </w:r>
      </w:hyperlink>
      <w:r w:rsidRPr="00EB11D0">
        <w:rPr>
          <w:sz w:val="24"/>
          <w:lang w:val="cs-CZ"/>
        </w:rPr>
        <w:t>.</w:t>
      </w:r>
    </w:p>
  </w:footnote>
  <w:footnote w:id="10">
    <w:p w14:paraId="2343CEA0" w14:textId="47BB4136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>Směrnice Evropského parlamentu a Rady (EU) 2024/1760 ze dne 13. června 2024 o náležité péči podniků v oblasti udržitelnosti a o změně směrnice (EU) 2019/1937 a nařízení (EU) 2023/2859 (Úř. věst. L, 2024/1760, 5.7.2024, ELI:</w:t>
      </w:r>
      <w:r>
        <w:rPr>
          <w:sz w:val="24"/>
          <w:lang w:val="cs-CZ"/>
        </w:rPr>
        <w:t xml:space="preserve"> </w:t>
      </w:r>
      <w:hyperlink r:id="rId10" w:tgtFrame="http://data.europa.eu/eli/dir/2024/1760/oj" w:history="1">
        <w:r w:rsidRPr="00EB11D0">
          <w:rPr>
            <w:rStyle w:val="Hyperlink"/>
            <w:sz w:val="24"/>
            <w:lang w:val="cs-CZ"/>
          </w:rPr>
          <w:t>http://data.europa.eu/eli/dir/2024/1760/oj</w:t>
        </w:r>
      </w:hyperlink>
      <w:r w:rsidRPr="00EB11D0">
        <w:rPr>
          <w:sz w:val="24"/>
          <w:lang w:val="cs-CZ"/>
        </w:rPr>
        <w:t>).</w:t>
      </w:r>
    </w:p>
  </w:footnote>
  <w:footnote w:id="11">
    <w:p w14:paraId="6F53ADD6" w14:textId="75EB1F22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>Nařízení Evropského parlamentu a Rady (EU) 2023/1115 ze dne 31. května 2023 o dodávání na trh Unie a vývozu z Unie některých komodit a produktů spojených s odlesňováním a znehodnocováním lesů a o zrušení nařízení (EU) č. 995/2010 (Úř. věst. L 150, 9.6.2023, s. 206, ELI:</w:t>
      </w:r>
      <w:r>
        <w:rPr>
          <w:sz w:val="24"/>
          <w:lang w:val="cs-CZ"/>
        </w:rPr>
        <w:t xml:space="preserve"> </w:t>
      </w:r>
      <w:hyperlink r:id="rId11" w:tgtFrame="http://data.europa.eu/eli/reg/2023/1115/oj" w:history="1">
        <w:r w:rsidRPr="00EB11D0">
          <w:rPr>
            <w:rStyle w:val="Hyperlink"/>
            <w:sz w:val="24"/>
            <w:lang w:val="cs-CZ"/>
          </w:rPr>
          <w:t>http://data.europa.eu/eli/reg/2023/1115/oj</w:t>
        </w:r>
      </w:hyperlink>
      <w:r w:rsidRPr="00EB11D0">
        <w:rPr>
          <w:sz w:val="24"/>
          <w:lang w:val="cs-CZ"/>
        </w:rPr>
        <w:t>).</w:t>
      </w:r>
    </w:p>
  </w:footnote>
  <w:footnote w:id="12">
    <w:p w14:paraId="473962A9" w14:textId="17BCA8F0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>Nařízení Evropského parlamentu a Rady (EU) 2024/3015 ze dne 27. listopadu 2024 o zákazu produktů pocházejících z nucené práce na trhu Unie a o změně směrnice (EU) 2019/1937 (Úř. věst. L, 2024/3015, 12.12.2024, ELI:</w:t>
      </w:r>
      <w:r>
        <w:rPr>
          <w:sz w:val="24"/>
          <w:lang w:val="cs-CZ"/>
        </w:rPr>
        <w:t xml:space="preserve"> </w:t>
      </w:r>
      <w:hyperlink r:id="rId12" w:tgtFrame="http://data.europa.eu/eli/reg/2024/3015/oj" w:history="1">
        <w:r w:rsidRPr="00EB11D0">
          <w:rPr>
            <w:rStyle w:val="Hyperlink"/>
            <w:sz w:val="24"/>
            <w:lang w:val="cs-CZ"/>
          </w:rPr>
          <w:t>http://data.europa.eu/eli/reg/2024/3015/oj</w:t>
        </w:r>
      </w:hyperlink>
      <w:r w:rsidRPr="00EB11D0">
        <w:rPr>
          <w:sz w:val="24"/>
          <w:lang w:val="cs-CZ"/>
        </w:rPr>
        <w:t>).</w:t>
      </w:r>
    </w:p>
  </w:footnote>
  <w:footnote w:id="13">
    <w:p w14:paraId="4A8DC764" w14:textId="3B40169F" w:rsidR="00A65CDA" w:rsidRPr="00EB11D0" w:rsidRDefault="00A65CDA" w:rsidP="00EB11D0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EB11D0">
        <w:rPr>
          <w:sz w:val="24"/>
          <w:vertAlign w:val="superscript"/>
          <w:lang w:val="cs-CZ"/>
        </w:rPr>
        <w:t xml:space="preserve"> </w:t>
      </w:r>
      <w:r w:rsidRPr="00EB11D0">
        <w:rPr>
          <w:sz w:val="24"/>
          <w:vertAlign w:val="superscript"/>
          <w:lang w:val="cs-CZ"/>
        </w:rPr>
        <w:tab/>
      </w:r>
      <w:r w:rsidRPr="00EB11D0">
        <w:rPr>
          <w:sz w:val="24"/>
          <w:lang w:val="cs-CZ"/>
        </w:rPr>
        <w:t xml:space="preserve">Nařízení Evropského parlamentu a Rady (EU) 2023/988 ze dne 10. května 2023 o obecné bezpečnosti výrobků, o změně nařízení Evropského parlamentu a Rady (EU) č. 1025/2012 a směrnice Evropského parlamentu a Rady (EU) 2020/1828 a o zrušení směrnice Evropského parlamentu a Rady 2001/95/ES a směrnice Rady 87/357/EHS (Úř. věst. L 135, 23.5.2023, s. 1, ELI: </w:t>
      </w:r>
      <w:hyperlink r:id="rId13" w:tgtFrame="http://data.europa.eu/eli/reg/2023/988/oj" w:history="1">
        <w:r w:rsidRPr="00EB11D0">
          <w:rPr>
            <w:rStyle w:val="Hyperlink"/>
            <w:sz w:val="24"/>
            <w:lang w:val="cs-CZ"/>
          </w:rPr>
          <w:t>http://data.europa.eu/eli/reg/2023/988/oj</w:t>
        </w:r>
      </w:hyperlink>
      <w:r w:rsidRPr="00EB11D0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2A91" w14:textId="77777777" w:rsidR="00064002" w:rsidRPr="00EB11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E0" w14:textId="77777777" w:rsidR="00064002" w:rsidRPr="00EB11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39A1" w14:textId="77777777" w:rsidR="00064002" w:rsidRPr="00EB11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7941434">
    <w:abstractNumId w:val="9"/>
  </w:num>
  <w:num w:numId="2" w16cid:durableId="1465276176">
    <w:abstractNumId w:val="9"/>
  </w:num>
  <w:num w:numId="3" w16cid:durableId="159739842">
    <w:abstractNumId w:val="7"/>
  </w:num>
  <w:num w:numId="4" w16cid:durableId="776564504">
    <w:abstractNumId w:val="7"/>
  </w:num>
  <w:num w:numId="5" w16cid:durableId="1325431780">
    <w:abstractNumId w:val="6"/>
  </w:num>
  <w:num w:numId="6" w16cid:durableId="1769885269">
    <w:abstractNumId w:val="6"/>
  </w:num>
  <w:num w:numId="7" w16cid:durableId="1317299406">
    <w:abstractNumId w:val="5"/>
  </w:num>
  <w:num w:numId="8" w16cid:durableId="61485045">
    <w:abstractNumId w:val="5"/>
  </w:num>
  <w:num w:numId="9" w16cid:durableId="1948850227">
    <w:abstractNumId w:val="4"/>
  </w:num>
  <w:num w:numId="10" w16cid:durableId="1943874716">
    <w:abstractNumId w:val="4"/>
  </w:num>
  <w:num w:numId="11" w16cid:durableId="385762451">
    <w:abstractNumId w:val="8"/>
  </w:num>
  <w:num w:numId="12" w16cid:durableId="414670856">
    <w:abstractNumId w:val="8"/>
  </w:num>
  <w:num w:numId="13" w16cid:durableId="2106264536">
    <w:abstractNumId w:val="3"/>
  </w:num>
  <w:num w:numId="14" w16cid:durableId="1793327216">
    <w:abstractNumId w:val="3"/>
  </w:num>
  <w:num w:numId="15" w16cid:durableId="2114010714">
    <w:abstractNumId w:val="2"/>
  </w:num>
  <w:num w:numId="16" w16cid:durableId="723407558">
    <w:abstractNumId w:val="2"/>
  </w:num>
  <w:num w:numId="17" w16cid:durableId="1801992548">
    <w:abstractNumId w:val="1"/>
  </w:num>
  <w:num w:numId="18" w16cid:durableId="2099062863">
    <w:abstractNumId w:val="1"/>
  </w:num>
  <w:num w:numId="19" w16cid:durableId="1271661719">
    <w:abstractNumId w:val="0"/>
  </w:num>
  <w:num w:numId="20" w16cid:durableId="1053307756">
    <w:abstractNumId w:val="0"/>
  </w:num>
  <w:num w:numId="21" w16cid:durableId="674111196">
    <w:abstractNumId w:val="9"/>
  </w:num>
  <w:num w:numId="22" w16cid:durableId="1209147736">
    <w:abstractNumId w:val="7"/>
  </w:num>
  <w:num w:numId="23" w16cid:durableId="1842234502">
    <w:abstractNumId w:val="6"/>
  </w:num>
  <w:num w:numId="24" w16cid:durableId="57439825">
    <w:abstractNumId w:val="5"/>
  </w:num>
  <w:num w:numId="25" w16cid:durableId="1208641024">
    <w:abstractNumId w:val="4"/>
  </w:num>
  <w:num w:numId="26" w16cid:durableId="625349948">
    <w:abstractNumId w:val="8"/>
  </w:num>
  <w:num w:numId="27" w16cid:durableId="161703936">
    <w:abstractNumId w:val="3"/>
  </w:num>
  <w:num w:numId="28" w16cid:durableId="1232889872">
    <w:abstractNumId w:val="2"/>
  </w:num>
  <w:num w:numId="29" w16cid:durableId="1215967205">
    <w:abstractNumId w:val="1"/>
  </w:num>
  <w:num w:numId="30" w16cid:durableId="1243293932">
    <w:abstractNumId w:val="0"/>
  </w:num>
  <w:num w:numId="31" w16cid:durableId="1124614452">
    <w:abstractNumId w:val="9"/>
  </w:num>
  <w:num w:numId="32" w16cid:durableId="151146569">
    <w:abstractNumId w:val="7"/>
  </w:num>
  <w:num w:numId="33" w16cid:durableId="786780243">
    <w:abstractNumId w:val="6"/>
  </w:num>
  <w:num w:numId="34" w16cid:durableId="936907021">
    <w:abstractNumId w:val="5"/>
  </w:num>
  <w:num w:numId="35" w16cid:durableId="1117145109">
    <w:abstractNumId w:val="4"/>
  </w:num>
  <w:num w:numId="36" w16cid:durableId="487601088">
    <w:abstractNumId w:val="8"/>
  </w:num>
  <w:num w:numId="37" w16cid:durableId="1678532322">
    <w:abstractNumId w:val="3"/>
  </w:num>
  <w:num w:numId="38" w16cid:durableId="2038506287">
    <w:abstractNumId w:val="2"/>
  </w:num>
  <w:num w:numId="39" w16cid:durableId="1334869604">
    <w:abstractNumId w:val="1"/>
  </w:num>
  <w:num w:numId="40" w16cid:durableId="128985072">
    <w:abstractNumId w:val="0"/>
  </w:num>
  <w:num w:numId="41" w16cid:durableId="337542360">
    <w:abstractNumId w:val="10"/>
  </w:num>
  <w:num w:numId="42" w16cid:durableId="2095317042">
    <w:abstractNumId w:val="10"/>
  </w:num>
  <w:num w:numId="43" w16cid:durableId="1974631443">
    <w:abstractNumId w:val="10"/>
  </w:num>
  <w:num w:numId="44" w16cid:durableId="151799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6"/>
    <w:docVar w:name="dvlangue" w:val="CS"/>
    <w:docVar w:name="dvnumam" w:val="0"/>
    <w:docVar w:name="dvpe" w:val="784.156"/>
    <w:docVar w:name="dvrapporteur" w:val="Zpravodaj: "/>
    <w:docVar w:name="dvtitre" w:val="Usnesení Evropského parlamentu ze dne 20. května 2026 o příležitostech a výzvách, které přináší komplexní strategie v oblasti umělé inteligence pro obchod EU(2025/2112(INI))"/>
  </w:docVars>
  <w:rsids>
    <w:rsidRoot w:val="00C85696"/>
    <w:rsid w:val="00002272"/>
    <w:rsid w:val="0001572A"/>
    <w:rsid w:val="0002413E"/>
    <w:rsid w:val="00064002"/>
    <w:rsid w:val="000677B9"/>
    <w:rsid w:val="000831BA"/>
    <w:rsid w:val="000A42CC"/>
    <w:rsid w:val="000E7DD9"/>
    <w:rsid w:val="0010095E"/>
    <w:rsid w:val="00125B37"/>
    <w:rsid w:val="00187494"/>
    <w:rsid w:val="001B0F1E"/>
    <w:rsid w:val="001F32AE"/>
    <w:rsid w:val="001F7314"/>
    <w:rsid w:val="0027371E"/>
    <w:rsid w:val="002767FF"/>
    <w:rsid w:val="00293126"/>
    <w:rsid w:val="002B18FE"/>
    <w:rsid w:val="002B5493"/>
    <w:rsid w:val="0031158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F1E"/>
    <w:rsid w:val="00560270"/>
    <w:rsid w:val="005C2568"/>
    <w:rsid w:val="005F1B17"/>
    <w:rsid w:val="006037C0"/>
    <w:rsid w:val="00662C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283"/>
    <w:rsid w:val="00842779"/>
    <w:rsid w:val="00865F67"/>
    <w:rsid w:val="00881A7B"/>
    <w:rsid w:val="008840E5"/>
    <w:rsid w:val="00887B3E"/>
    <w:rsid w:val="008C2AC6"/>
    <w:rsid w:val="009255C0"/>
    <w:rsid w:val="00930C23"/>
    <w:rsid w:val="0093193B"/>
    <w:rsid w:val="009509D8"/>
    <w:rsid w:val="00950B64"/>
    <w:rsid w:val="00981893"/>
    <w:rsid w:val="009F4776"/>
    <w:rsid w:val="00A1687D"/>
    <w:rsid w:val="00A43E52"/>
    <w:rsid w:val="00A4678D"/>
    <w:rsid w:val="00A47842"/>
    <w:rsid w:val="00A65CD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D89"/>
    <w:rsid w:val="00C85696"/>
    <w:rsid w:val="00C941CB"/>
    <w:rsid w:val="00CC13B3"/>
    <w:rsid w:val="00CC2357"/>
    <w:rsid w:val="00CF071A"/>
    <w:rsid w:val="00D058B8"/>
    <w:rsid w:val="00D56C11"/>
    <w:rsid w:val="00D834A0"/>
    <w:rsid w:val="00D872DF"/>
    <w:rsid w:val="00D91E21"/>
    <w:rsid w:val="00DA7FCD"/>
    <w:rsid w:val="00DB4CAC"/>
    <w:rsid w:val="00E365E1"/>
    <w:rsid w:val="00E820A4"/>
    <w:rsid w:val="00EB006A"/>
    <w:rsid w:val="00EB11D0"/>
    <w:rsid w:val="00EB4772"/>
    <w:rsid w:val="00EB7BBA"/>
    <w:rsid w:val="00ED169E"/>
    <w:rsid w:val="00ED4235"/>
    <w:rsid w:val="00F04346"/>
    <w:rsid w:val="00F075DC"/>
    <w:rsid w:val="00F149E9"/>
    <w:rsid w:val="00F264D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C1F40"/>
  <w15:chartTrackingRefBased/>
  <w15:docId w15:val="{17C022C2-4E9C-4790-A7B2-9872A2F3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67D8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67D8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67D8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67D8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67D8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67D89"/>
    <w:rPr>
      <w:color w:val="0000FF"/>
      <w:u w:val="single"/>
    </w:rPr>
  </w:style>
  <w:style w:type="paragraph" w:styleId="Revision">
    <w:name w:val="Revision"/>
    <w:hidden/>
    <w:uiPriority w:val="99"/>
    <w:semiHidden/>
    <w:rsid w:val="00F264D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6/1436/oj" TargetMode="External"/><Relationship Id="rId13" Type="http://schemas.openxmlformats.org/officeDocument/2006/relationships/hyperlink" Target="http://data.europa.eu/eli/reg/2023/988/oj" TargetMode="External"/><Relationship Id="rId3" Type="http://schemas.openxmlformats.org/officeDocument/2006/relationships/hyperlink" Target="http://data.europa.eu/eli/reg/2023/1781/oj" TargetMode="External"/><Relationship Id="rId7" Type="http://schemas.openxmlformats.org/officeDocument/2006/relationships/hyperlink" Target="http://data.europa.eu/eli/reg/2021/821/oj" TargetMode="External"/><Relationship Id="rId12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/2016/679/oj" TargetMode="External"/><Relationship Id="rId1" Type="http://schemas.openxmlformats.org/officeDocument/2006/relationships/hyperlink" Target="http://data.europa.eu/eli/reg/2024/1689/oj" TargetMode="External"/><Relationship Id="rId6" Type="http://schemas.openxmlformats.org/officeDocument/2006/relationships/hyperlink" Target="http://data.europa.eu/eli/reg/2023/2675/oj" TargetMode="External"/><Relationship Id="rId11" Type="http://schemas.openxmlformats.org/officeDocument/2006/relationships/hyperlink" Target="http://data.europa.eu/eli/reg/2023/1115/oj" TargetMode="External"/><Relationship Id="rId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dir/2024/1760/oj" TargetMode="External"/><Relationship Id="rId4" Type="http://schemas.openxmlformats.org/officeDocument/2006/relationships/hyperlink" Target="http://data.europa.eu/eli/reg/2024/1252/oj" TargetMode="External"/><Relationship Id="rId9" Type="http://schemas.openxmlformats.org/officeDocument/2006/relationships/hyperlink" Target="http://data.europa.eu/eli/C/2026/16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4359</Words>
  <Characters>27469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2026-06-29T09:05:00Z</dcterms:created>
  <dcterms:modified xsi:type="dcterms:W3CDTF">2026-06-29T09:05:00Z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A10-0122/2026</vt:lpwstr>
  </property>
  <property fmtid="{D5CDD505-2E9C-101B-9397-08002B2CF9AE}" pid="4" name="&lt;Type&gt;">
    <vt:lpwstr>RR</vt:lpwstr>
  </property>
</Properties>
</file>