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15A72" w14:paraId="68B9C9A8" w14:textId="77777777" w:rsidTr="0010095E">
        <w:trPr>
          <w:trHeight w:hRule="exact" w:val="1418"/>
        </w:trPr>
        <w:tc>
          <w:tcPr>
            <w:tcW w:w="6804" w:type="dxa"/>
            <w:shd w:val="clear" w:color="auto" w:fill="auto"/>
            <w:vAlign w:val="center"/>
          </w:tcPr>
          <w:p w14:paraId="549DD1CB" w14:textId="77777777" w:rsidR="00751A4A" w:rsidRPr="00015A72" w:rsidRDefault="00812439" w:rsidP="0010095E">
            <w:pPr>
              <w:pStyle w:val="EPName"/>
            </w:pPr>
            <w:r w:rsidRPr="00015A72">
              <w:t>Europa-Parlamentet</w:t>
            </w:r>
          </w:p>
          <w:p w14:paraId="458629AB" w14:textId="77777777" w:rsidR="00751A4A" w:rsidRPr="00015A72" w:rsidRDefault="005F1B17" w:rsidP="005F1B17">
            <w:pPr>
              <w:pStyle w:val="EPTerm"/>
              <w:rPr>
                <w:rStyle w:val="HideTWBExt"/>
                <w:noProof w:val="0"/>
                <w:vanish w:val="0"/>
                <w:color w:val="auto"/>
              </w:rPr>
            </w:pPr>
            <w:r w:rsidRPr="00015A72">
              <w:t>2024</w:t>
            </w:r>
            <w:r w:rsidR="00817416" w:rsidRPr="00015A72">
              <w:t>-202</w:t>
            </w:r>
            <w:r w:rsidRPr="00015A72">
              <w:t>9</w:t>
            </w:r>
          </w:p>
        </w:tc>
        <w:tc>
          <w:tcPr>
            <w:tcW w:w="2268" w:type="dxa"/>
            <w:shd w:val="clear" w:color="auto" w:fill="auto"/>
          </w:tcPr>
          <w:p w14:paraId="46F9658E" w14:textId="77777777" w:rsidR="00751A4A" w:rsidRPr="00015A72" w:rsidRDefault="00187494" w:rsidP="0010095E">
            <w:pPr>
              <w:pStyle w:val="EPLogo"/>
            </w:pPr>
            <w:r w:rsidRPr="00015A72">
              <w:rPr>
                <w:noProof/>
                <w:lang w:eastAsia="ja-JP"/>
              </w:rPr>
              <w:drawing>
                <wp:inline distT="0" distB="0" distL="0" distR="0" wp14:anchorId="201A2149" wp14:editId="257B9E6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A7A2067" w14:textId="77777777" w:rsidR="00D058B8" w:rsidRPr="00015A72" w:rsidRDefault="00D058B8" w:rsidP="004C5D52">
      <w:pPr>
        <w:pStyle w:val="LineTop"/>
      </w:pPr>
    </w:p>
    <w:p w14:paraId="7A39D83F" w14:textId="77777777" w:rsidR="00680577" w:rsidRPr="00015A72" w:rsidRDefault="00812439" w:rsidP="00680577">
      <w:pPr>
        <w:pStyle w:val="EPBodyTA1"/>
      </w:pPr>
      <w:r w:rsidRPr="00015A72">
        <w:t>VEDTAGNE TEKSTER</w:t>
      </w:r>
    </w:p>
    <w:p w14:paraId="1829D802" w14:textId="77777777" w:rsidR="00D058B8" w:rsidRPr="00015A72" w:rsidRDefault="00D058B8" w:rsidP="00D058B8">
      <w:pPr>
        <w:pStyle w:val="LineBottom"/>
      </w:pPr>
    </w:p>
    <w:p w14:paraId="18508697" w14:textId="1F1F4773" w:rsidR="00812439" w:rsidRPr="00042196" w:rsidRDefault="00812439" w:rsidP="00812439">
      <w:pPr>
        <w:pStyle w:val="ATHeading1"/>
      </w:pPr>
      <w:bookmarkStart w:id="0" w:name="TANumber"/>
      <w:r w:rsidRPr="00042196">
        <w:t>P10_TA(2026)0</w:t>
      </w:r>
      <w:r w:rsidR="00DE1EF6">
        <w:t>183</w:t>
      </w:r>
      <w:bookmarkEnd w:id="0"/>
    </w:p>
    <w:p w14:paraId="64481BBB" w14:textId="77777777" w:rsidR="00812439" w:rsidRPr="00042196" w:rsidRDefault="00812439" w:rsidP="00812439">
      <w:pPr>
        <w:pStyle w:val="ATHeading2"/>
      </w:pPr>
      <w:bookmarkStart w:id="1" w:name="title"/>
      <w:r w:rsidRPr="00042196">
        <w:t>Muligheder og udfordringer i forbindelse med en omfattende strategi for kunstig intelligens for EU's handel</w:t>
      </w:r>
      <w:bookmarkEnd w:id="1"/>
    </w:p>
    <w:p w14:paraId="3D5CBCB6" w14:textId="77777777" w:rsidR="00812439" w:rsidRPr="00015A72" w:rsidRDefault="00812439" w:rsidP="00812439">
      <w:pPr>
        <w:rPr>
          <w:i/>
          <w:vanish/>
        </w:rPr>
      </w:pPr>
      <w:r w:rsidRPr="00015A72">
        <w:rPr>
          <w:i/>
        </w:rPr>
        <w:fldChar w:fldCharType="begin"/>
      </w:r>
      <w:r w:rsidRPr="00015A72">
        <w:rPr>
          <w:i/>
        </w:rPr>
        <w:instrText xml:space="preserve"> TC"(</w:instrText>
      </w:r>
      <w:bookmarkStart w:id="2" w:name="DocNumber"/>
      <w:r w:rsidRPr="00015A72">
        <w:rPr>
          <w:i/>
        </w:rPr>
        <w:instrText>A10-0122/2026</w:instrText>
      </w:r>
      <w:bookmarkEnd w:id="2"/>
      <w:r w:rsidRPr="00015A72">
        <w:rPr>
          <w:i/>
        </w:rPr>
        <w:instrText xml:space="preserve"> - Ordfører: Brando Benifei)"\l3 \n&gt; \* MERGEFORMAT </w:instrText>
      </w:r>
      <w:r w:rsidRPr="00015A72">
        <w:rPr>
          <w:i/>
        </w:rPr>
        <w:fldChar w:fldCharType="end"/>
      </w:r>
    </w:p>
    <w:p w14:paraId="29C05B8C" w14:textId="77777777" w:rsidR="00812439" w:rsidRPr="00015A72" w:rsidRDefault="00812439" w:rsidP="00812439">
      <w:pPr>
        <w:rPr>
          <w:vanish/>
        </w:rPr>
      </w:pPr>
      <w:bookmarkStart w:id="3" w:name="Commission"/>
      <w:r w:rsidRPr="00015A72">
        <w:rPr>
          <w:vanish/>
        </w:rPr>
        <w:t>Udvalget om International Handel</w:t>
      </w:r>
      <w:bookmarkEnd w:id="3"/>
    </w:p>
    <w:p w14:paraId="5384E3FF" w14:textId="77777777" w:rsidR="00812439" w:rsidRPr="00015A72" w:rsidRDefault="00812439" w:rsidP="00812439">
      <w:pPr>
        <w:rPr>
          <w:vanish/>
        </w:rPr>
      </w:pPr>
      <w:bookmarkStart w:id="4" w:name="PE"/>
      <w:r w:rsidRPr="00015A72">
        <w:rPr>
          <w:vanish/>
        </w:rPr>
        <w:t>PE784.156</w:t>
      </w:r>
      <w:bookmarkEnd w:id="4"/>
    </w:p>
    <w:p w14:paraId="2C2B9B2F" w14:textId="59092662" w:rsidR="00812439" w:rsidRPr="00042196" w:rsidRDefault="00812439" w:rsidP="00812439">
      <w:pPr>
        <w:pStyle w:val="ATHeading3"/>
      </w:pPr>
      <w:bookmarkStart w:id="5" w:name="Sujet"/>
      <w:r w:rsidRPr="00042196">
        <w:t xml:space="preserve">Europa-Parlamentets beslutning af </w:t>
      </w:r>
      <w:r w:rsidR="00015A72" w:rsidRPr="00042196">
        <w:t>20</w:t>
      </w:r>
      <w:r w:rsidRPr="00042196">
        <w:t>. maj 2026 om muligheder og udfordringer i forbindelse med en omfattende strategi for kunstig intelligens for EU's handel</w:t>
      </w:r>
      <w:bookmarkEnd w:id="5"/>
      <w:r w:rsidRPr="00042196">
        <w:t xml:space="preserve"> </w:t>
      </w:r>
      <w:bookmarkStart w:id="6" w:name="References"/>
      <w:r w:rsidRPr="00042196">
        <w:t>(2025/2112(INI))</w:t>
      </w:r>
      <w:bookmarkEnd w:id="6"/>
    </w:p>
    <w:p w14:paraId="6B53B55E" w14:textId="77777777" w:rsidR="005E5117" w:rsidRPr="00042196" w:rsidRDefault="005E5117" w:rsidP="005E5117">
      <w:pPr>
        <w:pStyle w:val="Normal12"/>
        <w:rPr>
          <w:i/>
          <w:iCs/>
        </w:rPr>
      </w:pPr>
      <w:r w:rsidRPr="00042196">
        <w:rPr>
          <w:i/>
          <w:iCs/>
        </w:rPr>
        <w:t>Europa-Parlamentet,</w:t>
      </w:r>
    </w:p>
    <w:p w14:paraId="0561C7D8" w14:textId="2D175642" w:rsidR="005E5117" w:rsidRPr="00015A72" w:rsidRDefault="005E5117" w:rsidP="005E5117">
      <w:pPr>
        <w:pStyle w:val="NormalHanging"/>
      </w:pPr>
      <w:r w:rsidRPr="00015A72">
        <w:t>–</w:t>
      </w:r>
      <w:r w:rsidRPr="00015A72">
        <w:tab/>
        <w:t>der henviser til Europa-Parlamentets og Rådets forordning (EU) 2024/1689 af 13. juni 2024 om harmoniserede regler for kunstig intelligens og om ændring af forordning (EF) nr. 300/2008, (EU) nr. 167/2013, (EU) nr. 168/2013, (EU) 2018/858, (EU) 2018/1139 og (EU) 2019/2144 samt direktiv 2014/90/EU, (EU) 2016/797 og (EU) 2020/1828 (forordningen om kunstig intelligens)</w:t>
      </w:r>
      <w:r w:rsidR="005D0BF6" w:rsidRPr="00015A72">
        <w:rPr>
          <w:rStyle w:val="FootnoteReference"/>
        </w:rPr>
        <w:footnoteReference w:id="1"/>
      </w:r>
      <w:r w:rsidRPr="00015A72">
        <w:t>,</w:t>
      </w:r>
    </w:p>
    <w:p w14:paraId="133C6424" w14:textId="0CB5F625" w:rsidR="005E5117" w:rsidRPr="00015A72" w:rsidRDefault="005E5117" w:rsidP="005E5117">
      <w:pPr>
        <w:pStyle w:val="NormalHanging"/>
      </w:pPr>
      <w:r w:rsidRPr="00015A72">
        <w:t>–</w:t>
      </w:r>
      <w:r w:rsidRPr="00015A72">
        <w:tab/>
        <w:t>der henviser til Europa-Parlamentets og Rådets forordning (EU) 2016/679 af 27. april 2016 om beskyttelse af fysiske personer i forbindelse med behandling af personoplysninger og om fri udveksling af sådanne oplysninger og om ophævelse af direktiv 95/46/EF (generel forordning om databeskyttelse)</w:t>
      </w:r>
      <w:r w:rsidR="005D0BF6" w:rsidRPr="00015A72">
        <w:rPr>
          <w:rStyle w:val="FootnoteReference"/>
        </w:rPr>
        <w:footnoteReference w:id="2"/>
      </w:r>
      <w:r w:rsidRPr="00015A72">
        <w:t>,</w:t>
      </w:r>
    </w:p>
    <w:p w14:paraId="0EDA752D" w14:textId="10088114" w:rsidR="005E5117" w:rsidRPr="00015A72" w:rsidRDefault="005E5117" w:rsidP="005E5117">
      <w:pPr>
        <w:pStyle w:val="NormalHanging"/>
      </w:pPr>
      <w:r w:rsidRPr="00015A72">
        <w:t>–</w:t>
      </w:r>
      <w:r w:rsidRPr="00015A72">
        <w:tab/>
        <w:t>der henviser til Europa-Parlamentets og Rådets forordning (EU) 2023/1781 af 13. september 2023 om en ramme for foranstaltninger til styrkelse af det europæiske økosystem for halvledere og om ændring af forordning (EU) 2021/694 (mikrochipforordningen)</w:t>
      </w:r>
      <w:r w:rsidR="005D0BF6" w:rsidRPr="00015A72">
        <w:rPr>
          <w:rStyle w:val="FootnoteReference"/>
        </w:rPr>
        <w:footnoteReference w:id="3"/>
      </w:r>
      <w:r w:rsidRPr="00015A72">
        <w:t>,</w:t>
      </w:r>
    </w:p>
    <w:p w14:paraId="6DCDE662" w14:textId="28FA54BF" w:rsidR="005E5117" w:rsidRPr="00015A72" w:rsidRDefault="005E5117" w:rsidP="005E5117">
      <w:pPr>
        <w:pStyle w:val="NormalHanging"/>
      </w:pPr>
      <w:r w:rsidRPr="00015A72">
        <w:t>–</w:t>
      </w:r>
      <w:r w:rsidRPr="00015A72">
        <w:tab/>
        <w:t>der henviser til Europa-Parlamentets og Rådets forordning (EU) 2024/1252 af 11. april 2024 om fastlæggelse af en ramme for at sikre en sikker og bæredygtig forsyning med kritiske råstoffer og om ændring af forordning (EU) nr. 168/2013, (EU) 2018/858, (EU) 2018/1724 og (EU) 2019/1020 (forordningen om kritiske råstoffer)</w:t>
      </w:r>
      <w:r w:rsidR="005D0BF6" w:rsidRPr="00015A72">
        <w:rPr>
          <w:rStyle w:val="FootnoteReference"/>
        </w:rPr>
        <w:footnoteReference w:id="4"/>
      </w:r>
      <w:r w:rsidRPr="00015A72">
        <w:t>,</w:t>
      </w:r>
    </w:p>
    <w:p w14:paraId="0F0C2FCC" w14:textId="77777777" w:rsidR="005E5117" w:rsidRPr="00015A72" w:rsidRDefault="005E5117" w:rsidP="005E5117">
      <w:pPr>
        <w:pStyle w:val="NormalHanging"/>
      </w:pPr>
      <w:r w:rsidRPr="00015A72">
        <w:t>–</w:t>
      </w:r>
      <w:r w:rsidRPr="00015A72">
        <w:tab/>
        <w:t>der henviser til resultaterne af ministermødet om kritiske mineraler i Washington D.C. den 4. februar 2026 og til det igangværende samarbejde mellem EU og USA om at diversificere og styrke sikre og bæredygtige forsyningskæder for kritiske råstoffer, der er afgørende for EU's konkurrenceevne, avancerede teknologier og modstandsdygtighed på de globale markeder,</w:t>
      </w:r>
    </w:p>
    <w:p w14:paraId="619251B1" w14:textId="5E955A91" w:rsidR="005E5117" w:rsidRPr="00015A72" w:rsidRDefault="005E5117" w:rsidP="005E5117">
      <w:pPr>
        <w:pStyle w:val="NormalHanging"/>
      </w:pPr>
      <w:r w:rsidRPr="00015A72">
        <w:lastRenderedPageBreak/>
        <w:t>–</w:t>
      </w:r>
      <w:r w:rsidRPr="00015A72">
        <w:tab/>
        <w:t>der henviser til Europa-Parlamentets og Rådets forordning (EU) 2019/452 af 19. marts 2019 om et regelsæt for screening af udenlandske direkte investeringer i Unionen</w:t>
      </w:r>
      <w:r w:rsidR="005D0BF6" w:rsidRPr="00015A72">
        <w:rPr>
          <w:rStyle w:val="FootnoteReference"/>
        </w:rPr>
        <w:footnoteReference w:id="5"/>
      </w:r>
      <w:r w:rsidRPr="00015A72">
        <w:t>,</w:t>
      </w:r>
    </w:p>
    <w:p w14:paraId="4554D010" w14:textId="404D9E43" w:rsidR="005E5117" w:rsidRPr="00015A72" w:rsidRDefault="005E5117" w:rsidP="005E5117">
      <w:pPr>
        <w:pStyle w:val="NormalHanging"/>
      </w:pPr>
      <w:r w:rsidRPr="00015A72">
        <w:t>–</w:t>
      </w:r>
      <w:r w:rsidRPr="00015A72">
        <w:tab/>
        <w:t>der henviser til Europa-Parlamentets og Rådets forordning (EU) 2023/2675 af 22. november 2023 om beskyttelse af Unionen og dens medlemsstater mod tredjelandes økonomiske tvang</w:t>
      </w:r>
      <w:r w:rsidR="005D0BF6" w:rsidRPr="00015A72">
        <w:rPr>
          <w:rStyle w:val="FootnoteReference"/>
        </w:rPr>
        <w:footnoteReference w:id="6"/>
      </w:r>
      <w:r w:rsidRPr="00015A72">
        <w:t>,</w:t>
      </w:r>
    </w:p>
    <w:p w14:paraId="61BECAB4" w14:textId="5FB12450" w:rsidR="005E5117" w:rsidRPr="00015A72" w:rsidRDefault="005E5117" w:rsidP="005E5117">
      <w:pPr>
        <w:pStyle w:val="NormalHanging"/>
      </w:pPr>
      <w:r w:rsidRPr="00015A72">
        <w:t>–</w:t>
      </w:r>
      <w:r w:rsidRPr="00015A72">
        <w:tab/>
        <w:t>der henviser til Europa-Parlamentets og Rådets forordning (EU) 2021/821 af 20. maj 2021 om en EU-ordning for kontrol med eksport, mæglervirksomhed, teknisk bistand, transit og overførsel i forbindelse med produkter med dobbelt anvendelse</w:t>
      </w:r>
      <w:r w:rsidR="005D0BF6" w:rsidRPr="00015A72">
        <w:rPr>
          <w:rStyle w:val="FootnoteReference"/>
        </w:rPr>
        <w:footnoteReference w:id="7"/>
      </w:r>
      <w:r w:rsidRPr="00015A72">
        <w:t xml:space="preserve"> ("forordning om produkter med dobbelt anvendelse"),</w:t>
      </w:r>
    </w:p>
    <w:p w14:paraId="6F7353DF" w14:textId="77777777" w:rsidR="005E5117" w:rsidRPr="00015A72" w:rsidRDefault="005E5117" w:rsidP="005E5117">
      <w:pPr>
        <w:pStyle w:val="NormalHanging"/>
      </w:pPr>
      <w:r w:rsidRPr="00015A72">
        <w:t>–</w:t>
      </w:r>
      <w:r w:rsidRPr="00015A72">
        <w:tab/>
        <w:t>der henviser til Kommissionens meddelelse af 19. november 2025 med titlen "Strategien for dataunionen - Frigørelse af data til kunstig intelligens" (COM(2025)0835),</w:t>
      </w:r>
    </w:p>
    <w:p w14:paraId="36659536" w14:textId="455EF2A7" w:rsidR="005E5117" w:rsidRPr="00015A72" w:rsidRDefault="005E5117" w:rsidP="005E5117">
      <w:pPr>
        <w:pStyle w:val="NormalHanging"/>
      </w:pPr>
      <w:r w:rsidRPr="00015A72">
        <w:t>–</w:t>
      </w:r>
      <w:r w:rsidRPr="00015A72">
        <w:tab/>
        <w:t>der henviser til Kommissionens meddelelse af 24. januar 2024 med titlen "Fremme af økonomisk sikkerhed i Europa: præsentation af fem nye initiativer" (COM(2024</w:t>
      </w:r>
      <w:r w:rsidR="00EA117F">
        <w:t>)00</w:t>
      </w:r>
      <w:r w:rsidRPr="00015A72">
        <w:t>22</w:t>
      </w:r>
      <w:r w:rsidR="00E24BB6" w:rsidRPr="00015A72">
        <w:t xml:space="preserve"> final</w:t>
      </w:r>
      <w:r w:rsidRPr="00015A72">
        <w:t>),</w:t>
      </w:r>
    </w:p>
    <w:p w14:paraId="721A148D" w14:textId="77777777" w:rsidR="005E5117" w:rsidRPr="00015A72" w:rsidRDefault="005E5117" w:rsidP="005E5117">
      <w:pPr>
        <w:pStyle w:val="NormalHanging"/>
      </w:pPr>
      <w:r w:rsidRPr="00015A72">
        <w:t>–</w:t>
      </w:r>
      <w:r w:rsidRPr="00015A72">
        <w:tab/>
        <w:t>der henviser til den fælles meddelelse af 3. december 2025 fra Kommissionen og Unionens højtstående repræsentant for udenrigsanliggender og sikkerhedspolitik med titlen "Styrkelse af EU’s økonomiske sikkerhed" (JOIN(2025)0977),</w:t>
      </w:r>
    </w:p>
    <w:p w14:paraId="6D93608D" w14:textId="77777777" w:rsidR="005E5117" w:rsidRPr="00015A72" w:rsidRDefault="005E5117" w:rsidP="005E5117">
      <w:pPr>
        <w:pStyle w:val="NormalHanging"/>
      </w:pPr>
      <w:r w:rsidRPr="00015A72">
        <w:t>–</w:t>
      </w:r>
      <w:r w:rsidRPr="00015A72">
        <w:tab/>
        <w:t>der henviser til den fælles meddelelse af 5. juni 2025 fra Kommissionen og Unionens højtstående repræsentant for udenrigsanliggender og sikkerhedspolitik med titlen "En international digital strategi for Den Europæiske Union" (JOIN(2025)0140),</w:t>
      </w:r>
    </w:p>
    <w:p w14:paraId="49EC00D3" w14:textId="77777777" w:rsidR="005E5117" w:rsidRPr="00015A72" w:rsidRDefault="005E5117" w:rsidP="005E5117">
      <w:pPr>
        <w:pStyle w:val="NormalHanging"/>
      </w:pPr>
      <w:r w:rsidRPr="00015A72">
        <w:t>–</w:t>
      </w:r>
      <w:r w:rsidRPr="00015A72">
        <w:tab/>
        <w:t>der henviser til Kommissionens meddelelse af 9. april 2025 med titlen "Handlingsplan for AI-kontinentet (COM(2025)0165),</w:t>
      </w:r>
    </w:p>
    <w:p w14:paraId="7DE88560" w14:textId="4FD5B87F" w:rsidR="005E5117" w:rsidRPr="00015A72" w:rsidRDefault="005E5117" w:rsidP="005E5117">
      <w:pPr>
        <w:pStyle w:val="NormalHanging"/>
      </w:pPr>
      <w:r w:rsidRPr="00015A72">
        <w:t>–</w:t>
      </w:r>
      <w:r w:rsidRPr="00015A72">
        <w:tab/>
        <w:t>der henviser til Kommissionens meddelelse af 8. oktober</w:t>
      </w:r>
      <w:r w:rsidR="00EA117F">
        <w:t xml:space="preserve"> 2025</w:t>
      </w:r>
      <w:r w:rsidRPr="00015A72">
        <w:t xml:space="preserve"> med titlen "Strategi for anvendelse af kunstig intelligens" (COM(2025)0723),</w:t>
      </w:r>
    </w:p>
    <w:p w14:paraId="5C51B533" w14:textId="77777777" w:rsidR="005E5117" w:rsidRPr="00015A72" w:rsidRDefault="005E5117" w:rsidP="005E5117">
      <w:pPr>
        <w:pStyle w:val="NormalHanging"/>
      </w:pPr>
      <w:r w:rsidRPr="00015A72">
        <w:t>–</w:t>
      </w:r>
      <w:r w:rsidRPr="00015A72">
        <w:tab/>
        <w:t xml:space="preserve">der henviser til Mario </w:t>
      </w:r>
      <w:proofErr w:type="spellStart"/>
      <w:r w:rsidRPr="00015A72">
        <w:t>Draghis</w:t>
      </w:r>
      <w:proofErr w:type="spellEnd"/>
      <w:r w:rsidRPr="00015A72">
        <w:t xml:space="preserve"> rapport af 9. september 2024 med titlen "The future of European </w:t>
      </w:r>
      <w:proofErr w:type="spellStart"/>
      <w:r w:rsidRPr="00015A72">
        <w:t>competitiveness</w:t>
      </w:r>
      <w:proofErr w:type="spellEnd"/>
      <w:r w:rsidRPr="00015A72">
        <w:t>" (Fremtiden for den europæiske konkurrenceevne) (</w:t>
      </w:r>
      <w:proofErr w:type="spellStart"/>
      <w:r w:rsidRPr="00015A72">
        <w:t>Draghirapporten</w:t>
      </w:r>
      <w:proofErr w:type="spellEnd"/>
      <w:r w:rsidRPr="00015A72">
        <w:t>),</w:t>
      </w:r>
    </w:p>
    <w:p w14:paraId="45A15326" w14:textId="77777777" w:rsidR="005E5117" w:rsidRPr="00015A72" w:rsidRDefault="005E5117" w:rsidP="005E5117">
      <w:pPr>
        <w:pStyle w:val="NormalHanging"/>
      </w:pPr>
      <w:r w:rsidRPr="00015A72">
        <w:t>–</w:t>
      </w:r>
      <w:r w:rsidRPr="00015A72">
        <w:tab/>
        <w:t xml:space="preserve">der henviser til Enrico </w:t>
      </w:r>
      <w:proofErr w:type="spellStart"/>
      <w:r w:rsidRPr="00015A72">
        <w:t>Lettas</w:t>
      </w:r>
      <w:proofErr w:type="spellEnd"/>
      <w:r w:rsidRPr="00015A72">
        <w:t xml:space="preserve"> rapport af 10. april 2024 med titlen "Much more </w:t>
      </w:r>
      <w:proofErr w:type="spellStart"/>
      <w:r w:rsidRPr="00015A72">
        <w:t>than</w:t>
      </w:r>
      <w:proofErr w:type="spellEnd"/>
      <w:r w:rsidRPr="00015A72">
        <w:t xml:space="preserve"> a </w:t>
      </w:r>
      <w:proofErr w:type="spellStart"/>
      <w:r w:rsidRPr="00015A72">
        <w:t>market</w:t>
      </w:r>
      <w:proofErr w:type="spellEnd"/>
      <w:r w:rsidRPr="00015A72">
        <w:t>" (Meget mere end et marked) (</w:t>
      </w:r>
      <w:proofErr w:type="spellStart"/>
      <w:r w:rsidRPr="00015A72">
        <w:t>Lettarapporten</w:t>
      </w:r>
      <w:proofErr w:type="spellEnd"/>
      <w:r w:rsidRPr="00015A72">
        <w:t>),</w:t>
      </w:r>
    </w:p>
    <w:p w14:paraId="58FFA8AD" w14:textId="5F65A050" w:rsidR="005E5117" w:rsidRPr="00015A72" w:rsidRDefault="005E5117" w:rsidP="005E5117">
      <w:pPr>
        <w:pStyle w:val="NormalHanging"/>
      </w:pPr>
      <w:r w:rsidRPr="00015A72">
        <w:t>–</w:t>
      </w:r>
      <w:r w:rsidRPr="00015A72">
        <w:tab/>
        <w:t>der henviser til sin beslutning af 9. juli 2025 om produktsikkerhed og overholdelse af regler i forbindelse med e-handel og import fra lande uden for EU</w:t>
      </w:r>
      <w:r w:rsidR="005D0BF6" w:rsidRPr="00015A72">
        <w:rPr>
          <w:rStyle w:val="FootnoteReference"/>
        </w:rPr>
        <w:footnoteReference w:id="8"/>
      </w:r>
      <w:r w:rsidRPr="00015A72">
        <w:t>,</w:t>
      </w:r>
    </w:p>
    <w:p w14:paraId="62F6E6D0" w14:textId="4E851225" w:rsidR="005E5117" w:rsidRPr="00015A72" w:rsidRDefault="005E5117" w:rsidP="005E5117">
      <w:pPr>
        <w:pStyle w:val="NormalHanging"/>
      </w:pPr>
      <w:r w:rsidRPr="00015A72">
        <w:lastRenderedPageBreak/>
        <w:t>–</w:t>
      </w:r>
      <w:r w:rsidRPr="00015A72">
        <w:tab/>
        <w:t>der henviser til sin beslutning af 13. november 2025 om udkast til Rådets afgørelse om indgåelse af aftalen om digital handling mellem Den Europæiske Union og Republikken Singapore</w:t>
      </w:r>
      <w:r w:rsidR="005D0BF6" w:rsidRPr="00015A72">
        <w:rPr>
          <w:rStyle w:val="FootnoteReference"/>
        </w:rPr>
        <w:footnoteReference w:id="9"/>
      </w:r>
      <w:r w:rsidRPr="00015A72">
        <w:t>,</w:t>
      </w:r>
    </w:p>
    <w:p w14:paraId="35019DF8" w14:textId="77777777" w:rsidR="005E5117" w:rsidRPr="00015A72" w:rsidRDefault="005E5117" w:rsidP="005E5117">
      <w:pPr>
        <w:pStyle w:val="NormalHanging"/>
      </w:pPr>
      <w:r w:rsidRPr="00015A72">
        <w:t>–</w:t>
      </w:r>
      <w:r w:rsidRPr="00015A72">
        <w:tab/>
        <w:t>der henviser til den vigtige rolle, som Verdenshandelsorganisationen (WTO) spiller med hensyn til at opretholde et regelbaseret multilateralt handelssystem, og til dets betydning for udbredelsen af fremspirende teknologier, herunder kunstig intelligens, i international handel,</w:t>
      </w:r>
    </w:p>
    <w:p w14:paraId="1A15F5DC" w14:textId="77777777" w:rsidR="005E5117" w:rsidRPr="00015A72" w:rsidRDefault="005E5117" w:rsidP="005E5117">
      <w:pPr>
        <w:pStyle w:val="NormalHanging"/>
      </w:pPr>
      <w:r w:rsidRPr="00015A72">
        <w:t>–</w:t>
      </w:r>
      <w:r w:rsidRPr="00015A72">
        <w:tab/>
        <w:t>der henviser til WTO's regler, navnlig principperne om ikkeforskelsbehandling og gennemsigtighed i forbindelse med eksportrestriktioner,</w:t>
      </w:r>
    </w:p>
    <w:p w14:paraId="5785A654" w14:textId="77777777" w:rsidR="005E5117" w:rsidRPr="00015A72" w:rsidRDefault="005E5117" w:rsidP="005E5117">
      <w:pPr>
        <w:pStyle w:val="NormalHanging"/>
      </w:pPr>
      <w:r w:rsidRPr="00015A72">
        <w:t>–</w:t>
      </w:r>
      <w:r w:rsidRPr="00015A72">
        <w:tab/>
        <w:t>der henviser til forretningsordenens artikel 55,</w:t>
      </w:r>
    </w:p>
    <w:p w14:paraId="3D4AC134" w14:textId="77777777" w:rsidR="005E5117" w:rsidRPr="00015A72" w:rsidRDefault="005E5117" w:rsidP="005E5117">
      <w:pPr>
        <w:pStyle w:val="NormalHanging"/>
      </w:pPr>
      <w:r w:rsidRPr="00015A72">
        <w:t>–</w:t>
      </w:r>
      <w:r w:rsidRPr="00015A72">
        <w:tab/>
        <w:t>der henviser til betænkning fra Udvalget om International Handel (A10-0122/2026),</w:t>
      </w:r>
    </w:p>
    <w:p w14:paraId="77E2B5D0" w14:textId="77777777" w:rsidR="005E5117" w:rsidRPr="00015A72" w:rsidRDefault="005E5117" w:rsidP="005E5117">
      <w:pPr>
        <w:pStyle w:val="NormalHanging"/>
      </w:pPr>
      <w:r w:rsidRPr="00015A72">
        <w:t>A.</w:t>
      </w:r>
      <w:r w:rsidRPr="00015A72">
        <w:tab/>
        <w:t>der henviser til, at kunstig intelligens (AI) er en alment anvendelig teknologi, der omformer EU's handel med varer, tjenester og datastrømme; der henviser til, at AI har potentiale til at sænke informations- og overholdelsesomkostningerne, ændre forsyningskædeforvaltningen og udvide digitalt leverede tjenester; der henviser til, at AI og magtdynamikken med hensyn til ejerskab af teknologi udgør både betydelige udfordringer og transformative muligheder for EU's konkurrenceevne på handelsområdet; der henviser til, at EU's handelspolitik er afgørende for at sikre en helhedsorienteret ekstern AI-strategi, der kombinerer åbenhed, gennemsigtighed og sikkerhed med modstandsdygtighed og respekt for grundlæggende rettigheder og støtter forudsigelige grænseoverskridende operationer; der henviser til, at AI giver betydelige muligheder for at øge effektiviteten og sikkerheden af toldkontrollen og markedsovervågningen i Den Europæiske Union og bekæmpe svig, forfalskning og urimelig handelspraksis;</w:t>
      </w:r>
    </w:p>
    <w:p w14:paraId="4F65E92B" w14:textId="77777777" w:rsidR="005E5117" w:rsidRPr="00015A72" w:rsidRDefault="005E5117" w:rsidP="005E5117">
      <w:pPr>
        <w:pStyle w:val="NormalHanging"/>
      </w:pPr>
      <w:r w:rsidRPr="00015A72">
        <w:t>B.</w:t>
      </w:r>
      <w:r w:rsidRPr="00015A72">
        <w:tab/>
        <w:t>der henviser til, at den hurtige udbredelse og anvendelse af AI bidrager til strukturelle ændringer i organiseringen, geografien og forvaltningen af den internationale handel med tjenesteydelser med konsekvenser for konkurrenceevnen, beskæftigelsen og udviklingen; der henviser til, at open source-AI-løsninger giver betydelige fordele, herunder reducerede omkostninger og øget databeskyttelse via lokal udbredelse, hvilket bidrager til øget sund konkurrence inden for kunstig intelligens og mindre afhængighed af udbydere uden for EU; der henviser til, at disse ændringer interagerer med eksisterende mangler i spørgsmål om produktionskapacitet, infrastruktur og færdigheder i og uden for EU; der henviser til, at opretholdelsen af en åben, modstandsdygtig og inklusiv bæredygtig handelsmodel kræver en sammenhængende og helhedsorienteret strategi for håndtering af AI-drevne ændringer; der henviser til, at EU's eksterne økonomiske forbindelser, herunder med partnere i det globale syd, bør støtte inklusiv udbredelse af AI og fælles værdiskabelse og samtidig fremme en menneskecentreret model, som er baseret på princippet om etik som standard, og som har fokus på at støtte den menneskelige værdighed;</w:t>
      </w:r>
    </w:p>
    <w:p w14:paraId="13AEF329" w14:textId="77777777" w:rsidR="005E5117" w:rsidRPr="00015A72" w:rsidRDefault="005E5117" w:rsidP="005E5117">
      <w:pPr>
        <w:pStyle w:val="NormalHanging"/>
      </w:pPr>
      <w:r w:rsidRPr="00015A72">
        <w:t>C.</w:t>
      </w:r>
      <w:r w:rsidRPr="00015A72">
        <w:tab/>
        <w:t xml:space="preserve">der henviser til, at grænseoverskridende datastrømme og adgang til data er afgørende for udvikling, træning og udbredelse af AI, men skal undersøges nøje for at sikre, at der fortsat garanteres et højt databeskyttelsesniveau, navnlig for følsomme </w:t>
      </w:r>
      <w:r w:rsidRPr="00015A72">
        <w:lastRenderedPageBreak/>
        <w:t xml:space="preserve">personoplysninger såsom sundhedsdata; der henviser til, at regler for digital handel i stigende grad former </w:t>
      </w:r>
      <w:proofErr w:type="spellStart"/>
      <w:r w:rsidRPr="00015A72">
        <w:t>AI's</w:t>
      </w:r>
      <w:proofErr w:type="spellEnd"/>
      <w:r w:rsidRPr="00015A72">
        <w:t xml:space="preserve"> konkurrenceevne, hvilket understreger behovet for bestemmelser om reguleringssamarbejde i fremtidige handelsaftaler og modernisering af eksisterende aftaler; der henviser til, EU's menneskecentrerede ramme, der er forankret i den generelle forordning om databeskyttelse (GDPR) og forordningen om kunstig intelligens, udgør en troværdig model for pålidelig AI, der, såfremt den fremmes internationalt, kan blive en konkurrencefordel på markeder, der værdsætter gennemsigtighed og forvaltning baseret på respekt for rettigheder; der henviser til, at WTO kan være det rette forum for multilaterale drøftelser om AI og handel med henblik på at tackle konkurrenceforvridninger, handelshindringer og risici for lovgivningsmæssig fragmentering og sikre forudsigelig og retfærdig digital handel, der respekterer rettigheder;</w:t>
      </w:r>
    </w:p>
    <w:p w14:paraId="39B32BE2" w14:textId="77777777" w:rsidR="005E5117" w:rsidRPr="00015A72" w:rsidRDefault="005E5117" w:rsidP="005E5117">
      <w:pPr>
        <w:pStyle w:val="NormalHanging"/>
      </w:pPr>
      <w:r w:rsidRPr="00015A72">
        <w:t>D.</w:t>
      </w:r>
      <w:r w:rsidRPr="00015A72">
        <w:tab/>
        <w:t xml:space="preserve">der henviser til, at anvendelsen af AI fortsat er ujævn på tværs af sektorer, regioner og virksomhedsstørrelser, og at der er fordele for aktører, som kontrollerer data, computerkraft og færdigheder, hvilket risikerer at øge produktivitets- og eksportkløften for små og mellemstore virksomheder (SMV'er) og virksomheder, der indfører AI på et senere tidspunkt; der henviser til, at den AI-baserede handels konkurrenceevne afhænger af adgang til data, databehandlingskapacitet, energi, </w:t>
      </w:r>
      <w:proofErr w:type="spellStart"/>
      <w:r w:rsidRPr="00015A72">
        <w:t>konnektivitet</w:t>
      </w:r>
      <w:proofErr w:type="spellEnd"/>
      <w:r w:rsidRPr="00015A72">
        <w:t>, kapital og færdigheder, samt at mange af disse faktorer påvirkes af handels- og investeringsforbindelser; der henviser til, at EU kun tiltrak 6 % af de globale investeringer i nystartede AI-virksomheder i første halvdel af 2024, hvilket har skabt strukturel afhængighed, som har indvirkning på handelsforbindelserne og den europæiske strategiske autonomi; der henviser til, at fair adgang til AI-infrastruktur er afgørende for, at SMV'er kan forblive konkurrencedygtige, da de står over for betydelige hindringer sammenlignet med store virksomheder, herunder høje omkostninger til beregningsressourcer, begrænset dataadgang og mangel på teknisk talent;</w:t>
      </w:r>
    </w:p>
    <w:p w14:paraId="29A75B96" w14:textId="77777777" w:rsidR="005E5117" w:rsidRPr="00015A72" w:rsidRDefault="005E5117" w:rsidP="005E5117">
      <w:pPr>
        <w:pStyle w:val="NormalHanging"/>
      </w:pPr>
      <w:r w:rsidRPr="00015A72">
        <w:t>E.</w:t>
      </w:r>
      <w:r w:rsidRPr="00015A72">
        <w:tab/>
        <w:t>der henviser til, at AI fortsat er en teknologi i hastig udvikling; der henviser til, at for tidlig eller overdreven reguleringsmæssig indgriben risikerer at underminere innovation, investeringer og konkurrenceevne; der henviser til, at en forholdsmæssig, risikobaseret og innovationsvenlig tilgang er afgørende;</w:t>
      </w:r>
    </w:p>
    <w:p w14:paraId="14716535" w14:textId="77777777" w:rsidR="005E5117" w:rsidRPr="00015A72" w:rsidRDefault="005E5117" w:rsidP="005E5117">
      <w:pPr>
        <w:pStyle w:val="NormalHanging"/>
      </w:pPr>
      <w:r w:rsidRPr="00015A72">
        <w:t>F.</w:t>
      </w:r>
      <w:r w:rsidRPr="00015A72">
        <w:tab/>
        <w:t>der henviser til, at AI-forsyningskæden er stærkt koncentreret i et lille antal lande og regioner, hvilket skaber en risiko for afhængighed af adgang til kritisk computerkraft, råstoffer og halvledere; der henviser til, at udenlandsk ejet kritisk AI-infrastruktur øger risikoen for udenlandsk informationsmanipulation og indblanding; der henviser til, at misbrug af algoritmer kan undergrave demokratiet og forværre de aktuelle geopolitiske handelsspændinger; der henviser til, at en intensivering af den globale teknologiske konkurrence, der er præget af divergerende AI-forvaltningsmodeller, toldeskalering og eksportkontrol af kritiske teknologier, øger risikoen for, at adgangen til vigtige AI-input vil blive anvendt som et geopolitisk middel til at udøve indflydelse. der henviser til, at ekstern indblanding i visse tilfælde risikerer at udvande EU's høje standarder for gennemsigtighed, ansvarlighed og beskyttelse af grundlæggende rettigheder og dermed kompromittere Unionens evne til at værne om sine værdier, sikre lige vilkår for virksomheder og beskytte borgerne mod risiciene ved ureguleret AI og digitale teknologier. der henviser til, at EU fortsat bør forsvare disse standarder; der henviser til, at EU bør styrke den strategiske autonomi ved at diversificere forsyningskæderne og uddybe samarbejdet med betroede partnere, der deler demokratiske værdier og et engagement i åben og regelbaseret handel.</w:t>
      </w:r>
    </w:p>
    <w:p w14:paraId="5D446251" w14:textId="77777777" w:rsidR="005E5117" w:rsidRPr="00015A72" w:rsidRDefault="005E5117" w:rsidP="005E5117">
      <w:pPr>
        <w:pStyle w:val="NormalHanging"/>
      </w:pPr>
      <w:r w:rsidRPr="00015A72">
        <w:lastRenderedPageBreak/>
        <w:t>G.</w:t>
      </w:r>
      <w:r w:rsidRPr="00015A72">
        <w:tab/>
        <w:t>der henviser til, at udvikling og indførelse af AI er afhængig af adgang til globale markeder og teknologier, som påvirkes af handelspolitiske rammer; der henviser til, at WTO støtter udvikling og indførelse af AI ved at muliggøre en mere åben, gennemsigtig og forudsigelig handel med AI-baserede varer og tjenesteydelser; der henviser til, at eksisterende WTO-aftaler allerede yder betydelige bidrag til udvikling og indførelse af AI, herunder informationsteknologioverenskomsten, som sænker omkostningerne til udbredelse af AI-hardware, aftalen om tekniske handelshindringer, som fremmer lovgivningsmæssig gennemsigtighed og internationale standarder, den almindelige overenskomst om handel med tjenesteydelser, som letter handelen med AI-relaterede tjenesteydelser, og aftalen om handelsrelaterede intellektuelle ejendomsrettigheder, som støtter udvikling og formidling af AI;</w:t>
      </w:r>
    </w:p>
    <w:p w14:paraId="237CA2E1" w14:textId="77777777" w:rsidR="005E5117" w:rsidRPr="00015A72" w:rsidRDefault="005E5117" w:rsidP="005E5117">
      <w:pPr>
        <w:pStyle w:val="NormalHanging"/>
      </w:pPr>
      <w:r w:rsidRPr="00015A72">
        <w:t>H.</w:t>
      </w:r>
      <w:r w:rsidRPr="00015A72">
        <w:tab/>
        <w:t xml:space="preserve">der henviser til, at </w:t>
      </w:r>
      <w:proofErr w:type="spellStart"/>
      <w:r w:rsidRPr="00015A72">
        <w:t>AI's</w:t>
      </w:r>
      <w:proofErr w:type="spellEnd"/>
      <w:r w:rsidRPr="00015A72">
        <w:t xml:space="preserve"> dobbelte anvendelse og voksende militarisering, herunder dens anvendelse i nuværende konflikter såsom Ruslands angrebskrig mod Ukraine, fremskynder et skift fra sikkerhedsfokuseret samarbejde til AI-drevet geoøkonomisk og sikkerhedsmæssig konkurrence; der henviser til, at AI-forvaltning, eksportkontrol og standarder i stigende grad anvendes som værktøjer til strategisk indflydelse og magtprojektion.</w:t>
      </w:r>
    </w:p>
    <w:p w14:paraId="7F816953" w14:textId="77777777" w:rsidR="005E5117" w:rsidRPr="00015A72" w:rsidRDefault="005E5117" w:rsidP="005E5117">
      <w:pPr>
        <w:pStyle w:val="NormalHanging"/>
      </w:pPr>
      <w:r w:rsidRPr="00015A72">
        <w:t>I.</w:t>
      </w:r>
      <w:r w:rsidRPr="00015A72">
        <w:tab/>
        <w:t>der henviser til, at AI kan anvendes i våbensystemer og masseovervågningsværktøjer; der henviser til, at en sådan praksis vil skabe dybtgående etiske og menneskerettighedsmæssige bekymringer; der henviser til, at FN's generalsekretær har opfordret til et globalt forbud mod dødbringende autonome våbensystemer, maskiner, der er i stand til at tage menneskeliv uden menneskeligt tilsyn.</w:t>
      </w:r>
    </w:p>
    <w:p w14:paraId="22B2A252" w14:textId="77777777" w:rsidR="005E5117" w:rsidRPr="00015A72" w:rsidRDefault="005E5117" w:rsidP="005E5117">
      <w:pPr>
        <w:pStyle w:val="Normal12a"/>
      </w:pPr>
      <w:r w:rsidRPr="00015A72">
        <w:rPr>
          <w:b/>
          <w:i/>
        </w:rPr>
        <w:t>AI med henblik på handelslettelser og håndhævelse af lovgivningen</w:t>
      </w:r>
    </w:p>
    <w:p w14:paraId="3A09DF5C" w14:textId="77777777" w:rsidR="005E5117" w:rsidRPr="00015A72" w:rsidRDefault="005E5117" w:rsidP="005E5117">
      <w:pPr>
        <w:pStyle w:val="NormalHanging12a"/>
      </w:pPr>
      <w:r w:rsidRPr="00015A72">
        <w:t>1.</w:t>
      </w:r>
      <w:r w:rsidRPr="00015A72">
        <w:tab/>
        <w:t>anerkender, at AI kan fremskynde EU's eksport og import, navnlig for SMV'er, ved at mindske hindringerne for markedsadgang og overholdelsesomkostningerne, hvilket gør det muligt for virksomheder at nå ud til markeder, som tidligere var uden for deres rækkevidde, forudsat at SMV'er har rimelig adgang til AI-infrastruktur; opfordrer Kommissionen til at integrere pålidelige AI-rådgivningstjenester i Access2Markets-portalen og det fælles kontaktpunkt for at navigere i toldsatser, oprindelsesregler og lovgivningsmæssige krav; opfordrer Kommissionen til at prioritere SMV-venlige AI-værktøjer og sikre, at digitale overholdelsesløsninger forbliver enkle, økonomisk overkommelige og tilgængelige;</w:t>
      </w:r>
    </w:p>
    <w:p w14:paraId="27CA8F69" w14:textId="77777777" w:rsidR="005E5117" w:rsidRPr="00015A72" w:rsidRDefault="005E5117" w:rsidP="005E5117">
      <w:pPr>
        <w:pStyle w:val="NormalHanging12a"/>
      </w:pPr>
      <w:r w:rsidRPr="00015A72">
        <w:t>2.</w:t>
      </w:r>
      <w:r w:rsidRPr="00015A72">
        <w:tab/>
        <w:t>bemærker, at AI kan bidrage til at mindske forsinkelser og omkostninger i EU's forsyningskæder ved at forbedre planlægningen og koordineringen; opfordrer Kommissionen til at gøre papirløs handel til normen og fremme udveksling af pålidelige oplysninger mellem operatører og myndigheder; opfordrer til investeringer i AI-baseret logistik, som mindsker flaskehalse i havne og korridorer, samt støtte til grønnere logistik gennem mere intelligent ruteføring og vedligeholdelse; opfordrer Kommissionen til at tilskynde til open source-AI-løsninger, som bidrager til øget konkurrence og mindsker afhængigheden af udbydere uden for EU; understreger, at digitalisering og AI-baseret logistik bør føre til større produktivitet, effektivitet og styring af forsyningskæden, lavere handelsomkostninger og færre administrative byrder;</w:t>
      </w:r>
    </w:p>
    <w:p w14:paraId="20EC7175" w14:textId="77777777" w:rsidR="005E5117" w:rsidRPr="00015A72" w:rsidRDefault="005E5117" w:rsidP="005E5117">
      <w:pPr>
        <w:pStyle w:val="NormalHanging12a"/>
      </w:pPr>
      <w:r w:rsidRPr="00015A72">
        <w:t>3.</w:t>
      </w:r>
      <w:r w:rsidRPr="00015A72">
        <w:tab/>
        <w:t xml:space="preserve">bemærker den potentielle rolle, som AI kan spille med hensyn til at styrke toldkontrollen i en situation med overkapacitet på markedet og menneskelige inspektioners begrænsninger over for de udfordringer, som tilstrømningen af varer, </w:t>
      </w:r>
      <w:r w:rsidRPr="00015A72">
        <w:lastRenderedPageBreak/>
        <w:t xml:space="preserve">navnlig små pakker fra Kina, indebærer; opfordrer Kommissionen til at stille ressourcer og færdigheder til rådighed for markedsovervågnings- og toldmyndighederne, også gennem det styrkede samarbejde mellem medlemsstaterne i EU's tolddatacenter, for at sikre, at anvendelsen af AI øger håndhævelseskapaciteten og dataudvekslingen mellem myndighederne; opfordrer Kommissionen til at undersøge </w:t>
      </w:r>
      <w:proofErr w:type="spellStart"/>
      <w:r w:rsidRPr="00015A72">
        <w:t>AI's</w:t>
      </w:r>
      <w:proofErr w:type="spellEnd"/>
      <w:r w:rsidRPr="00015A72">
        <w:t xml:space="preserve"> potentiale til at opretholde importerede varers overholdelse af EU-retten, forbedre sporbarheden i realtid og toldkontrollen af importerede produkter samt markedsovervågningen, indføre sikre og særlige AI-værktøjer for systematisk at analysere data fra små pakker eller sikre produktsporbarhed i hele forsyningskæden med henblik på at bekæmpe forfalskede varer, toldsvig, urimelig handelspraksis og omgåelse af EU-pålagte sanktioner; fremhæver, at sådanne AI-systemer ville udgøre kritisk infrastruktur og derfor bør forblive uafhængige og suveræne; opfordrer Kommissionen til at sikre, at disse værktøjer er i nøje overensstemmelse med den relevante EU-lovgivning;</w:t>
      </w:r>
    </w:p>
    <w:p w14:paraId="29C965D4" w14:textId="795E1072" w:rsidR="005E5117" w:rsidRPr="00015A72" w:rsidRDefault="005E5117" w:rsidP="005E5117">
      <w:pPr>
        <w:pStyle w:val="NormalHanging12a"/>
      </w:pPr>
      <w:r w:rsidRPr="00015A72">
        <w:t>4.</w:t>
      </w:r>
      <w:r w:rsidRPr="00015A72">
        <w:tab/>
        <w:t>bemærker, at AI kan være et nyttigt værktøj for virksomheder, toldmyndigheder og markedsovervågningsmyndigheder til at opretholde beskyttelsen af menneskerettighederne ved at lette en effektiv gennemførelse og overholdelse af EU-regler såsom direktivet om virksomheders due diligence i forbindelse med bæredygtighed</w:t>
      </w:r>
      <w:r w:rsidR="005D0BF6" w:rsidRPr="00015A72">
        <w:rPr>
          <w:rStyle w:val="FootnoteReference"/>
        </w:rPr>
        <w:footnoteReference w:id="10"/>
      </w:r>
      <w:r w:rsidRPr="00015A72">
        <w:t>, forordningen om skovrydning</w:t>
      </w:r>
      <w:r w:rsidR="005D0BF6" w:rsidRPr="00015A72">
        <w:rPr>
          <w:rStyle w:val="FootnoteReference"/>
        </w:rPr>
        <w:footnoteReference w:id="11"/>
      </w:r>
      <w:r w:rsidRPr="00015A72">
        <w:t xml:space="preserve"> eller EU's forordning om tvangsarbejde</w:t>
      </w:r>
      <w:r w:rsidR="005D0BF6" w:rsidRPr="00015A72">
        <w:rPr>
          <w:rStyle w:val="FootnoteReference"/>
        </w:rPr>
        <w:footnoteReference w:id="12"/>
      </w:r>
      <w:r w:rsidRPr="00015A72">
        <w:t xml:space="preserve"> og opretholde forbrugerbeskyttelsen ved at lette en effektiv gennemførelse og overholdelse af EU-regler såsom registrering, evaluering, godkendelse og begrænsning af kemikalier (REACH), CE-mærkning og forordningen om produktsikkerhed i almindelighed</w:t>
      </w:r>
      <w:r w:rsidR="005D0BF6" w:rsidRPr="00015A72">
        <w:rPr>
          <w:rStyle w:val="FootnoteReference"/>
        </w:rPr>
        <w:footnoteReference w:id="13"/>
      </w:r>
      <w:r w:rsidRPr="00015A72">
        <w:t>;</w:t>
      </w:r>
    </w:p>
    <w:p w14:paraId="2E544511" w14:textId="77777777" w:rsidR="005E5117" w:rsidRPr="00015A72" w:rsidRDefault="005E5117" w:rsidP="005E5117">
      <w:pPr>
        <w:pStyle w:val="Normal12a"/>
      </w:pPr>
      <w:r w:rsidRPr="00015A72">
        <w:rPr>
          <w:b/>
          <w:i/>
        </w:rPr>
        <w:t>AI og strukturelle ændringer inden for handel med varer og tjenesteydelser samt handel og bæredygtig udvikling</w:t>
      </w:r>
    </w:p>
    <w:p w14:paraId="71EA68DA" w14:textId="77777777" w:rsidR="005E5117" w:rsidRPr="00015A72" w:rsidRDefault="005E5117" w:rsidP="005E5117">
      <w:pPr>
        <w:pStyle w:val="NormalHanging12a"/>
      </w:pPr>
      <w:r w:rsidRPr="00015A72">
        <w:t>5.</w:t>
      </w:r>
      <w:r w:rsidRPr="00015A72">
        <w:tab/>
        <w:t xml:space="preserve">anerkender, at Europas konkurrenceevne inden for handel med varer i stigende grad vil afhænge af AI-drevne forbedringer i produktivitet og kvalitetsgevinster i strategiske industrielle værdikæder, herunder teknologier inden for produktion, bilindustri, lægemidler og energi; opfordrer Kommissionen til systematisk at afspejle disse interesser i handelsforhandlinger ved at sikre effektiv markedsadgang, solide discipliner </w:t>
      </w:r>
      <w:r w:rsidRPr="00015A72">
        <w:lastRenderedPageBreak/>
        <w:t>om ikketoldmæssige barrierer, og bestemmelser, der kan håndhæves, og som opretholder lige vilkår ved at forhindre unfair konkurrence og teknologirelaterede fordrejninger, samtidig med at EU's ret til at regulere respekteres fuldt ud;</w:t>
      </w:r>
    </w:p>
    <w:p w14:paraId="48C55E91" w14:textId="77777777" w:rsidR="005E5117" w:rsidRPr="00015A72" w:rsidRDefault="005E5117" w:rsidP="005E5117">
      <w:pPr>
        <w:pStyle w:val="NormalHanging12a"/>
      </w:pPr>
      <w:r w:rsidRPr="00015A72">
        <w:t>6.</w:t>
      </w:r>
      <w:r w:rsidRPr="00015A72">
        <w:tab/>
        <w:t xml:space="preserve">anerkender, at AI er i færd med at omforme digitalt leverede tjenester ved at kommercialisere ekspertise, hvilket kræver en yderligere indsats for at bevare Europas historiske komparative fordel inden for professionelle, tekniske og erhvervsmæssige tjenester af høj værdi; understreger, at håndteringen af den intensiverede globale konkurrence inden for handel med tjenesteydelser kræver mobilisering af investeringer og forbedring af adgangen til finansiering i overensstemmelse med </w:t>
      </w:r>
      <w:proofErr w:type="spellStart"/>
      <w:r w:rsidRPr="00015A72">
        <w:t>Draghi</w:t>
      </w:r>
      <w:proofErr w:type="spellEnd"/>
      <w:r w:rsidRPr="00015A72">
        <w:t xml:space="preserve">- og </w:t>
      </w:r>
      <w:proofErr w:type="spellStart"/>
      <w:r w:rsidRPr="00015A72">
        <w:t>Lettarapporterne</w:t>
      </w:r>
      <w:proofErr w:type="spellEnd"/>
      <w:r w:rsidRPr="00015A72">
        <w:t>; opfordrer indtrængende Kommissionen til at mobilisere handels- og investeringspartnerskaber for at tiltrække kapital og talenter og opskalere europæiske virksomheder;</w:t>
      </w:r>
    </w:p>
    <w:p w14:paraId="56C9C5C1" w14:textId="77777777" w:rsidR="005E5117" w:rsidRPr="00015A72" w:rsidRDefault="005E5117" w:rsidP="005E5117">
      <w:pPr>
        <w:pStyle w:val="NormalHanging12a"/>
      </w:pPr>
      <w:r w:rsidRPr="00015A72">
        <w:t>7.</w:t>
      </w:r>
      <w:r w:rsidRPr="00015A72">
        <w:tab/>
        <w:t xml:space="preserve">anerkender </w:t>
      </w:r>
      <w:proofErr w:type="spellStart"/>
      <w:r w:rsidRPr="00015A72">
        <w:t>AI's</w:t>
      </w:r>
      <w:proofErr w:type="spellEnd"/>
      <w:r w:rsidRPr="00015A72">
        <w:t xml:space="preserve"> potentiale til at omforme arbejdslivet og arbejdsmarkederne globalt; advarer om risikoen for fortrængning som følge af automatisering, AI-baseret handel med tjenesteydelser og voksende kvalifikationskløfter i EU's arbejdsstyrke; fremhæver derfor behovet for at vedtage strategier for at foregribe disse ændringer og tilpasse arbejdsstyrken i overensstemmelse hermed; bemærker, at udviklingen og udbredelsen af AI-modeller og AI-systemer har negative miljømæssige konsekvenser, herunder øget efterspørgsel efter elektricitet og øget vandforbrug; opfordrer Kommissionen til i forbindelse med konsekvensanalyserne af frihandelsaftaler at analysere, hvilke sektorer der sandsynligvis vil blive berørt af AI, og til at vurdere indvirkningen af anvendelsen af AI på arbejdstagernes rettigheder og miljøet;</w:t>
      </w:r>
    </w:p>
    <w:p w14:paraId="15B4583B" w14:textId="77777777" w:rsidR="005E5117" w:rsidRPr="00015A72" w:rsidRDefault="005E5117" w:rsidP="005E5117">
      <w:pPr>
        <w:pStyle w:val="NormalHanging12a"/>
      </w:pPr>
      <w:r w:rsidRPr="00015A72">
        <w:t>8.</w:t>
      </w:r>
      <w:r w:rsidRPr="00015A72">
        <w:tab/>
        <w:t>advarer om, at den digitale kløft risikerer at udelukke partnere i det globale syd fra AI-drevne vækstmuligheder og øge afhængigheden af importerede modeller; understreger, at samarbejde til støtte for anvendelsen af AI-værktøjer i udviklingslandene bør styrke det multilaterale handelssystem og fremmes gennem WTO-rammen; opfordrer Kommissionen til at gøre brug af bestemmelserne om digital inklusion i kapitlerne om handel og bæredygtig udvikling og i aftaler om digital handel for at støtte indførelsen af AI og produktivitetsgevinster samt til at fremme inklusiv og pålidelig AI gennem særlige programmer for internationalt samarbejde og kapacitetsopbyggende initiativer inden for rammerne af EU's eksisterende instrumenter for optræden udadtil, herunder uddannelsesprogrammer og adgang til digitale infrastrukturer og AI-infrastruktur; opfordrer Kommissionen til at fokusere på at opbygge Global Gateway-kapaciteten baseret på etiske open source-AI-økosystemer og lokale kapaciteter og fremme modstandsdygtige, gensidigt fordelagtige handels- og investeringsforbindelser;</w:t>
      </w:r>
    </w:p>
    <w:p w14:paraId="42A97E1D" w14:textId="77777777" w:rsidR="005E5117" w:rsidRPr="00015A72" w:rsidRDefault="005E5117" w:rsidP="005E5117">
      <w:pPr>
        <w:pStyle w:val="NormalHanging12a"/>
      </w:pPr>
      <w:r w:rsidRPr="00015A72">
        <w:t>9.</w:t>
      </w:r>
      <w:r w:rsidRPr="00015A72">
        <w:tab/>
        <w:t xml:space="preserve">bemærker, at open source-AI-løsninger ved at muliggøre gennemsigtig genbrug og uafhængig testning giver betydelige fordele, herunder reducerede omkostninger og øget databeskyttelse via lokal udbredelse, hvilket bidrager til øget sund konkurrence inden for AI og mindre afhængighed af udbydere uden for EU, samtidig med at de støtter kontrollerbare, lokalt tilpassede AI-løsninger, der er udviklet i samarbejde med partnere i det globale syd; understreger, at indarbejdelse af et sådant samarbejde i EU's handelspolitik og digitale partnerskaber kan diversificere partnerskaber, mindske afhængigheden af nogle få </w:t>
      </w:r>
      <w:proofErr w:type="spellStart"/>
      <w:r w:rsidRPr="00015A72">
        <w:t>proprietære</w:t>
      </w:r>
      <w:proofErr w:type="spellEnd"/>
      <w:r w:rsidRPr="00015A72">
        <w:t xml:space="preserve"> økosystemer og styrke langsigtede geopolitiske bånd; opfordrer Kommissionen til at tilskynde til open source-AI-løsninger, som bidrager til mindske afhængigheden af udbydere uden for EU; understreger, at open source-samarbejde bør omfatte projekter vedrørende AI til gavn for offentligheden </w:t>
      </w:r>
      <w:r w:rsidRPr="00015A72">
        <w:lastRenderedPageBreak/>
        <w:t>såsom bekæmpelse af klimaændringer, støtte til omstillingen til ren energi og forbedring af sundhedspleje og fødevaresikkerhed;</w:t>
      </w:r>
    </w:p>
    <w:p w14:paraId="7B57FE97" w14:textId="77777777" w:rsidR="005E5117" w:rsidRPr="00015A72" w:rsidRDefault="005E5117" w:rsidP="005E5117">
      <w:pPr>
        <w:pStyle w:val="Normal12a"/>
      </w:pPr>
      <w:r w:rsidRPr="00015A72">
        <w:rPr>
          <w:b/>
          <w:i/>
        </w:rPr>
        <w:t>Forvaltning af digital handel, reguleringssamarbejde og multilaterale regler</w:t>
      </w:r>
    </w:p>
    <w:p w14:paraId="79CEE1CF" w14:textId="77777777" w:rsidR="005E5117" w:rsidRPr="00015A72" w:rsidRDefault="005E5117" w:rsidP="005E5117">
      <w:pPr>
        <w:pStyle w:val="NormalHanging12a"/>
      </w:pPr>
      <w:r w:rsidRPr="00015A72">
        <w:t>10.</w:t>
      </w:r>
      <w:r w:rsidRPr="00015A72">
        <w:tab/>
        <w:t>fremhæver den strategiske rolle, som digitale partnerskaber og handels- og teknologiråd med ligesindede partnere, der deler demokratiske værdier, høje standarder for forvaltning og en forpligtelse til åben og regelbaseret handel, spiller med hensyn til EU's værdidrevne, menneskecentrerede og risikobaserede strategi for AI; opfordrer til, at Parlamentet i højere grad inddrages i handels- og teknologirådene; opfordrer Kommissionen til at gennemføre den internationale digitale strategi gennem koordinerede holdninger i G7, G20, Organisationen for Økonomisk Samarbejde og Udvikling (OECD) og De Forenede Nationer samt struktureret samarbejde mellem tilsynsmyndigheder for at fremme global konvergens om høje standarder for AI-sikkerhed og beskyttelse af grundlæggende rettigheder;</w:t>
      </w:r>
    </w:p>
    <w:p w14:paraId="10B9C541" w14:textId="77777777" w:rsidR="005E5117" w:rsidRPr="00015A72" w:rsidRDefault="005E5117" w:rsidP="005E5117">
      <w:pPr>
        <w:pStyle w:val="NormalHanging12a"/>
      </w:pPr>
      <w:r w:rsidRPr="00015A72">
        <w:t>11.</w:t>
      </w:r>
      <w:r w:rsidRPr="00015A72">
        <w:tab/>
        <w:t xml:space="preserve">understreger behovet for, navnlig i multilaterale fora, at forsvare og fremme EU's menneskecentrerede AI-model som en international standard og forordningen om kunstig intelligens som et benchmark, der kan bidrage til at tilpasse gennemsigtigheds- og sikkerhedsstandarder, samtidig med at handelen holdes åben og forudsigelig; opfordrer Kommissionen til at styrke samarbejdet om AI-standarder, teknologisk innovation og sikre forsyningskæder med betroede partnere og ligesindede lande, herunder gennem bilaterale partnerskaber og multilaterale fora, der prioriterer partnere, der værner om demokratiske værdier og den regelbaserede internationale orden; bemærker, at avancerede AI-systemer skaber grænseoverskridende udfordringer, og opfordrer Kommissionen til at arbejde hen imod en global minimumsgrænse for beskyttelse mod de alvorligste risici som grundlag for </w:t>
      </w:r>
      <w:proofErr w:type="spellStart"/>
      <w:r w:rsidRPr="00015A72">
        <w:t>interoperabel</w:t>
      </w:r>
      <w:proofErr w:type="spellEnd"/>
      <w:r w:rsidRPr="00015A72">
        <w:t xml:space="preserve"> og pålidelig forvaltning, navnlig gennem internationale initiativer såsom det globale partnerskab om AI, OECD's AI-principper og UNESCO's etiske ramme for AI;</w:t>
      </w:r>
    </w:p>
    <w:p w14:paraId="41D0F640" w14:textId="77777777" w:rsidR="005E5117" w:rsidRPr="00015A72" w:rsidRDefault="005E5117" w:rsidP="005E5117">
      <w:pPr>
        <w:pStyle w:val="NormalHanging12a"/>
      </w:pPr>
      <w:r w:rsidRPr="00015A72">
        <w:t>12.</w:t>
      </w:r>
      <w:r w:rsidRPr="00015A72">
        <w:tab/>
        <w:t>understreger, at der ud over en global minimumsgrænse for beskyttelse er behov for en koalition af ligesindede partnere, der deler EU's menneskecentrerede tilgang, for hurtigere at kunne gennemføre høje standarder for AI-sikkerhed, gennemsigtighed, ansvarlighed og grundlæggende rettigheder, navnlig gennem en struktureret reguleringsdialog for at løse tvister, udveksle bedste praksis og tilpasse forpligtelserne i lyset af den teknologiske udvikling; opfordrer endvidere Kommissionen til at koble lovgivningsmæssig konvergens om høje standarder for sikkerhed og grundlæggende rettigheder sammen med konkret kapacitetsopbygning, herunder fælles investeringer i sikker og økonomisk overkommelig computerkapacitet og testkapacitet, talent- og færdighedspartnerskaber for at mindske den strategiske afhængighed og skabe troværdige gennemførelsesmodeller, som partnerlandene kan tilpasse sig, og styrke pålidelig IA som et grundlag for åben og modstandsdygtig digital handel;</w:t>
      </w:r>
    </w:p>
    <w:p w14:paraId="0883D277" w14:textId="77777777" w:rsidR="005E5117" w:rsidRPr="00015A72" w:rsidRDefault="005E5117" w:rsidP="005E5117">
      <w:pPr>
        <w:pStyle w:val="NormalHanging12a"/>
      </w:pPr>
      <w:r w:rsidRPr="00015A72">
        <w:t>13.</w:t>
      </w:r>
      <w:r w:rsidRPr="00015A72">
        <w:tab/>
        <w:t xml:space="preserve">understreger, at lovlige og sikre datastrømme er afgørende for AI-baseret handel; minder om behovet for, at EU's digitale handelsaftaler overholder Kommissionens horisontale bestemmelser om grænseoverskridende datastrømme og beskyttelse af personoplysninger og privatlivets fred i afsnittet om digital handel i EU's handelsaftaler, som giver Unionen mulighed for at medtage foranstaltninger, som til letter grænseoverskridende datastrømme i handelsaftaler, samtidig med at enkeltpersoners grundlæggende ret til databeskyttelse og privatlivets fred bevares, og understreger, at de bør indeholde særlige bestemmelser om reguleringssamarbejde på AI-området, som </w:t>
      </w:r>
      <w:r w:rsidRPr="00015A72">
        <w:lastRenderedPageBreak/>
        <w:t>letter den gensidige forståelse af lovgivningsmæssige tilgange, og opfordrer Kommissionen til at indarbejde sådanne bestemmelser i alle fremtidige kapitler og aftaler om digital handel; bekræfter på ny, at sikkerhedsforanstaltninger, der opfylder GDPR eller tilsvarende standarder, er minimumskrav for overførsel af personoplysninger i EU; opfordrer til, at digitale handelsaftaler værner om den reguleringsmæssige autonomi og opretholder den tekniske adgang, som reguleringsmyndighederne har brug for med henblik på at håndhæve AI-forordningen og sikre gennemsigtighed, mulighed for revision, retfærdighed, sikkerhed og ansvarlighed i AI-systemer, samtidig med at det sikres, at civilsamfundet og uafhængige forskere har adgang til systemernes kildekode og algoritmer;</w:t>
      </w:r>
    </w:p>
    <w:p w14:paraId="442DD135" w14:textId="77777777" w:rsidR="005E5117" w:rsidRPr="00015A72" w:rsidRDefault="005E5117" w:rsidP="005E5117">
      <w:pPr>
        <w:pStyle w:val="NormalHanging12a"/>
      </w:pPr>
      <w:r w:rsidRPr="00015A72">
        <w:t>14.</w:t>
      </w:r>
      <w:r w:rsidRPr="00015A72">
        <w:tab/>
        <w:t>minder om EU's engagement i et regelbaseret multilateralt handelssystem; understreger, at WTO bør bidrage meningsfuldt til udviklingen af en robust, sikker, inklusiv og pålidelig AI-forvaltningsramme for handel, herunder gennem oprettelse af en særlig WTO-arbejdsgruppe om kunstig intelligens for at lette dialog, videndeling og samarbejde mellem medlemmerne om AI-regler og -politikker; understreger, at afbalancerede regler om elektronisk handel er afgørende for at frigøre AI-baseret handel; opfordrer Kommissionen til at sikre, at enhver WTO-tekst om elektronisk handel sikrer politisk råderum for demokratisk AI-forvaltning, herunder garantier, der kan håndhæves, for arbejdstagere og forbrugere; opfordrer Kommissionen til at fremme drøftelserne om AI og handel inden for WTO's rammer og fremme globalt samarbejde, der letter pålidelige datastrømme og digital handel samt adgang til AI-baserede tjenester og værktøjer, navnlig i udviklingslandene;</w:t>
      </w:r>
    </w:p>
    <w:p w14:paraId="2CBFBE04" w14:textId="77777777" w:rsidR="005E5117" w:rsidRPr="00015A72" w:rsidRDefault="005E5117" w:rsidP="005E5117">
      <w:pPr>
        <w:pStyle w:val="NormalHanging12a"/>
      </w:pPr>
      <w:r w:rsidRPr="00015A72">
        <w:t>15.</w:t>
      </w:r>
      <w:r w:rsidRPr="00015A72">
        <w:tab/>
        <w:t>advarer om, at divergerende AI-overholdelsesordninger risikerer at skabe en fragmentering af markederne og øge handelsomkostningerne; understreger den rolle, som internationalt samarbejde spiller med hensyn til at forhindre lovgivningsmæssig fragmentering; opfordrer Kommissionen til at anvende internationale standarder og WTO's tekniske handelshindringer og gennemsigtighedsdiscipliner som værktøjer til at forhindre, at lovgivningsmæssige forskelle bliver en uberettiget handelshindring, samtidig med at EU's AI forvaltningsramme bevares og benyttes til at lette pålidelig digital handel og fremme lige konkurrencevilkår på globalt plan en pålidelig AI;</w:t>
      </w:r>
    </w:p>
    <w:p w14:paraId="52E9582C" w14:textId="77777777" w:rsidR="005E5117" w:rsidRPr="00015A72" w:rsidRDefault="005E5117" w:rsidP="005E5117">
      <w:pPr>
        <w:pStyle w:val="Normal12a"/>
      </w:pPr>
      <w:r w:rsidRPr="00015A72">
        <w:rPr>
          <w:b/>
          <w:i/>
        </w:rPr>
        <w:t>Økonomisk sikkerhed og strategisk afhængighed i AI-værdikæden</w:t>
      </w:r>
    </w:p>
    <w:p w14:paraId="5CE87D14" w14:textId="77777777" w:rsidR="005E5117" w:rsidRPr="00015A72" w:rsidRDefault="005E5117" w:rsidP="005E5117">
      <w:pPr>
        <w:pStyle w:val="NormalHanging12a"/>
      </w:pPr>
      <w:r w:rsidRPr="00015A72">
        <w:t>16.</w:t>
      </w:r>
      <w:r w:rsidRPr="00015A72">
        <w:tab/>
        <w:t xml:space="preserve">understreger, at sikker adgang til avancerede halvledere og økonomisk overkommelig computerkraft er afgørende for EU's teknologiske suverænitet og konkurrenceevne; bemærker, at mikrochipforordningen og målsætningen for AI-fabrikker risikerer ikke at blive opfyldt på grund af fragmenteret levering og begrænset omfang; opfordrer Kommissionen til at fremskynde gennemførelsen heraf, til at fortsætte sit råstofdiplomati og til at udnytte handelsaftaler, rammeaftaler og partnerskabsaftaler med betroede partnere til at diversificere forsyningskæderne og mindske den strategiske afhængighed; anerkender i denne forbindelse den afgørende rolle, som økosystemer til fremstilling af mikrochip i ligesindede partnerøkonomier spiller med hensyn til at understøtte den globale AI-databehandlingskapacitet, og tilskynder til at uddybe samarbejdet med sådanne partnere om modstandsdygtighed i forsyningskæden for halvledere; fremhæver endvidere, at det haster med at styrke den europæiske produktion af avancerede halvledere, navnlig ved at støtte europæiske initiativer såsom den foreslåede revision af mikrochipforordningen (mikrochipforordning 2.0); opfordrer Kommissionen til at fastlægge en klarere strategi for, hvordan EU kan udvikle sig som </w:t>
      </w:r>
      <w:r w:rsidRPr="00015A72">
        <w:lastRenderedPageBreak/>
        <w:t>en central aktør i AI-økosystemet, og til at integrere stærke bestemmelser i handelsaftaler for at sikre fair adgang til kritiske teknologier og råstoffer;</w:t>
      </w:r>
    </w:p>
    <w:p w14:paraId="5E135416" w14:textId="77777777" w:rsidR="005E5117" w:rsidRPr="00015A72" w:rsidRDefault="005E5117" w:rsidP="005E5117">
      <w:pPr>
        <w:pStyle w:val="NormalHanging12a"/>
      </w:pPr>
      <w:r w:rsidRPr="00015A72">
        <w:t>17.</w:t>
      </w:r>
      <w:r w:rsidRPr="00015A72">
        <w:tab/>
        <w:t xml:space="preserve">betragter strategiske partnerskaber om modstandsdygtighed i forsyningskæden for kritiske mineraler som potentielt meningsfulde instrumenter til yderligere koordinering med allierede om adgangen til AI-kritiske input, herunder sjældne jordarter og avancerede halvledermaterialer; insisterer på, at EU's engagement skal være betinget af sammenhæng med </w:t>
      </w:r>
      <w:proofErr w:type="spellStart"/>
      <w:r w:rsidRPr="00015A72">
        <w:t>benchmarkene</w:t>
      </w:r>
      <w:proofErr w:type="spellEnd"/>
      <w:r w:rsidRPr="00015A72">
        <w:t xml:space="preserve"> i forordningen om kritiske råstoffer og Unionens mål om åben strategisk autonomi, der mindsker sårbarheder i stedet for at flytte afhængighedsforhold; opfordrer Kommissionen til at sikre, at alle </w:t>
      </w:r>
      <w:proofErr w:type="spellStart"/>
      <w:r w:rsidRPr="00015A72">
        <w:t>plurilaterale</w:t>
      </w:r>
      <w:proofErr w:type="spellEnd"/>
      <w:r w:rsidRPr="00015A72">
        <w:t xml:space="preserve"> handelsinstrumenter, der opstår som følge af sådanne partnerskaber, herunder mindstepriser eller aftagningsmekanismer, er forenelige med WTO-forpligtelserne og tjener EU's interesser; opfordrer til styrket dialog og samarbejde mellem betroede partnere for at beskytte internationale handelsstrømme og styrke AI-relaterede industrielle økosystemers integritet og modstandsdygtighed;</w:t>
      </w:r>
    </w:p>
    <w:p w14:paraId="268DB872" w14:textId="638C02AA" w:rsidR="005E5117" w:rsidRPr="00015A72" w:rsidRDefault="005E5117" w:rsidP="005E5117">
      <w:pPr>
        <w:pStyle w:val="NormalHanging12a"/>
      </w:pPr>
      <w:r w:rsidRPr="00015A72">
        <w:t>18.</w:t>
      </w:r>
      <w:r w:rsidRPr="00015A72">
        <w:tab/>
        <w:t>advarer om, at koncentrationen af cloudinfrastruktur i tredjelande gør EU sårbar i forbindelse med eksterne jurisdiktioner; opfordrer Kommissionen til, gennem den foreslåede retsakt om udvikling af cloudtjenester og kunstig intelligens og retsakt om industriel fremskyndelse (</w:t>
      </w:r>
      <w:r w:rsidR="00177171" w:rsidRPr="00042196">
        <w:t>COM(2026)0100</w:t>
      </w:r>
      <w:r w:rsidRPr="00015A72">
        <w:t xml:space="preserve">), at etablere graduerede suverænitetsrammer, der prioriterer EU-baserede udbydere af kritiske tjenester gennem offentlige udbud, samtidig med at der sikres åben strategisk autonomi ved at opretholde en ikkediskriminerende adgang for ligesindede udbydere, som opfylder EU's certificerings- og </w:t>
      </w:r>
      <w:proofErr w:type="spellStart"/>
      <w:r w:rsidRPr="00015A72">
        <w:t>interoperabilitetskrav</w:t>
      </w:r>
      <w:proofErr w:type="spellEnd"/>
      <w:r w:rsidRPr="00015A72">
        <w:t>;</w:t>
      </w:r>
    </w:p>
    <w:p w14:paraId="25E9A8D6" w14:textId="77777777" w:rsidR="005E5117" w:rsidRPr="00015A72" w:rsidRDefault="005E5117" w:rsidP="005E5117">
      <w:pPr>
        <w:pStyle w:val="NormalHanging12a"/>
      </w:pPr>
      <w:r w:rsidRPr="00015A72">
        <w:t>19.</w:t>
      </w:r>
      <w:r w:rsidRPr="00015A72">
        <w:tab/>
        <w:t xml:space="preserve">opfordrer Kommissionen til at sikre, at dens doktrin om økonomisk sikkerhed koordinerer screening af udenlandske direkte investeringer, med særlig vægt på strategiske digitale sektorer såsom AI-platforme, cloudtjenester og datacentre, eksportkontrol, instrumentet til bekæmpelse af tvang og handelsbeskyttelse som et sammenhængende system, der forhindrer anvendelse af AI-afhængighed som våben; advarer om, at eksportrestriktioner for kritiske råstoffer og stigende geopolitisk </w:t>
      </w:r>
      <w:proofErr w:type="spellStart"/>
      <w:r w:rsidRPr="00015A72">
        <w:t>volatilitet</w:t>
      </w:r>
      <w:proofErr w:type="spellEnd"/>
      <w:r w:rsidRPr="00015A72">
        <w:t xml:space="preserve"> kræver styrket koordinering og håndhævelse for at beskytte Europas AI-økosystem; opfordrer Kommissionen til at foreslå en målrettet revision af forordningen om produkter med dobbelt anvendelse for på mere omfattende vis at håndtere avanceret kunstig intelligens i betragtning af tredjelandes potentielle anvendelse heraf inden for sikkerheds-, overvågnings- eller forsvarsapplikationer;</w:t>
      </w:r>
    </w:p>
    <w:p w14:paraId="0FFECECB" w14:textId="77777777" w:rsidR="005E5117" w:rsidRPr="00015A72" w:rsidRDefault="005E5117" w:rsidP="005E5117">
      <w:pPr>
        <w:pStyle w:val="NormalHanging12a"/>
      </w:pPr>
      <w:r w:rsidRPr="00015A72">
        <w:t>20.</w:t>
      </w:r>
      <w:r w:rsidRPr="00015A72">
        <w:tab/>
        <w:t>udtrykker bekymring over Kinas gentagne eksportrestriktioner for sjældne jordarter (REE), som i væsentlig grad forstyrrer forsyningskæder, der er afgørende for halvledervirksomheder, samt den bredere AI-værdikæde; mener, at Kinas handling er uberettiget, og opfordrer Kommissionen til nøje at overvåge situationen og reagere hensigtsmæssigt for at sikre, at den globale økonomi og den internationale handels modstandsdygtighed ikke påvirkes;</w:t>
      </w:r>
    </w:p>
    <w:p w14:paraId="3D500C4D" w14:textId="77777777" w:rsidR="005E5117" w:rsidRPr="00015A72" w:rsidRDefault="005E5117" w:rsidP="005E5117">
      <w:pPr>
        <w:pStyle w:val="NormalHanging12a"/>
      </w:pPr>
      <w:r w:rsidRPr="00015A72">
        <w:t>21.</w:t>
      </w:r>
      <w:r w:rsidRPr="00015A72">
        <w:tab/>
        <w:t>understreger behovet for, at EU fremskynder gennemførelsen af forordningen om kritiske råstoffer og diversificerer forsyningskæderne for at styrke den økonomiske modstandsdygtighed; understreger det presserende behov for at sikre investeringer i de strategiske projekter, der er godkendt i henhold til forordningen om kritiske råstoffer, og i andre projekter til fremme af udvinding, raffinering, forarbejdning og genanvendelse, der bidrager til at mindske risikoen fra Kina;</w:t>
      </w:r>
    </w:p>
    <w:p w14:paraId="42F4B58C" w14:textId="77777777" w:rsidR="005E5117" w:rsidRPr="00015A72" w:rsidRDefault="005E5117" w:rsidP="005E5117">
      <w:pPr>
        <w:pStyle w:val="NormalCenter12a"/>
      </w:pPr>
      <w:r w:rsidRPr="00015A72">
        <w:lastRenderedPageBreak/>
        <w:t>°</w:t>
      </w:r>
    </w:p>
    <w:p w14:paraId="40E591F4" w14:textId="77777777" w:rsidR="005E5117" w:rsidRPr="00015A72" w:rsidRDefault="005E5117" w:rsidP="005E5117">
      <w:pPr>
        <w:pStyle w:val="NormalCenter12a"/>
      </w:pPr>
      <w:r w:rsidRPr="00015A72">
        <w:t>°</w:t>
      </w:r>
      <w:r w:rsidRPr="00015A72">
        <w:tab/>
        <w:t>°</w:t>
      </w:r>
    </w:p>
    <w:p w14:paraId="421D0C2A" w14:textId="04F4299D" w:rsidR="00BB59CB" w:rsidRPr="00015A72" w:rsidRDefault="005E5117" w:rsidP="00BB59CB">
      <w:pPr>
        <w:pStyle w:val="NormalHanging12a"/>
      </w:pPr>
      <w:r w:rsidRPr="00015A72">
        <w:t>22.</w:t>
      </w:r>
      <w:r w:rsidRPr="00015A72">
        <w:tab/>
        <w:t>pålægger sin formand at sende denne beslutning til Rådet og Kommissionen samt til medlemsstaternes regeringer og parlamenter.</w:t>
      </w:r>
    </w:p>
    <w:p w14:paraId="79D2964F" w14:textId="4A141F87" w:rsidR="00E365E1" w:rsidRPr="00015A72" w:rsidRDefault="00E365E1" w:rsidP="00812439"/>
    <w:sectPr w:rsidR="00E365E1" w:rsidRPr="00015A72" w:rsidSect="00BB59CB">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9ABBE" w14:textId="77777777" w:rsidR="00812439" w:rsidRPr="00BB59CB" w:rsidRDefault="00812439">
      <w:r w:rsidRPr="00BB59CB">
        <w:separator/>
      </w:r>
    </w:p>
  </w:endnote>
  <w:endnote w:type="continuationSeparator" w:id="0">
    <w:p w14:paraId="5595C1DF" w14:textId="77777777" w:rsidR="00812439" w:rsidRPr="00BB59CB" w:rsidRDefault="00812439">
      <w:r w:rsidRPr="00BB59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7ACDD" w14:textId="77777777" w:rsidR="00064002" w:rsidRPr="00BB59C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25156" w14:textId="77777777" w:rsidR="00064002" w:rsidRPr="00BB59C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20C72" w14:textId="77777777" w:rsidR="00064002" w:rsidRPr="00BB59C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62BDEB" w14:textId="77777777" w:rsidR="00812439" w:rsidRPr="00BB59CB" w:rsidRDefault="00812439">
      <w:r w:rsidRPr="00BB59CB">
        <w:separator/>
      </w:r>
    </w:p>
  </w:footnote>
  <w:footnote w:type="continuationSeparator" w:id="0">
    <w:p w14:paraId="176BE5F8" w14:textId="77777777" w:rsidR="00812439" w:rsidRPr="00BB59CB" w:rsidRDefault="00812439">
      <w:r w:rsidRPr="00BB59CB">
        <w:continuationSeparator/>
      </w:r>
    </w:p>
  </w:footnote>
  <w:footnote w:id="1">
    <w:p w14:paraId="04D0042E" w14:textId="1EC60D2B" w:rsidR="005D0BF6" w:rsidRPr="00BB59CB" w:rsidRDefault="005D0BF6" w:rsidP="00BB59CB">
      <w:pPr>
        <w:pStyle w:val="FootnoteText"/>
        <w:ind w:left="567" w:hanging="567"/>
        <w:rPr>
          <w:sz w:val="24"/>
          <w:lang w:val="da-DK"/>
        </w:rPr>
      </w:pPr>
      <w:r>
        <w:rPr>
          <w:rStyle w:val="FootnoteReference"/>
        </w:rPr>
        <w:footnoteRef/>
      </w:r>
      <w:r w:rsidRPr="00BB59CB">
        <w:rPr>
          <w:sz w:val="24"/>
          <w:vertAlign w:val="superscript"/>
          <w:lang w:val="da-DK"/>
        </w:rPr>
        <w:t xml:space="preserve"> </w:t>
      </w:r>
      <w:r w:rsidRPr="00BB59CB">
        <w:rPr>
          <w:sz w:val="24"/>
          <w:vertAlign w:val="superscript"/>
          <w:lang w:val="da-DK"/>
        </w:rPr>
        <w:tab/>
      </w:r>
      <w:r w:rsidRPr="00BB59CB">
        <w:rPr>
          <w:sz w:val="24"/>
          <w:lang w:val="da-DK"/>
        </w:rPr>
        <w:t xml:space="preserve">EUT L, 2024/1689, 12.7.2024, ELI: </w:t>
      </w:r>
      <w:hyperlink r:id="rId1" w:tgtFrame="http://data.europa.eu/eli/reg/2024/1689/oj" w:history="1">
        <w:r w:rsidRPr="00BB59CB">
          <w:rPr>
            <w:rStyle w:val="Hyperlink"/>
            <w:sz w:val="24"/>
            <w:lang w:val="da-DK"/>
          </w:rPr>
          <w:t>http://data.europa.eu/eli/reg/2024/1689/oj</w:t>
        </w:r>
      </w:hyperlink>
      <w:r w:rsidRPr="00BB59CB">
        <w:rPr>
          <w:sz w:val="24"/>
          <w:lang w:val="da-DK"/>
        </w:rPr>
        <w:t>.</w:t>
      </w:r>
    </w:p>
  </w:footnote>
  <w:footnote w:id="2">
    <w:p w14:paraId="25CB8B91" w14:textId="04DC2E61" w:rsidR="005D0BF6" w:rsidRPr="00BB59CB" w:rsidRDefault="005D0BF6" w:rsidP="00BB59CB">
      <w:pPr>
        <w:pStyle w:val="FootnoteText"/>
        <w:ind w:left="567" w:hanging="567"/>
        <w:rPr>
          <w:sz w:val="24"/>
          <w:lang w:val="da-DK"/>
        </w:rPr>
      </w:pPr>
      <w:r>
        <w:rPr>
          <w:rStyle w:val="FootnoteReference"/>
        </w:rPr>
        <w:footnoteRef/>
      </w:r>
      <w:r w:rsidRPr="00BB59CB">
        <w:rPr>
          <w:sz w:val="24"/>
          <w:vertAlign w:val="superscript"/>
          <w:lang w:val="da-DK"/>
        </w:rPr>
        <w:t xml:space="preserve"> </w:t>
      </w:r>
      <w:r w:rsidRPr="00BB59CB">
        <w:rPr>
          <w:sz w:val="24"/>
          <w:vertAlign w:val="superscript"/>
          <w:lang w:val="da-DK"/>
        </w:rPr>
        <w:tab/>
      </w:r>
      <w:r w:rsidRPr="00BB59CB">
        <w:rPr>
          <w:sz w:val="24"/>
          <w:lang w:val="da-DK"/>
        </w:rPr>
        <w:t xml:space="preserve">EUT L 119 af 4.5.2016, s. 1, ELI: </w:t>
      </w:r>
      <w:hyperlink r:id="rId2" w:tgtFrame="http://data.europa.eu/eli/reg/2016/679/oj" w:history="1">
        <w:r w:rsidRPr="00BB59CB">
          <w:rPr>
            <w:rStyle w:val="Hyperlink"/>
            <w:sz w:val="24"/>
            <w:lang w:val="da-DK"/>
          </w:rPr>
          <w:t>http://data.europa.eu/eli/reg/2016/679/oj</w:t>
        </w:r>
      </w:hyperlink>
      <w:r w:rsidRPr="00BB59CB">
        <w:rPr>
          <w:sz w:val="24"/>
          <w:lang w:val="da-DK"/>
        </w:rPr>
        <w:t>.</w:t>
      </w:r>
    </w:p>
  </w:footnote>
  <w:footnote w:id="3">
    <w:p w14:paraId="3543F397" w14:textId="73B721C4" w:rsidR="005D0BF6" w:rsidRPr="00BB59CB" w:rsidRDefault="005D0BF6" w:rsidP="00BB59CB">
      <w:pPr>
        <w:pStyle w:val="FootnoteText"/>
        <w:ind w:left="567" w:hanging="567"/>
        <w:rPr>
          <w:sz w:val="24"/>
          <w:lang w:val="da-DK"/>
        </w:rPr>
      </w:pPr>
      <w:r>
        <w:rPr>
          <w:rStyle w:val="FootnoteReference"/>
        </w:rPr>
        <w:footnoteRef/>
      </w:r>
      <w:r w:rsidRPr="00BB59CB">
        <w:rPr>
          <w:sz w:val="24"/>
          <w:vertAlign w:val="superscript"/>
          <w:lang w:val="da-DK"/>
        </w:rPr>
        <w:t xml:space="preserve"> </w:t>
      </w:r>
      <w:r w:rsidRPr="00BB59CB">
        <w:rPr>
          <w:sz w:val="24"/>
          <w:vertAlign w:val="superscript"/>
          <w:lang w:val="da-DK"/>
        </w:rPr>
        <w:tab/>
      </w:r>
      <w:r w:rsidRPr="00BB59CB">
        <w:rPr>
          <w:sz w:val="24"/>
          <w:lang w:val="da-DK"/>
        </w:rPr>
        <w:t xml:space="preserve">EUT L 229 af 18.9.2023, s. 1, ELI: </w:t>
      </w:r>
      <w:hyperlink r:id="rId3" w:tgtFrame="http://data.europa.eu/eli/reg/2023/1781/oj" w:history="1">
        <w:r w:rsidRPr="00BB59CB">
          <w:rPr>
            <w:rStyle w:val="Hyperlink"/>
            <w:sz w:val="24"/>
            <w:lang w:val="da-DK"/>
          </w:rPr>
          <w:t>http://data.europa.eu/eli/reg/2023/1781/oj</w:t>
        </w:r>
      </w:hyperlink>
      <w:r w:rsidRPr="00BB59CB">
        <w:rPr>
          <w:sz w:val="24"/>
          <w:lang w:val="da-DK"/>
        </w:rPr>
        <w:t>.</w:t>
      </w:r>
    </w:p>
  </w:footnote>
  <w:footnote w:id="4">
    <w:p w14:paraId="234BAB60" w14:textId="491132BA" w:rsidR="005D0BF6" w:rsidRPr="00BB59CB" w:rsidRDefault="005D0BF6" w:rsidP="00BB59CB">
      <w:pPr>
        <w:pStyle w:val="FootnoteText"/>
        <w:ind w:left="567" w:hanging="567"/>
        <w:rPr>
          <w:sz w:val="24"/>
          <w:lang w:val="da-DK"/>
        </w:rPr>
      </w:pPr>
      <w:r>
        <w:rPr>
          <w:rStyle w:val="FootnoteReference"/>
        </w:rPr>
        <w:footnoteRef/>
      </w:r>
      <w:r w:rsidRPr="00BB59CB">
        <w:rPr>
          <w:sz w:val="24"/>
          <w:vertAlign w:val="superscript"/>
          <w:lang w:val="da-DK"/>
        </w:rPr>
        <w:t xml:space="preserve"> </w:t>
      </w:r>
      <w:r w:rsidRPr="00BB59CB">
        <w:rPr>
          <w:sz w:val="24"/>
          <w:vertAlign w:val="superscript"/>
          <w:lang w:val="da-DK"/>
        </w:rPr>
        <w:tab/>
      </w:r>
      <w:r w:rsidRPr="00BB59CB">
        <w:rPr>
          <w:sz w:val="24"/>
          <w:lang w:val="da-DK"/>
        </w:rPr>
        <w:t xml:space="preserve">EUT L, 2024/1252, 3.5.2024, ELI: </w:t>
      </w:r>
      <w:hyperlink r:id="rId4" w:tgtFrame="http://data.europa.eu/eli/reg/2024/1252/oj" w:history="1">
        <w:r w:rsidRPr="00BB59CB">
          <w:rPr>
            <w:rStyle w:val="Hyperlink"/>
            <w:sz w:val="24"/>
            <w:lang w:val="da-DK"/>
          </w:rPr>
          <w:t>http://data.europa.eu/eli/reg/2024/1252/oj</w:t>
        </w:r>
      </w:hyperlink>
      <w:r w:rsidRPr="00BB59CB">
        <w:rPr>
          <w:sz w:val="24"/>
          <w:lang w:val="da-DK"/>
        </w:rPr>
        <w:t>.</w:t>
      </w:r>
    </w:p>
  </w:footnote>
  <w:footnote w:id="5">
    <w:p w14:paraId="5A53DEC0" w14:textId="49157CD1" w:rsidR="005D0BF6" w:rsidRPr="00BB59CB" w:rsidRDefault="005D0BF6" w:rsidP="00BB59CB">
      <w:pPr>
        <w:pStyle w:val="FootnoteText"/>
        <w:ind w:left="567" w:hanging="567"/>
        <w:rPr>
          <w:sz w:val="24"/>
          <w:lang w:val="da-DK"/>
        </w:rPr>
      </w:pPr>
      <w:r>
        <w:rPr>
          <w:rStyle w:val="FootnoteReference"/>
        </w:rPr>
        <w:footnoteRef/>
      </w:r>
      <w:r w:rsidRPr="00BB59CB">
        <w:rPr>
          <w:sz w:val="24"/>
          <w:vertAlign w:val="superscript"/>
          <w:lang w:val="da-DK"/>
        </w:rPr>
        <w:t xml:space="preserve"> </w:t>
      </w:r>
      <w:r w:rsidRPr="00BB59CB">
        <w:rPr>
          <w:sz w:val="24"/>
          <w:vertAlign w:val="superscript"/>
          <w:lang w:val="da-DK"/>
        </w:rPr>
        <w:tab/>
      </w:r>
      <w:r w:rsidRPr="00BB59CB">
        <w:rPr>
          <w:sz w:val="24"/>
          <w:lang w:val="da-DK"/>
        </w:rPr>
        <w:t xml:space="preserve">EUT L 79I af 21.3.2019, s. 1, ELI: </w:t>
      </w:r>
      <w:hyperlink r:id="rId5" w:tgtFrame="http://data.europa.eu/eli/reg/2019/452/oj" w:history="1">
        <w:r w:rsidRPr="00BB59CB">
          <w:rPr>
            <w:rStyle w:val="Hyperlink"/>
            <w:sz w:val="24"/>
            <w:lang w:val="da-DK"/>
          </w:rPr>
          <w:t>http://data.europa.eu/eli/reg/2019/452/oj</w:t>
        </w:r>
      </w:hyperlink>
      <w:r w:rsidRPr="00BB59CB">
        <w:rPr>
          <w:sz w:val="24"/>
          <w:lang w:val="da-DK"/>
        </w:rPr>
        <w:t>.</w:t>
      </w:r>
    </w:p>
  </w:footnote>
  <w:footnote w:id="6">
    <w:p w14:paraId="4B16AF3D" w14:textId="04779C86" w:rsidR="005D0BF6" w:rsidRPr="00BB59CB" w:rsidRDefault="005D0BF6" w:rsidP="00BB59CB">
      <w:pPr>
        <w:pStyle w:val="FootnoteText"/>
        <w:ind w:left="567" w:hanging="567"/>
        <w:rPr>
          <w:sz w:val="24"/>
          <w:lang w:val="da-DK"/>
        </w:rPr>
      </w:pPr>
      <w:r>
        <w:rPr>
          <w:rStyle w:val="FootnoteReference"/>
        </w:rPr>
        <w:footnoteRef/>
      </w:r>
      <w:r w:rsidRPr="00BB59CB">
        <w:rPr>
          <w:sz w:val="24"/>
          <w:vertAlign w:val="superscript"/>
          <w:lang w:val="da-DK"/>
        </w:rPr>
        <w:t xml:space="preserve"> </w:t>
      </w:r>
      <w:r w:rsidRPr="00BB59CB">
        <w:rPr>
          <w:sz w:val="24"/>
          <w:vertAlign w:val="superscript"/>
          <w:lang w:val="da-DK"/>
        </w:rPr>
        <w:tab/>
      </w:r>
      <w:r w:rsidRPr="00BB59CB">
        <w:rPr>
          <w:sz w:val="24"/>
          <w:lang w:val="da-DK"/>
        </w:rPr>
        <w:t xml:space="preserve">EUT L, 2023/2675, 7.12.2023, ELI: </w:t>
      </w:r>
      <w:hyperlink r:id="rId6" w:tgtFrame="http://data.europa.eu/eli/reg/2023/2675/oj" w:history="1">
        <w:r w:rsidRPr="00BB59CB">
          <w:rPr>
            <w:rStyle w:val="Hyperlink"/>
            <w:sz w:val="24"/>
            <w:lang w:val="da-DK"/>
          </w:rPr>
          <w:t>http://data.europa.eu/eli/reg/2023/2675/oj</w:t>
        </w:r>
      </w:hyperlink>
      <w:r w:rsidRPr="00BB59CB">
        <w:rPr>
          <w:sz w:val="24"/>
          <w:lang w:val="da-DK"/>
        </w:rPr>
        <w:t>.</w:t>
      </w:r>
    </w:p>
  </w:footnote>
  <w:footnote w:id="7">
    <w:p w14:paraId="6E2D6CBB" w14:textId="6B7C90BD" w:rsidR="005D0BF6" w:rsidRPr="00BB59CB" w:rsidRDefault="005D0BF6" w:rsidP="00BB59CB">
      <w:pPr>
        <w:pStyle w:val="FootnoteText"/>
        <w:ind w:left="567" w:hanging="567"/>
        <w:rPr>
          <w:sz w:val="24"/>
          <w:lang w:val="da-DK"/>
        </w:rPr>
      </w:pPr>
      <w:r>
        <w:rPr>
          <w:rStyle w:val="FootnoteReference"/>
        </w:rPr>
        <w:footnoteRef/>
      </w:r>
      <w:r w:rsidRPr="00BB59CB">
        <w:rPr>
          <w:sz w:val="24"/>
          <w:vertAlign w:val="superscript"/>
          <w:lang w:val="da-DK"/>
        </w:rPr>
        <w:t xml:space="preserve"> </w:t>
      </w:r>
      <w:r w:rsidRPr="00BB59CB">
        <w:rPr>
          <w:sz w:val="24"/>
          <w:vertAlign w:val="superscript"/>
          <w:lang w:val="da-DK"/>
        </w:rPr>
        <w:tab/>
      </w:r>
      <w:r w:rsidRPr="00BB59CB">
        <w:rPr>
          <w:sz w:val="24"/>
          <w:lang w:val="da-DK"/>
        </w:rPr>
        <w:t xml:space="preserve">EUT L 206 af 11.6.2021, s. 1, ELI: </w:t>
      </w:r>
      <w:hyperlink r:id="rId7" w:tgtFrame="http://data.europa.eu/eli/reg/2021/821/oj" w:history="1">
        <w:r w:rsidRPr="00BB59CB">
          <w:rPr>
            <w:rStyle w:val="Hyperlink"/>
            <w:sz w:val="24"/>
            <w:lang w:val="da-DK"/>
          </w:rPr>
          <w:t>http://data.europa.eu/eli/reg/2021/821/oj</w:t>
        </w:r>
      </w:hyperlink>
      <w:r w:rsidRPr="00BB59CB">
        <w:rPr>
          <w:sz w:val="24"/>
          <w:lang w:val="da-DK"/>
        </w:rPr>
        <w:t>.</w:t>
      </w:r>
    </w:p>
  </w:footnote>
  <w:footnote w:id="8">
    <w:p w14:paraId="2677DCFD" w14:textId="73031525" w:rsidR="005D0BF6" w:rsidRPr="00BB59CB" w:rsidRDefault="005D0BF6" w:rsidP="00BB59CB">
      <w:pPr>
        <w:pStyle w:val="FootnoteText"/>
        <w:ind w:left="567" w:hanging="567"/>
        <w:rPr>
          <w:sz w:val="24"/>
          <w:lang w:val="da-DK"/>
        </w:rPr>
      </w:pPr>
      <w:r>
        <w:rPr>
          <w:rStyle w:val="FootnoteReference"/>
        </w:rPr>
        <w:footnoteRef/>
      </w:r>
      <w:r w:rsidRPr="00BB59CB">
        <w:rPr>
          <w:sz w:val="24"/>
          <w:vertAlign w:val="superscript"/>
          <w:lang w:val="da-DK"/>
        </w:rPr>
        <w:t xml:space="preserve"> </w:t>
      </w:r>
      <w:r w:rsidRPr="00BB59CB">
        <w:rPr>
          <w:sz w:val="24"/>
          <w:vertAlign w:val="superscript"/>
          <w:lang w:val="da-DK"/>
        </w:rPr>
        <w:tab/>
      </w:r>
      <w:r w:rsidRPr="00BB59CB">
        <w:rPr>
          <w:sz w:val="24"/>
          <w:lang w:val="da-DK"/>
        </w:rPr>
        <w:t xml:space="preserve">EUT C, C/2026/1436, 31.3.2026, ELI: </w:t>
      </w:r>
      <w:hyperlink r:id="rId8" w:tgtFrame="http://data.europa.eu/eli/C/2026/1436/oj" w:history="1">
        <w:r w:rsidRPr="00BB59CB">
          <w:rPr>
            <w:rStyle w:val="Hyperlink"/>
            <w:sz w:val="24"/>
            <w:lang w:val="da-DK"/>
          </w:rPr>
          <w:t>http://data.europa.eu/eli/C/2026/1436/oj</w:t>
        </w:r>
      </w:hyperlink>
      <w:r w:rsidRPr="00BB59CB">
        <w:rPr>
          <w:sz w:val="24"/>
          <w:lang w:val="da-DK"/>
        </w:rPr>
        <w:t>.</w:t>
      </w:r>
    </w:p>
  </w:footnote>
  <w:footnote w:id="9">
    <w:p w14:paraId="3C27661C" w14:textId="7CE5C1B5" w:rsidR="005D0BF6" w:rsidRPr="00BB59CB" w:rsidRDefault="005D0BF6" w:rsidP="00BB59CB">
      <w:pPr>
        <w:pStyle w:val="FootnoteText"/>
        <w:ind w:left="567" w:hanging="567"/>
        <w:rPr>
          <w:sz w:val="24"/>
          <w:lang w:val="da-DK"/>
        </w:rPr>
      </w:pPr>
      <w:r>
        <w:rPr>
          <w:rStyle w:val="FootnoteReference"/>
        </w:rPr>
        <w:footnoteRef/>
      </w:r>
      <w:r w:rsidRPr="00BB59CB">
        <w:rPr>
          <w:sz w:val="24"/>
          <w:vertAlign w:val="superscript"/>
          <w:lang w:val="da-DK"/>
        </w:rPr>
        <w:t xml:space="preserve"> </w:t>
      </w:r>
      <w:r w:rsidRPr="00BB59CB">
        <w:rPr>
          <w:sz w:val="24"/>
          <w:vertAlign w:val="superscript"/>
          <w:lang w:val="da-DK"/>
        </w:rPr>
        <w:tab/>
      </w:r>
      <w:r w:rsidRPr="00BB59CB">
        <w:rPr>
          <w:sz w:val="24"/>
          <w:lang w:val="da-DK"/>
        </w:rPr>
        <w:t xml:space="preserve">EUT C, C/2026/1674, 22.4.2026, ELI: </w:t>
      </w:r>
      <w:hyperlink r:id="rId9" w:tgtFrame="http://data.europa.eu/eli/C/2026/1674/oj" w:history="1">
        <w:r w:rsidRPr="00BB59CB">
          <w:rPr>
            <w:rStyle w:val="Hyperlink"/>
            <w:sz w:val="24"/>
            <w:lang w:val="da-DK"/>
          </w:rPr>
          <w:t>http://data.europa.eu/eli/C/2026/1674/oj</w:t>
        </w:r>
      </w:hyperlink>
      <w:r w:rsidRPr="00BB59CB">
        <w:rPr>
          <w:sz w:val="24"/>
          <w:lang w:val="da-DK"/>
        </w:rPr>
        <w:t>.</w:t>
      </w:r>
    </w:p>
  </w:footnote>
  <w:footnote w:id="10">
    <w:p w14:paraId="56479C36" w14:textId="6B2E3520" w:rsidR="005D0BF6" w:rsidRPr="00BB59CB" w:rsidRDefault="005D0BF6" w:rsidP="00BB59CB">
      <w:pPr>
        <w:pStyle w:val="FootnoteText"/>
        <w:ind w:left="567" w:hanging="567"/>
        <w:rPr>
          <w:sz w:val="24"/>
          <w:lang w:val="da-DK"/>
        </w:rPr>
      </w:pPr>
      <w:r>
        <w:rPr>
          <w:rStyle w:val="FootnoteReference"/>
        </w:rPr>
        <w:footnoteRef/>
      </w:r>
      <w:r w:rsidRPr="00BB59CB">
        <w:rPr>
          <w:sz w:val="24"/>
          <w:vertAlign w:val="superscript"/>
          <w:lang w:val="da-DK"/>
        </w:rPr>
        <w:t xml:space="preserve"> </w:t>
      </w:r>
      <w:r w:rsidRPr="00BB59CB">
        <w:rPr>
          <w:sz w:val="24"/>
          <w:vertAlign w:val="superscript"/>
          <w:lang w:val="da-DK"/>
        </w:rPr>
        <w:tab/>
      </w:r>
      <w:r w:rsidRPr="00BB59CB">
        <w:rPr>
          <w:sz w:val="24"/>
          <w:lang w:val="da-DK"/>
        </w:rPr>
        <w:t xml:space="preserve">Europa-Parlamentets og Rådets direktiv (EU) 2024/1760 af 13. juni 2024 om virksomheders due diligence i forbindelse med bæredygtighed og om ændring af direktiv (EU) 2019/1937 og forordning (EU) 2023/2859 (EUT L, 2024/1760, 5.7.2024, ELI: </w:t>
      </w:r>
      <w:hyperlink r:id="rId10" w:tgtFrame="http://data.europa.eu/eli/dir/2024/1760/oj" w:history="1">
        <w:r w:rsidRPr="00BB59CB">
          <w:rPr>
            <w:rStyle w:val="Hyperlink"/>
            <w:sz w:val="24"/>
            <w:lang w:val="da-DK"/>
          </w:rPr>
          <w:t>http://data.europa.eu/eli/dir/2024/1760/oj</w:t>
        </w:r>
      </w:hyperlink>
      <w:r w:rsidRPr="00BB59CB">
        <w:rPr>
          <w:sz w:val="24"/>
          <w:lang w:val="da-DK"/>
        </w:rPr>
        <w:t>).</w:t>
      </w:r>
    </w:p>
  </w:footnote>
  <w:footnote w:id="11">
    <w:p w14:paraId="7BCDA7A8" w14:textId="3FB10D24" w:rsidR="005D0BF6" w:rsidRPr="00BB59CB" w:rsidRDefault="005D0BF6" w:rsidP="00BB59CB">
      <w:pPr>
        <w:pStyle w:val="FootnoteText"/>
        <w:ind w:left="567" w:hanging="567"/>
        <w:rPr>
          <w:sz w:val="24"/>
          <w:lang w:val="da-DK"/>
        </w:rPr>
      </w:pPr>
      <w:r>
        <w:rPr>
          <w:rStyle w:val="FootnoteReference"/>
        </w:rPr>
        <w:footnoteRef/>
      </w:r>
      <w:r w:rsidRPr="00BB59CB">
        <w:rPr>
          <w:sz w:val="24"/>
          <w:vertAlign w:val="superscript"/>
          <w:lang w:val="da-DK"/>
        </w:rPr>
        <w:t xml:space="preserve"> </w:t>
      </w:r>
      <w:r w:rsidRPr="00BB59CB">
        <w:rPr>
          <w:sz w:val="24"/>
          <w:vertAlign w:val="superscript"/>
          <w:lang w:val="da-DK"/>
        </w:rPr>
        <w:tab/>
      </w:r>
      <w:r w:rsidRPr="00BB59CB">
        <w:rPr>
          <w:sz w:val="24"/>
          <w:lang w:val="da-DK"/>
        </w:rPr>
        <w:t xml:space="preserve">Europa-Parlamentets og Rådets forordning (EU) 2023/1115 af 31. maj 2023 om tilgængeliggørelse på EU-markedet og eksport fra Unionen af visse råvarer og produkter, der er forbundet med skovrydning og skovforringelse, og om ophævelse af forordning (EU) nr. 995/2010 (EUT L 150 af 9.6.2023, s. 206, ELI: </w:t>
      </w:r>
      <w:hyperlink r:id="rId11" w:tgtFrame="http://data.europa.eu/eli/reg/2023/1115/oj" w:history="1">
        <w:r w:rsidRPr="00BB59CB">
          <w:rPr>
            <w:rStyle w:val="Hyperlink"/>
            <w:sz w:val="24"/>
            <w:lang w:val="da-DK"/>
          </w:rPr>
          <w:t>http://data.europa.eu/eli/reg/2023/1115/oj</w:t>
        </w:r>
      </w:hyperlink>
      <w:r w:rsidRPr="00BB59CB">
        <w:rPr>
          <w:sz w:val="24"/>
          <w:lang w:val="da-DK"/>
        </w:rPr>
        <w:t>).</w:t>
      </w:r>
    </w:p>
  </w:footnote>
  <w:footnote w:id="12">
    <w:p w14:paraId="0C409625" w14:textId="6ABAB688" w:rsidR="005D0BF6" w:rsidRPr="00BB59CB" w:rsidRDefault="005D0BF6" w:rsidP="00BB59CB">
      <w:pPr>
        <w:pStyle w:val="FootnoteText"/>
        <w:ind w:left="567" w:hanging="567"/>
        <w:rPr>
          <w:sz w:val="24"/>
          <w:lang w:val="da-DK"/>
        </w:rPr>
      </w:pPr>
      <w:r>
        <w:rPr>
          <w:rStyle w:val="FootnoteReference"/>
        </w:rPr>
        <w:footnoteRef/>
      </w:r>
      <w:r w:rsidRPr="00BB59CB">
        <w:rPr>
          <w:sz w:val="24"/>
          <w:vertAlign w:val="superscript"/>
          <w:lang w:val="da-DK"/>
        </w:rPr>
        <w:t xml:space="preserve"> </w:t>
      </w:r>
      <w:r w:rsidRPr="00BB59CB">
        <w:rPr>
          <w:sz w:val="24"/>
          <w:vertAlign w:val="superscript"/>
          <w:lang w:val="da-DK"/>
        </w:rPr>
        <w:tab/>
      </w:r>
      <w:r w:rsidRPr="00BB59CB">
        <w:rPr>
          <w:sz w:val="24"/>
          <w:lang w:val="da-DK"/>
        </w:rPr>
        <w:t xml:space="preserve">Europa-Parlamentets og Rådets forordning (EU) 2024/3015 af 27. november 2024 om forbud mod produkter fremstillet ved tvangsarbejde på EU-markedet og om ændring af direktiv (EU) 2019/1937 (EUT L, 2024/3015, 12.12.2024, ELI: </w:t>
      </w:r>
      <w:hyperlink r:id="rId12" w:tgtFrame="http://data.europa.eu/eli/reg/2024/3015/oj" w:history="1">
        <w:r w:rsidRPr="00BB59CB">
          <w:rPr>
            <w:rStyle w:val="Hyperlink"/>
            <w:sz w:val="24"/>
            <w:lang w:val="da-DK"/>
          </w:rPr>
          <w:t>http://data.europa.eu/eli/reg/2024/3015/oj</w:t>
        </w:r>
      </w:hyperlink>
      <w:r w:rsidRPr="00BB59CB">
        <w:rPr>
          <w:sz w:val="24"/>
          <w:lang w:val="da-DK"/>
        </w:rPr>
        <w:t>).</w:t>
      </w:r>
    </w:p>
  </w:footnote>
  <w:footnote w:id="13">
    <w:p w14:paraId="37F2D18E" w14:textId="17148495" w:rsidR="005D0BF6" w:rsidRPr="00BB59CB" w:rsidRDefault="005D0BF6" w:rsidP="00BB59CB">
      <w:pPr>
        <w:pStyle w:val="FootnoteText"/>
        <w:ind w:left="567" w:hanging="567"/>
        <w:rPr>
          <w:sz w:val="24"/>
          <w:lang w:val="da-DK"/>
        </w:rPr>
      </w:pPr>
      <w:r>
        <w:rPr>
          <w:rStyle w:val="FootnoteReference"/>
        </w:rPr>
        <w:footnoteRef/>
      </w:r>
      <w:r w:rsidRPr="00BB59CB">
        <w:rPr>
          <w:sz w:val="24"/>
          <w:vertAlign w:val="superscript"/>
          <w:lang w:val="da-DK"/>
        </w:rPr>
        <w:t xml:space="preserve"> </w:t>
      </w:r>
      <w:r w:rsidRPr="00BB59CB">
        <w:rPr>
          <w:sz w:val="24"/>
          <w:vertAlign w:val="superscript"/>
          <w:lang w:val="da-DK"/>
        </w:rPr>
        <w:tab/>
      </w:r>
      <w:r w:rsidRPr="00BB59CB">
        <w:rPr>
          <w:sz w:val="24"/>
          <w:lang w:val="da-DK"/>
        </w:rPr>
        <w:t xml:space="preserve">Europa-Parlamentets og Rådets forordning (EU) 2023/988 af 10. maj 2023 om produktsikkerhed i almindelighed, om ændring af Europa-Parlamentets og Rådets forordning (EU) nr. 1025/2012 og Europa-Parlamentets og Rådets direktiv (EU) 2020/1828 og om ophævelse af Europa-Parlamentets og Rådets direktiv 2001/95/EF og Rådets direktiv 87/357/EØF (EUT L 135 af 23.5.2023, s. 1, ELI: </w:t>
      </w:r>
      <w:hyperlink r:id="rId13" w:tgtFrame="http://data.europa.eu/eli/reg/2023/988/oj" w:history="1">
        <w:r w:rsidRPr="00BB59CB">
          <w:rPr>
            <w:rStyle w:val="Hyperlink"/>
            <w:sz w:val="24"/>
            <w:lang w:val="da-DK"/>
          </w:rPr>
          <w:t>http://data.europa.eu/eli/reg/2023/988/oj</w:t>
        </w:r>
      </w:hyperlink>
      <w:r w:rsidRPr="00BB59CB">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D3537" w14:textId="77777777" w:rsidR="00064002" w:rsidRPr="00BB59C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77BE6" w14:textId="77777777" w:rsidR="00064002" w:rsidRPr="00BB59C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CB296" w14:textId="77777777" w:rsidR="00064002" w:rsidRPr="00BB59C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36208880">
    <w:abstractNumId w:val="9"/>
  </w:num>
  <w:num w:numId="2" w16cid:durableId="134763117">
    <w:abstractNumId w:val="9"/>
  </w:num>
  <w:num w:numId="3" w16cid:durableId="35010180">
    <w:abstractNumId w:val="7"/>
  </w:num>
  <w:num w:numId="4" w16cid:durableId="1485778616">
    <w:abstractNumId w:val="7"/>
  </w:num>
  <w:num w:numId="5" w16cid:durableId="775053554">
    <w:abstractNumId w:val="6"/>
  </w:num>
  <w:num w:numId="6" w16cid:durableId="332533582">
    <w:abstractNumId w:val="6"/>
  </w:num>
  <w:num w:numId="7" w16cid:durableId="317537669">
    <w:abstractNumId w:val="5"/>
  </w:num>
  <w:num w:numId="8" w16cid:durableId="147671863">
    <w:abstractNumId w:val="5"/>
  </w:num>
  <w:num w:numId="9" w16cid:durableId="1169560467">
    <w:abstractNumId w:val="4"/>
  </w:num>
  <w:num w:numId="10" w16cid:durableId="44381658">
    <w:abstractNumId w:val="4"/>
  </w:num>
  <w:num w:numId="11" w16cid:durableId="487094255">
    <w:abstractNumId w:val="8"/>
  </w:num>
  <w:num w:numId="12" w16cid:durableId="1557817200">
    <w:abstractNumId w:val="8"/>
  </w:num>
  <w:num w:numId="13" w16cid:durableId="922841290">
    <w:abstractNumId w:val="3"/>
  </w:num>
  <w:num w:numId="14" w16cid:durableId="38745096">
    <w:abstractNumId w:val="3"/>
  </w:num>
  <w:num w:numId="15" w16cid:durableId="902910767">
    <w:abstractNumId w:val="2"/>
  </w:num>
  <w:num w:numId="16" w16cid:durableId="672882273">
    <w:abstractNumId w:val="2"/>
  </w:num>
  <w:num w:numId="17" w16cid:durableId="103501319">
    <w:abstractNumId w:val="1"/>
  </w:num>
  <w:num w:numId="18" w16cid:durableId="210121084">
    <w:abstractNumId w:val="1"/>
  </w:num>
  <w:num w:numId="19" w16cid:durableId="293104951">
    <w:abstractNumId w:val="0"/>
  </w:num>
  <w:num w:numId="20" w16cid:durableId="1371959440">
    <w:abstractNumId w:val="0"/>
  </w:num>
  <w:num w:numId="21" w16cid:durableId="1090390376">
    <w:abstractNumId w:val="9"/>
  </w:num>
  <w:num w:numId="22" w16cid:durableId="1732463383">
    <w:abstractNumId w:val="7"/>
  </w:num>
  <w:num w:numId="23" w16cid:durableId="765812902">
    <w:abstractNumId w:val="6"/>
  </w:num>
  <w:num w:numId="24" w16cid:durableId="1431855345">
    <w:abstractNumId w:val="5"/>
  </w:num>
  <w:num w:numId="25" w16cid:durableId="474104196">
    <w:abstractNumId w:val="4"/>
  </w:num>
  <w:num w:numId="26" w16cid:durableId="440146632">
    <w:abstractNumId w:val="8"/>
  </w:num>
  <w:num w:numId="27" w16cid:durableId="1355156374">
    <w:abstractNumId w:val="3"/>
  </w:num>
  <w:num w:numId="28" w16cid:durableId="318848470">
    <w:abstractNumId w:val="2"/>
  </w:num>
  <w:num w:numId="29" w16cid:durableId="1226456880">
    <w:abstractNumId w:val="1"/>
  </w:num>
  <w:num w:numId="30" w16cid:durableId="2001422081">
    <w:abstractNumId w:val="0"/>
  </w:num>
  <w:num w:numId="31" w16cid:durableId="1570920230">
    <w:abstractNumId w:val="9"/>
  </w:num>
  <w:num w:numId="32" w16cid:durableId="966005735">
    <w:abstractNumId w:val="7"/>
  </w:num>
  <w:num w:numId="33" w16cid:durableId="1608998758">
    <w:abstractNumId w:val="6"/>
  </w:num>
  <w:num w:numId="34" w16cid:durableId="1832477705">
    <w:abstractNumId w:val="5"/>
  </w:num>
  <w:num w:numId="35" w16cid:durableId="203249532">
    <w:abstractNumId w:val="4"/>
  </w:num>
  <w:num w:numId="36" w16cid:durableId="1497569385">
    <w:abstractNumId w:val="8"/>
  </w:num>
  <w:num w:numId="37" w16cid:durableId="1635790595">
    <w:abstractNumId w:val="3"/>
  </w:num>
  <w:num w:numId="38" w16cid:durableId="1105269936">
    <w:abstractNumId w:val="2"/>
  </w:num>
  <w:num w:numId="39" w16cid:durableId="2074113207">
    <w:abstractNumId w:val="1"/>
  </w:num>
  <w:num w:numId="40" w16cid:durableId="685717721">
    <w:abstractNumId w:val="0"/>
  </w:num>
  <w:num w:numId="41" w16cid:durableId="489948089">
    <w:abstractNumId w:val="10"/>
  </w:num>
  <w:num w:numId="42" w16cid:durableId="1715226383">
    <w:abstractNumId w:val="10"/>
  </w:num>
  <w:num w:numId="43" w16cid:durableId="979186860">
    <w:abstractNumId w:val="10"/>
  </w:num>
  <w:num w:numId="44" w16cid:durableId="11867543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2/2026"/>
    <w:docVar w:name="dvlangue" w:val="DA"/>
    <w:docVar w:name="dvnumam" w:val="0"/>
    <w:docVar w:name="dvpe" w:val="784.156"/>
    <w:docVar w:name="dvrapporteur" w:val="Ordfører: "/>
    <w:docVar w:name="dvtitre" w:val="Europa-Parlamentets beslutning af xx. maj 2026 om muligheder og udfordringer i forbindelse med en omfattende strategi for kunstig intelligens for EU's handel(2025/2112(INI))"/>
  </w:docVars>
  <w:rsids>
    <w:rsidRoot w:val="00812439"/>
    <w:rsid w:val="00002272"/>
    <w:rsid w:val="00015A72"/>
    <w:rsid w:val="00042196"/>
    <w:rsid w:val="00064002"/>
    <w:rsid w:val="000677B9"/>
    <w:rsid w:val="000831BA"/>
    <w:rsid w:val="000A42CC"/>
    <w:rsid w:val="000E7DD9"/>
    <w:rsid w:val="0010095E"/>
    <w:rsid w:val="00125B37"/>
    <w:rsid w:val="0016018E"/>
    <w:rsid w:val="00177171"/>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555F"/>
    <w:rsid w:val="005072A1"/>
    <w:rsid w:val="00514517"/>
    <w:rsid w:val="00545827"/>
    <w:rsid w:val="00560270"/>
    <w:rsid w:val="005C2568"/>
    <w:rsid w:val="005D0BF6"/>
    <w:rsid w:val="005E5117"/>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2439"/>
    <w:rsid w:val="00817416"/>
    <w:rsid w:val="00842779"/>
    <w:rsid w:val="00865F67"/>
    <w:rsid w:val="008753CE"/>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59CB"/>
    <w:rsid w:val="00BD48FE"/>
    <w:rsid w:val="00BD7BD8"/>
    <w:rsid w:val="00BE6ADC"/>
    <w:rsid w:val="00C05BFE"/>
    <w:rsid w:val="00C23CD4"/>
    <w:rsid w:val="00C61C0C"/>
    <w:rsid w:val="00C941CB"/>
    <w:rsid w:val="00CC2357"/>
    <w:rsid w:val="00CF071A"/>
    <w:rsid w:val="00D058B8"/>
    <w:rsid w:val="00D56BEC"/>
    <w:rsid w:val="00D56C11"/>
    <w:rsid w:val="00D834A0"/>
    <w:rsid w:val="00D84CE8"/>
    <w:rsid w:val="00D872DF"/>
    <w:rsid w:val="00D91E21"/>
    <w:rsid w:val="00DA7FCD"/>
    <w:rsid w:val="00DE1EF6"/>
    <w:rsid w:val="00E24BB6"/>
    <w:rsid w:val="00E365E1"/>
    <w:rsid w:val="00E820A4"/>
    <w:rsid w:val="00EA117F"/>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6466DF"/>
  <w15:chartTrackingRefBased/>
  <w15:docId w15:val="{3F234303-F62C-4A43-B43A-51F0B79B0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5E5117"/>
    <w:pPr>
      <w:widowControl/>
      <w:spacing w:after="240"/>
    </w:pPr>
    <w:rPr>
      <w:szCs w:val="24"/>
      <w:lang w:eastAsia="en-US"/>
    </w:rPr>
  </w:style>
  <w:style w:type="paragraph" w:customStyle="1" w:styleId="NormalHanging12a">
    <w:name w:val="NormalHanging12a"/>
    <w:basedOn w:val="Normal"/>
    <w:rsid w:val="005E5117"/>
    <w:pPr>
      <w:widowControl/>
      <w:spacing w:after="240"/>
      <w:ind w:left="566" w:hanging="566"/>
    </w:pPr>
    <w:rPr>
      <w:szCs w:val="24"/>
      <w:lang w:eastAsia="en-US"/>
    </w:rPr>
  </w:style>
  <w:style w:type="paragraph" w:customStyle="1" w:styleId="Normal12">
    <w:name w:val="Normal12"/>
    <w:basedOn w:val="Normal"/>
    <w:rsid w:val="005E5117"/>
    <w:pPr>
      <w:widowControl/>
      <w:spacing w:after="240"/>
    </w:pPr>
    <w:rPr>
      <w:szCs w:val="24"/>
      <w:lang w:eastAsia="en-US"/>
    </w:rPr>
  </w:style>
  <w:style w:type="paragraph" w:customStyle="1" w:styleId="NormalHanging">
    <w:name w:val="NormalHanging"/>
    <w:basedOn w:val="Normal"/>
    <w:rsid w:val="005E5117"/>
    <w:pPr>
      <w:widowControl/>
      <w:spacing w:after="240"/>
      <w:ind w:left="566" w:hanging="566"/>
    </w:pPr>
    <w:rPr>
      <w:szCs w:val="24"/>
      <w:lang w:eastAsia="en-US"/>
    </w:rPr>
  </w:style>
  <w:style w:type="paragraph" w:customStyle="1" w:styleId="NormalCenter12a">
    <w:name w:val="NormalCenter12a"/>
    <w:basedOn w:val="Normal"/>
    <w:rsid w:val="005E5117"/>
    <w:pPr>
      <w:widowControl/>
      <w:spacing w:after="240"/>
      <w:jc w:val="center"/>
    </w:pPr>
    <w:rPr>
      <w:szCs w:val="24"/>
      <w:lang w:eastAsia="en-US"/>
    </w:rPr>
  </w:style>
  <w:style w:type="character" w:styleId="Hyperlink">
    <w:name w:val="Hyperlink"/>
    <w:basedOn w:val="DefaultParagraphFont"/>
    <w:rsid w:val="005E5117"/>
    <w:rPr>
      <w:color w:val="0000FF"/>
      <w:u w:val="single"/>
    </w:rPr>
  </w:style>
  <w:style w:type="paragraph" w:styleId="Revision">
    <w:name w:val="Revision"/>
    <w:hidden/>
    <w:uiPriority w:val="99"/>
    <w:semiHidden/>
    <w:rsid w:val="005D0BF6"/>
    <w:rPr>
      <w:sz w:val="24"/>
      <w:lang w:val="da-DK"/>
    </w:rPr>
  </w:style>
  <w:style w:type="character" w:styleId="FollowedHyperlink">
    <w:name w:val="FollowedHyperlink"/>
    <w:basedOn w:val="DefaultParagraphFont"/>
    <w:rsid w:val="005D0BF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6/1436/oj" TargetMode="External"/><Relationship Id="rId13" Type="http://schemas.openxmlformats.org/officeDocument/2006/relationships/hyperlink" Target="http://data.europa.eu/eli/reg/2023/988/oj" TargetMode="External"/><Relationship Id="rId3" Type="http://schemas.openxmlformats.org/officeDocument/2006/relationships/hyperlink" Target="http://data.europa.eu/eli/reg/2023/1781/oj" TargetMode="External"/><Relationship Id="rId7" Type="http://schemas.openxmlformats.org/officeDocument/2006/relationships/hyperlink" Target="http://data.europa.eu/eli/reg/2021/821/oj" TargetMode="External"/><Relationship Id="rId12" Type="http://schemas.openxmlformats.org/officeDocument/2006/relationships/hyperlink" Target="http://data.europa.eu/eli/reg/2024/3015/oj" TargetMode="External"/><Relationship Id="rId2" Type="http://schemas.openxmlformats.org/officeDocument/2006/relationships/hyperlink" Target="http://data.europa.eu/eli/reg/2016/679/oj" TargetMode="External"/><Relationship Id="rId1" Type="http://schemas.openxmlformats.org/officeDocument/2006/relationships/hyperlink" Target="http://data.europa.eu/eli/reg/2024/1689/oj" TargetMode="External"/><Relationship Id="rId6" Type="http://schemas.openxmlformats.org/officeDocument/2006/relationships/hyperlink" Target="http://data.europa.eu/eli/reg/2023/2675/oj" TargetMode="External"/><Relationship Id="rId11" Type="http://schemas.openxmlformats.org/officeDocument/2006/relationships/hyperlink" Target="http://data.europa.eu/eli/reg/2023/1115/oj" TargetMode="External"/><Relationship Id="rId5" Type="http://schemas.openxmlformats.org/officeDocument/2006/relationships/hyperlink" Target="http://data.europa.eu/eli/reg/2019/452/oj" TargetMode="External"/><Relationship Id="rId10" Type="http://schemas.openxmlformats.org/officeDocument/2006/relationships/hyperlink" Target="http://data.europa.eu/eli/dir/2024/1760/oj" TargetMode="External"/><Relationship Id="rId4" Type="http://schemas.openxmlformats.org/officeDocument/2006/relationships/hyperlink" Target="http://data.europa.eu/eli/reg/2024/1252/oj" TargetMode="External"/><Relationship Id="rId9" Type="http://schemas.openxmlformats.org/officeDocument/2006/relationships/hyperlink" Target="http://data.europa.eu/eli/C/2026/167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4119</Words>
  <Characters>27753</Characters>
  <Application>Microsoft Office Word</Application>
  <DocSecurity>0</DocSecurity>
  <Lines>578</Lines>
  <Paragraphs>282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Anja Nielsen</dc:creator>
  <cp:keywords/>
  <cp:lastModifiedBy>JOHANNSEN Lena</cp:lastModifiedBy>
  <cp:revision>2</cp:revision>
  <cp:lastPrinted>2004-11-19T15:42:00Z</cp:lastPrinted>
  <dcterms:created xsi:type="dcterms:W3CDTF">2026-06-25T07:40:00Z</dcterms:created>
  <dcterms:modified xsi:type="dcterms:W3CDTF">2026-06-25T07:40:00Z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P10_TA-PROV(2026)0183_A10-0122_2026_</vt:lpwstr>
  </property>
  <property fmtid="{D5CDD505-2E9C-101B-9397-08002B2CF9AE}" pid="4" name="&lt;Type&gt;">
    <vt:lpwstr>RR</vt:lpwstr>
  </property>
</Properties>
</file>