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2B3" w14:paraId="0AF86EF4" w14:textId="77777777" w:rsidTr="0010095E">
        <w:trPr>
          <w:trHeight w:hRule="exact" w:val="1418"/>
        </w:trPr>
        <w:tc>
          <w:tcPr>
            <w:tcW w:w="6804" w:type="dxa"/>
            <w:shd w:val="clear" w:color="auto" w:fill="auto"/>
            <w:vAlign w:val="center"/>
          </w:tcPr>
          <w:p w14:paraId="74C78ABA" w14:textId="77777777" w:rsidR="00751A4A" w:rsidRPr="008E52B3" w:rsidRDefault="00914C5C" w:rsidP="0010095E">
            <w:pPr>
              <w:pStyle w:val="EPName"/>
            </w:pPr>
            <w:r w:rsidRPr="008E52B3">
              <w:t>Ευρωπαϊκό Κοινοβούλιο</w:t>
            </w:r>
          </w:p>
          <w:p w14:paraId="2621F6FC" w14:textId="77777777" w:rsidR="00751A4A" w:rsidRPr="008E52B3" w:rsidRDefault="005F1B17" w:rsidP="005F1B17">
            <w:pPr>
              <w:pStyle w:val="EPTerm"/>
              <w:rPr>
                <w:rStyle w:val="HideTWBExt"/>
                <w:noProof w:val="0"/>
                <w:vanish w:val="0"/>
                <w:color w:val="auto"/>
              </w:rPr>
            </w:pPr>
            <w:r w:rsidRPr="008E52B3">
              <w:t>2024</w:t>
            </w:r>
            <w:r w:rsidR="00817416" w:rsidRPr="008E52B3">
              <w:t>-202</w:t>
            </w:r>
            <w:r w:rsidRPr="008E52B3">
              <w:t>9</w:t>
            </w:r>
          </w:p>
        </w:tc>
        <w:tc>
          <w:tcPr>
            <w:tcW w:w="2268" w:type="dxa"/>
            <w:shd w:val="clear" w:color="auto" w:fill="auto"/>
          </w:tcPr>
          <w:p w14:paraId="000CED4E" w14:textId="77777777" w:rsidR="00751A4A" w:rsidRPr="008E52B3" w:rsidRDefault="00187494" w:rsidP="0010095E">
            <w:pPr>
              <w:pStyle w:val="EPLogo"/>
            </w:pPr>
            <w:r w:rsidRPr="008E52B3">
              <w:rPr>
                <w:noProof/>
                <w:lang w:eastAsia="ja-JP"/>
              </w:rPr>
              <w:drawing>
                <wp:inline distT="0" distB="0" distL="0" distR="0" wp14:anchorId="0ACECB27" wp14:editId="3A544E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C54128" w14:textId="77777777" w:rsidR="00D058B8" w:rsidRPr="008E52B3" w:rsidRDefault="00D058B8" w:rsidP="004C5D52">
      <w:pPr>
        <w:pStyle w:val="LineTop"/>
      </w:pPr>
    </w:p>
    <w:p w14:paraId="6561A411" w14:textId="77777777" w:rsidR="00680577" w:rsidRPr="008E52B3" w:rsidRDefault="00914C5C" w:rsidP="00680577">
      <w:pPr>
        <w:pStyle w:val="EPBodyTA1"/>
      </w:pPr>
      <w:r w:rsidRPr="008E52B3">
        <w:t>ΚΕΙΜΕΝΑ ΠΟΥ ΕΓΚΡΙΘΗΚΑΝ</w:t>
      </w:r>
    </w:p>
    <w:p w14:paraId="6DE016A3" w14:textId="77777777" w:rsidR="00D058B8" w:rsidRPr="008E52B3" w:rsidRDefault="00D058B8" w:rsidP="00D058B8">
      <w:pPr>
        <w:pStyle w:val="LineBottom"/>
      </w:pPr>
    </w:p>
    <w:p w14:paraId="48D14BB9" w14:textId="6D569308" w:rsidR="00914C5C" w:rsidRPr="008E52B3" w:rsidRDefault="00914C5C" w:rsidP="00914C5C">
      <w:pPr>
        <w:pStyle w:val="ATHeading1"/>
      </w:pPr>
      <w:bookmarkStart w:id="0" w:name="TANumber"/>
      <w:r w:rsidRPr="008E52B3">
        <w:t>P10_TA(2026)0</w:t>
      </w:r>
      <w:r w:rsidR="008E52B3" w:rsidRPr="008E52B3">
        <w:t>183</w:t>
      </w:r>
      <w:bookmarkEnd w:id="0"/>
    </w:p>
    <w:p w14:paraId="2052D040" w14:textId="77777777" w:rsidR="00914C5C" w:rsidRPr="008E52B3" w:rsidRDefault="00914C5C" w:rsidP="00914C5C">
      <w:pPr>
        <w:pStyle w:val="ATHeading2"/>
      </w:pPr>
      <w:bookmarkStart w:id="1" w:name="title"/>
      <w:r w:rsidRPr="008E52B3">
        <w:t>Ευκαιρίες και προκλήσεις που παρουσιάζει μια ολοκληρωμένη στρατηγική τεχνητής νοημοσύνης για το εμπόριο της ΕΕ</w:t>
      </w:r>
      <w:bookmarkEnd w:id="1"/>
    </w:p>
    <w:p w14:paraId="240BEB23" w14:textId="77777777" w:rsidR="00914C5C" w:rsidRPr="008E52B3" w:rsidRDefault="00914C5C" w:rsidP="00914C5C">
      <w:pPr>
        <w:rPr>
          <w:i/>
          <w:vanish/>
        </w:rPr>
      </w:pPr>
      <w:r w:rsidRPr="008E52B3">
        <w:rPr>
          <w:i/>
        </w:rPr>
        <w:fldChar w:fldCharType="begin"/>
      </w:r>
      <w:r w:rsidRPr="008E52B3">
        <w:rPr>
          <w:i/>
        </w:rPr>
        <w:instrText xml:space="preserve"> TC"(</w:instrText>
      </w:r>
      <w:bookmarkStart w:id="2" w:name="DocNumber"/>
      <w:r w:rsidRPr="008E52B3">
        <w:rPr>
          <w:i/>
        </w:rPr>
        <w:instrText>A10-0122/2026</w:instrText>
      </w:r>
      <w:bookmarkEnd w:id="2"/>
      <w:r w:rsidRPr="008E52B3">
        <w:rPr>
          <w:i/>
        </w:rPr>
        <w:instrText xml:space="preserve"> - Εισηγητής: Brando Benifei)"\l3 \n&gt; \* MERGEFORMAT </w:instrText>
      </w:r>
      <w:r w:rsidRPr="008E52B3">
        <w:rPr>
          <w:i/>
        </w:rPr>
        <w:fldChar w:fldCharType="end"/>
      </w:r>
    </w:p>
    <w:p w14:paraId="784866EB" w14:textId="77777777" w:rsidR="00914C5C" w:rsidRPr="008E52B3" w:rsidRDefault="00914C5C" w:rsidP="00914C5C">
      <w:pPr>
        <w:rPr>
          <w:vanish/>
        </w:rPr>
      </w:pPr>
      <w:bookmarkStart w:id="3" w:name="Commission"/>
      <w:r w:rsidRPr="008E52B3">
        <w:rPr>
          <w:vanish/>
        </w:rPr>
        <w:t>Επιτροπή Διεθνούς Εμπορίου</w:t>
      </w:r>
      <w:bookmarkEnd w:id="3"/>
    </w:p>
    <w:p w14:paraId="0CA130F9" w14:textId="77777777" w:rsidR="00914C5C" w:rsidRPr="008E52B3" w:rsidRDefault="00914C5C" w:rsidP="00914C5C">
      <w:pPr>
        <w:rPr>
          <w:vanish/>
        </w:rPr>
      </w:pPr>
      <w:bookmarkStart w:id="4" w:name="PE"/>
      <w:r w:rsidRPr="008E52B3">
        <w:rPr>
          <w:vanish/>
        </w:rPr>
        <w:t>PE784.156</w:t>
      </w:r>
      <w:bookmarkEnd w:id="4"/>
    </w:p>
    <w:p w14:paraId="1EE06DA4" w14:textId="4226CD8C" w:rsidR="00914C5C" w:rsidRPr="008E52B3" w:rsidRDefault="00914C5C" w:rsidP="00A122F2">
      <w:pPr>
        <w:pStyle w:val="ATHeading3"/>
        <w:spacing w:after="240"/>
      </w:pPr>
      <w:bookmarkStart w:id="5" w:name="Sujet"/>
      <w:r w:rsidRPr="008E52B3">
        <w:t xml:space="preserve">Ψήφισμα του Ευρωπαϊκού Κοινοβουλίου της </w:t>
      </w:r>
      <w:r w:rsidR="002232C1" w:rsidRPr="008E52B3">
        <w:t>20ής</w:t>
      </w:r>
      <w:r w:rsidRPr="008E52B3">
        <w:t xml:space="preserve"> </w:t>
      </w:r>
      <w:r w:rsidR="00A122F2" w:rsidRPr="008E52B3">
        <w:t xml:space="preserve">Μαΐου </w:t>
      </w:r>
      <w:r w:rsidRPr="008E52B3">
        <w:t>2026 σχετικά με τις ευκαιρίες και τις προκλήσεις που παρουσιάζει μια ολοκληρωμένη στρατηγική τεχνητής νοημοσύνης για το εμπόριο της ΕΕ</w:t>
      </w:r>
      <w:bookmarkEnd w:id="5"/>
      <w:r w:rsidRPr="008E52B3">
        <w:t xml:space="preserve"> </w:t>
      </w:r>
      <w:bookmarkStart w:id="6" w:name="References"/>
      <w:r w:rsidRPr="008E52B3">
        <w:t>(2025/2112(INI))</w:t>
      </w:r>
      <w:bookmarkEnd w:id="6"/>
    </w:p>
    <w:p w14:paraId="21E20BB2" w14:textId="77777777" w:rsidR="00D87B3E" w:rsidRPr="008E52B3" w:rsidRDefault="00D87B3E" w:rsidP="00017CDD">
      <w:pPr>
        <w:pStyle w:val="Normal12"/>
        <w:rPr>
          <w:i/>
        </w:rPr>
      </w:pPr>
    </w:p>
    <w:p w14:paraId="19A883EC" w14:textId="53C40433" w:rsidR="00017CDD" w:rsidRPr="008E52B3" w:rsidRDefault="00017CDD" w:rsidP="00017CDD">
      <w:pPr>
        <w:pStyle w:val="Normal12"/>
      </w:pPr>
      <w:r w:rsidRPr="008E52B3">
        <w:rPr>
          <w:i/>
        </w:rPr>
        <w:t>Το Ευρωπαϊκό Κοινοβούλιο</w:t>
      </w:r>
      <w:r w:rsidRPr="008E52B3">
        <w:t>,</w:t>
      </w:r>
    </w:p>
    <w:p w14:paraId="70D9AB48" w14:textId="6E6C49A7" w:rsidR="00017CDD" w:rsidRPr="008E52B3" w:rsidRDefault="00017CDD" w:rsidP="00017CDD">
      <w:pPr>
        <w:pStyle w:val="NormalHanging"/>
      </w:pPr>
      <w:r w:rsidRPr="008E52B3">
        <w:t>–</w:t>
      </w:r>
      <w:r w:rsidRPr="008E52B3">
        <w:tab/>
        <w:t>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w:t>
      </w:r>
      <w:r w:rsidR="00A122F2" w:rsidRPr="008E52B3">
        <w:rPr>
          <w:rStyle w:val="FootnoteReference"/>
        </w:rPr>
        <w:footnoteReference w:id="1"/>
      </w:r>
      <w:r w:rsidRPr="008E52B3">
        <w:t>,</w:t>
      </w:r>
    </w:p>
    <w:p w14:paraId="698CCBFC" w14:textId="7A621202" w:rsidR="00017CDD" w:rsidRPr="008E52B3" w:rsidRDefault="00017CDD" w:rsidP="00017CDD">
      <w:pPr>
        <w:pStyle w:val="NormalHanging"/>
      </w:pPr>
      <w:r w:rsidRPr="008E52B3">
        <w:t>–</w:t>
      </w:r>
      <w:r w:rsidRPr="008E52B3">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00A122F2" w:rsidRPr="008E52B3">
        <w:rPr>
          <w:rStyle w:val="FootnoteReference"/>
        </w:rPr>
        <w:footnoteReference w:id="2"/>
      </w:r>
      <w:r w:rsidRPr="008E52B3">
        <w:t>,</w:t>
      </w:r>
    </w:p>
    <w:p w14:paraId="597A72DD" w14:textId="54993471" w:rsidR="00017CDD" w:rsidRPr="008E52B3" w:rsidRDefault="00017CDD" w:rsidP="00017CDD">
      <w:pPr>
        <w:pStyle w:val="NormalHanging"/>
      </w:pPr>
      <w:r w:rsidRPr="008E52B3">
        <w:t>–</w:t>
      </w:r>
      <w:r w:rsidRPr="008E52B3">
        <w:tab/>
        <w:t>έχοντας υπόψη τον κανονισμό (ΕΕ) 2023/1781 του Ευρωπαϊκού Κοινοβουλίου και του Συμβουλίου, της 13ης Σεπτεμβρίου 2023, για τη θέσπιση πλαισίου μέτρων για την ενίσχυση του οικοσυστήματος ημιαγωγών της Ευρώπης και την τροποποίηση του κανονισμού (ΕΕ) 2021/694 (κανονισμός για τα μικροκυκλώματα)</w:t>
      </w:r>
      <w:r w:rsidR="00A122F2" w:rsidRPr="008E52B3">
        <w:rPr>
          <w:rStyle w:val="FootnoteReference"/>
        </w:rPr>
        <w:footnoteReference w:id="3"/>
      </w:r>
      <w:r w:rsidRPr="008E52B3">
        <w:t>,</w:t>
      </w:r>
    </w:p>
    <w:p w14:paraId="49956CD7" w14:textId="37903329" w:rsidR="00017CDD" w:rsidRPr="008E52B3" w:rsidRDefault="00017CDD" w:rsidP="00017CDD">
      <w:pPr>
        <w:pStyle w:val="NormalHanging"/>
      </w:pPr>
      <w:r w:rsidRPr="008E52B3">
        <w:t>–</w:t>
      </w:r>
      <w:r w:rsidRPr="008E52B3">
        <w:tab/>
        <w:t xml:space="preserve">έχοντας υπόψη τον κανονισμό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w:t>
      </w:r>
      <w:r w:rsidRPr="008E52B3">
        <w:lastRenderedPageBreak/>
        <w:t>τροποποίηση των κανονισμών (ΕΕ) αριθ. 168/2013, (ΕΕ) 2018/858, (ΕΕ) 2018/1724 και (ΕΕ) 2019/1020 (πράξη για τις κρίσιμες πρώτες ύλες – CRMA)</w:t>
      </w:r>
      <w:r w:rsidR="00A122F2" w:rsidRPr="008E52B3">
        <w:rPr>
          <w:rStyle w:val="FootnoteReference"/>
        </w:rPr>
        <w:footnoteReference w:id="4"/>
      </w:r>
      <w:r w:rsidRPr="008E52B3">
        <w:t>,</w:t>
      </w:r>
    </w:p>
    <w:p w14:paraId="047D44CF" w14:textId="77777777" w:rsidR="00017CDD" w:rsidRPr="008E52B3" w:rsidRDefault="00017CDD" w:rsidP="00017CDD">
      <w:pPr>
        <w:pStyle w:val="NormalHanging"/>
      </w:pPr>
      <w:r w:rsidRPr="008E52B3">
        <w:t>–</w:t>
      </w:r>
      <w:r w:rsidRPr="008E52B3">
        <w:tab/>
        <w:t xml:space="preserve">έχοντας υπόψη τα αποτελέσματα της υπουργικής διάσκεψης για τα κρίσιμα ορυκτά που πραγματοποιήθηκε στην </w:t>
      </w:r>
      <w:proofErr w:type="spellStart"/>
      <w:r w:rsidRPr="008E52B3">
        <w:t>Ουάσινγκτον</w:t>
      </w:r>
      <w:proofErr w:type="spellEnd"/>
      <w:r w:rsidRPr="008E52B3">
        <w:t xml:space="preserve"> στις 4 Φεβρουαρίου 2026 και τη συνεχιζόμενη συνεργασία ΕΕ-ΗΠΑ για τη διαφοροποίηση και την ενίσχυση ασφαλών, βιώσιμων αλυσίδων εφοδιασμού κρίσιμων πρώτων υλών που είναι απαραίτητες για την ανταγωνιστικότητα, τις προηγμένες τεχνολογίες και την ανθεκτικότητα της ΕΕ στις παγκόσμιες αγορές,</w:t>
      </w:r>
    </w:p>
    <w:p w14:paraId="54C55E5D" w14:textId="6AE71C69" w:rsidR="00017CDD" w:rsidRPr="008E52B3" w:rsidRDefault="00017CDD" w:rsidP="00017CDD">
      <w:pPr>
        <w:pStyle w:val="NormalHanging"/>
      </w:pPr>
      <w:r w:rsidRPr="008E52B3">
        <w:t>–</w:t>
      </w:r>
      <w:r w:rsidRPr="008E52B3">
        <w:tab/>
        <w:t>έχοντας υπόψη τον κανονισμό (ΕΕ) 2019/452 του Ευρωπαϊκού Κοινοβουλίου και του Συμβουλίου, της 19ης Μαρτίου 2019, για τη θέσπιση πλαισίου για τον έλεγχο των άμεσων ξένων επενδύσεων στην Ένωση</w:t>
      </w:r>
      <w:r w:rsidR="00A122F2" w:rsidRPr="008E52B3">
        <w:rPr>
          <w:rStyle w:val="FootnoteReference"/>
        </w:rPr>
        <w:footnoteReference w:id="5"/>
      </w:r>
      <w:r w:rsidRPr="008E52B3">
        <w:t>,</w:t>
      </w:r>
    </w:p>
    <w:p w14:paraId="32C1F339" w14:textId="6E42B19D" w:rsidR="00017CDD" w:rsidRPr="008E52B3" w:rsidRDefault="00017CDD" w:rsidP="00017CDD">
      <w:pPr>
        <w:pStyle w:val="NormalHanging"/>
      </w:pPr>
      <w:r w:rsidRPr="008E52B3">
        <w:t>–</w:t>
      </w:r>
      <w:r w:rsidRPr="008E52B3">
        <w:tab/>
        <w:t>έχοντας υπόψη τον κανονισμό (ΕΕ) 2023/2675 του Ευρωπαϊκού Κοινοβουλίου και του Συμβουλίου της 22ας Νοεμβρίου 2023 για την προστασία της Ένωσης και των κρατών μελών της από τον οικονομικό εξαναγκασμό από τρίτες χώρες</w:t>
      </w:r>
      <w:r w:rsidR="00A122F2" w:rsidRPr="008E52B3">
        <w:rPr>
          <w:rStyle w:val="FootnoteReference"/>
        </w:rPr>
        <w:footnoteReference w:id="6"/>
      </w:r>
      <w:r w:rsidRPr="008E52B3">
        <w:t>,</w:t>
      </w:r>
    </w:p>
    <w:p w14:paraId="559C9897" w14:textId="76ECD34F" w:rsidR="00017CDD" w:rsidRPr="008E52B3" w:rsidRDefault="00017CDD" w:rsidP="00017CDD">
      <w:pPr>
        <w:pStyle w:val="NormalHanging"/>
      </w:pPr>
      <w:r w:rsidRPr="008E52B3">
        <w:t>–</w:t>
      </w:r>
      <w:r w:rsidRPr="008E52B3">
        <w:tab/>
        <w:t>έχοντας υπόψη τον κανονισμό (ΕΕ) 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w:t>
      </w:r>
      <w:r w:rsidR="00A122F2" w:rsidRPr="008E52B3">
        <w:rPr>
          <w:rStyle w:val="FootnoteReference"/>
        </w:rPr>
        <w:footnoteReference w:id="7"/>
      </w:r>
      <w:r w:rsidRPr="008E52B3">
        <w:t xml:space="preserve"> (κανονισμός για τα είδη διπλής χρήσης),</w:t>
      </w:r>
    </w:p>
    <w:p w14:paraId="7396AC3F" w14:textId="77777777" w:rsidR="00017CDD" w:rsidRPr="008E52B3" w:rsidRDefault="00017CDD" w:rsidP="00017CDD">
      <w:pPr>
        <w:pStyle w:val="NormalHanging"/>
      </w:pPr>
      <w:r w:rsidRPr="008E52B3">
        <w:t>–</w:t>
      </w:r>
      <w:r w:rsidRPr="008E52B3">
        <w:tab/>
        <w:t>έχοντας υπόψη την ανακοίνωση της Επιτροπής, της 19ης Νοεμβρίου 2025, με τίτλο «Στρατηγική για την Ένωση Δεδομένων — Απελευθέρωση δεδομένων για την ΤΝ» (COM(2025)0835),</w:t>
      </w:r>
    </w:p>
    <w:p w14:paraId="765AF374" w14:textId="4B830867" w:rsidR="00017CDD" w:rsidRPr="008E52B3" w:rsidRDefault="00017CDD" w:rsidP="00017CDD">
      <w:pPr>
        <w:pStyle w:val="NormalHanging"/>
      </w:pPr>
      <w:r w:rsidRPr="008E52B3">
        <w:t>–</w:t>
      </w:r>
      <w:r w:rsidRPr="008E52B3">
        <w:tab/>
        <w:t>έχοντας υπόψη την ανακοίνωση της Επιτροπής, της 24ης Ιανουαρίου 2024, με τίτλο «Προώθηση της ευρωπαϊκής οικονομικής ασφάλειας: μια εισαγωγή σε πέντε νέες πρωτοβουλίες» (COM(2024)</w:t>
      </w:r>
      <w:r w:rsidR="0066220A">
        <w:t>00</w:t>
      </w:r>
      <w:r w:rsidRPr="008E52B3">
        <w:t>2</w:t>
      </w:r>
      <w:r w:rsidR="002232C1" w:rsidRPr="008E52B3">
        <w:t>2</w:t>
      </w:r>
      <w:r w:rsidRPr="008E52B3">
        <w:t>),</w:t>
      </w:r>
    </w:p>
    <w:p w14:paraId="1A3AB20A" w14:textId="77777777" w:rsidR="00017CDD" w:rsidRPr="008E52B3" w:rsidRDefault="00017CDD" w:rsidP="00017CDD">
      <w:pPr>
        <w:pStyle w:val="NormalHanging"/>
      </w:pPr>
      <w:r w:rsidRPr="008E52B3">
        <w:t>–</w:t>
      </w:r>
      <w:r w:rsidRPr="008E52B3">
        <w:tab/>
        <w:t>έχοντας υπόψη την κοινή ανακοίνωση της Επιτροπής και της Ύπατης Εκπρόσωπου της Ένωσης για θέματα εξωτερικής πολιτικής και πολιτικής ασφαλείας, της 3ης Δεκεμβρίου 2025, με τίτλο «Ενίσχυση της οικονομικής ασφάλειας της ΕΕ» (JOIN(2025)0977),</w:t>
      </w:r>
    </w:p>
    <w:p w14:paraId="58CCD7B6" w14:textId="77777777" w:rsidR="00017CDD" w:rsidRPr="008E52B3" w:rsidRDefault="00017CDD" w:rsidP="00017CDD">
      <w:pPr>
        <w:pStyle w:val="NormalHanging"/>
      </w:pPr>
      <w:r w:rsidRPr="008E52B3">
        <w:t>–</w:t>
      </w:r>
      <w:r w:rsidRPr="008E52B3">
        <w:tab/>
        <w:t>έχοντας υπόψη την κοινή ανακοίνωση της Επιτροπής και της Ύπατης Εκπροσώπου της Ένωσης για θέματα εξωτερικής πολιτικής και πολιτικής ασφαλείας, της 5ης Ιουνίου 2025, με τίτλο «Μια διεθνής ψηφιακή στρατηγική για την Ευρωπαϊκή Ένωση» (JOIN(2025)0140),</w:t>
      </w:r>
    </w:p>
    <w:p w14:paraId="457C5628" w14:textId="77777777" w:rsidR="00017CDD" w:rsidRPr="008E52B3" w:rsidRDefault="00017CDD" w:rsidP="00017CDD">
      <w:pPr>
        <w:pStyle w:val="NormalHanging"/>
      </w:pPr>
      <w:r w:rsidRPr="008E52B3">
        <w:t>–</w:t>
      </w:r>
      <w:r w:rsidRPr="008E52B3">
        <w:tab/>
        <w:t>έχοντας υπόψη την ανακοίνωση της Επιτροπής, της 9ης Απριλίου 2025, με τίτλο «Σχέδιο δράσης για μια ήπειρο ΤΝ» (COM(2025)0165),</w:t>
      </w:r>
    </w:p>
    <w:p w14:paraId="4E020BBB" w14:textId="77777777" w:rsidR="00017CDD" w:rsidRPr="008E52B3" w:rsidRDefault="00017CDD" w:rsidP="00017CDD">
      <w:pPr>
        <w:pStyle w:val="NormalHanging"/>
      </w:pPr>
      <w:r w:rsidRPr="008E52B3">
        <w:t>–</w:t>
      </w:r>
      <w:r w:rsidRPr="008E52B3">
        <w:tab/>
        <w:t>έχοντας υπόψη την ανακοίνωση της Επιτροπής, της 8ης Οκτωβρίου 2025, με τίτλο «Στρατηγική για την εφαρμογή της ΤΝ» (COM(2025)0723),</w:t>
      </w:r>
    </w:p>
    <w:p w14:paraId="3F88DE8C" w14:textId="36632BDF" w:rsidR="00017CDD" w:rsidRPr="008E52B3" w:rsidRDefault="00017CDD" w:rsidP="00017CDD">
      <w:pPr>
        <w:pStyle w:val="NormalHanging"/>
      </w:pPr>
      <w:r w:rsidRPr="008E52B3">
        <w:lastRenderedPageBreak/>
        <w:t>–</w:t>
      </w:r>
      <w:r w:rsidRPr="008E52B3">
        <w:tab/>
        <w:t xml:space="preserve">έχοντας υπόψη την έκθεση του </w:t>
      </w:r>
      <w:proofErr w:type="spellStart"/>
      <w:r w:rsidRPr="008E52B3">
        <w:t>Mario</w:t>
      </w:r>
      <w:proofErr w:type="spellEnd"/>
      <w:r w:rsidRPr="008E52B3">
        <w:t xml:space="preserve"> </w:t>
      </w:r>
      <w:proofErr w:type="spellStart"/>
      <w:r w:rsidRPr="008E52B3">
        <w:t>Draghi</w:t>
      </w:r>
      <w:proofErr w:type="spellEnd"/>
      <w:r w:rsidRPr="008E52B3">
        <w:t xml:space="preserve">, της 9ης Σεπτεμβρίου 2024, με τίτλο «The </w:t>
      </w:r>
      <w:proofErr w:type="spellStart"/>
      <w:r w:rsidRPr="008E52B3">
        <w:t>future</w:t>
      </w:r>
      <w:proofErr w:type="spellEnd"/>
      <w:r w:rsidRPr="008E52B3">
        <w:t xml:space="preserve"> of European </w:t>
      </w:r>
      <w:proofErr w:type="spellStart"/>
      <w:r w:rsidRPr="008E52B3">
        <w:t>competitiveness</w:t>
      </w:r>
      <w:proofErr w:type="spellEnd"/>
      <w:r w:rsidRPr="008E52B3">
        <w:t xml:space="preserve">» </w:t>
      </w:r>
      <w:r w:rsidR="00D87B3E" w:rsidRPr="008E52B3">
        <w:t>(</w:t>
      </w:r>
      <w:r w:rsidRPr="008E52B3">
        <w:t>Το μέλλον της ευρωπαϊκής ανταγωνιστικότητας</w:t>
      </w:r>
      <w:r w:rsidR="00D87B3E" w:rsidRPr="008E52B3">
        <w:t xml:space="preserve">) </w:t>
      </w:r>
      <w:r w:rsidRPr="008E52B3">
        <w:t xml:space="preserve">(έκθεση </w:t>
      </w:r>
      <w:proofErr w:type="spellStart"/>
      <w:r w:rsidRPr="008E52B3">
        <w:t>Draghi</w:t>
      </w:r>
      <w:proofErr w:type="spellEnd"/>
      <w:r w:rsidRPr="008E52B3">
        <w:t>),</w:t>
      </w:r>
    </w:p>
    <w:p w14:paraId="00CE83FE" w14:textId="56ECA82C" w:rsidR="00017CDD" w:rsidRPr="008E52B3" w:rsidRDefault="00017CDD" w:rsidP="00017CDD">
      <w:pPr>
        <w:pStyle w:val="NormalHanging"/>
      </w:pPr>
      <w:r w:rsidRPr="008E52B3">
        <w:t>–</w:t>
      </w:r>
      <w:r w:rsidRPr="008E52B3">
        <w:tab/>
        <w:t xml:space="preserve">έχοντας υπόψη την έκθεση του </w:t>
      </w:r>
      <w:proofErr w:type="spellStart"/>
      <w:r w:rsidRPr="008E52B3">
        <w:t>Enrico</w:t>
      </w:r>
      <w:proofErr w:type="spellEnd"/>
      <w:r w:rsidRPr="008E52B3">
        <w:t xml:space="preserve"> </w:t>
      </w:r>
      <w:proofErr w:type="spellStart"/>
      <w:r w:rsidRPr="008E52B3">
        <w:t>Letta</w:t>
      </w:r>
      <w:proofErr w:type="spellEnd"/>
      <w:r w:rsidRPr="008E52B3">
        <w:t>, της 10ης Απριλίου 2024, με τίτλο «</w:t>
      </w:r>
      <w:proofErr w:type="spellStart"/>
      <w:r w:rsidRPr="008E52B3">
        <w:t>Much</w:t>
      </w:r>
      <w:proofErr w:type="spellEnd"/>
      <w:r w:rsidRPr="008E52B3">
        <w:t xml:space="preserve"> </w:t>
      </w:r>
      <w:proofErr w:type="spellStart"/>
      <w:r w:rsidRPr="008E52B3">
        <w:t>more</w:t>
      </w:r>
      <w:proofErr w:type="spellEnd"/>
      <w:r w:rsidRPr="008E52B3">
        <w:t xml:space="preserve"> </w:t>
      </w:r>
      <w:proofErr w:type="spellStart"/>
      <w:r w:rsidRPr="008E52B3">
        <w:t>than</w:t>
      </w:r>
      <w:proofErr w:type="spellEnd"/>
      <w:r w:rsidRPr="008E52B3">
        <w:t xml:space="preserve"> a </w:t>
      </w:r>
      <w:proofErr w:type="spellStart"/>
      <w:r w:rsidRPr="008E52B3">
        <w:t>market</w:t>
      </w:r>
      <w:proofErr w:type="spellEnd"/>
      <w:r w:rsidRPr="008E52B3">
        <w:t xml:space="preserve">» </w:t>
      </w:r>
      <w:r w:rsidR="00D87B3E" w:rsidRPr="008E52B3">
        <w:t>(</w:t>
      </w:r>
      <w:r w:rsidRPr="008E52B3">
        <w:t>Πολύ περισσότερο από μια απλή αγορά</w:t>
      </w:r>
      <w:r w:rsidR="00D87B3E" w:rsidRPr="008E52B3">
        <w:t>)</w:t>
      </w:r>
      <w:r w:rsidRPr="008E52B3">
        <w:t xml:space="preserve"> (έκθεση Letta),</w:t>
      </w:r>
    </w:p>
    <w:p w14:paraId="0DAA66AB" w14:textId="44A4C561" w:rsidR="00017CDD" w:rsidRPr="008E52B3" w:rsidRDefault="00017CDD" w:rsidP="00017CDD">
      <w:pPr>
        <w:pStyle w:val="NormalHanging"/>
      </w:pPr>
      <w:r w:rsidRPr="008E52B3">
        <w:t>–</w:t>
      </w:r>
      <w:r w:rsidRPr="008E52B3">
        <w:tab/>
        <w:t>έχοντας υπόψη το ψήφισμά του, της 9ης Ιουλίου 2025, σχετικά με την ασφάλεια των προϊόντων και την κανονιστική συμμόρφωση στο ηλεκτρονικό εμπόριο και τις εισαγωγές από τρίτες χώρες</w:t>
      </w:r>
      <w:r w:rsidR="00A122F2" w:rsidRPr="008E52B3">
        <w:rPr>
          <w:rStyle w:val="FootnoteReference"/>
        </w:rPr>
        <w:footnoteReference w:id="8"/>
      </w:r>
      <w:r w:rsidRPr="008E52B3">
        <w:t>,</w:t>
      </w:r>
    </w:p>
    <w:p w14:paraId="5D3154DC" w14:textId="05045C15" w:rsidR="00017CDD" w:rsidRPr="008E52B3" w:rsidRDefault="00017CDD" w:rsidP="00017CDD">
      <w:pPr>
        <w:pStyle w:val="NormalHanging"/>
      </w:pPr>
      <w:r w:rsidRPr="008E52B3">
        <w:t>–</w:t>
      </w:r>
      <w:r w:rsidRPr="008E52B3">
        <w:tab/>
        <w:t>έχοντας υπόψη το ψήφισμά του, της 13ης Νοεμβρίου 2025, σχετικά με το σχέδιο απόφασης του Συμβουλίου για τη σύναψη της συμφωνίας για το ψηφιακό εμπόριο μεταξύ της Ευρωπαϊκής Ένωσης και της Δημοκρατίας της Σινγκαπούρης</w:t>
      </w:r>
      <w:r w:rsidR="00A122F2" w:rsidRPr="008E52B3">
        <w:rPr>
          <w:rStyle w:val="FootnoteReference"/>
        </w:rPr>
        <w:footnoteReference w:id="9"/>
      </w:r>
      <w:r w:rsidRPr="008E52B3">
        <w:t>,</w:t>
      </w:r>
    </w:p>
    <w:p w14:paraId="48915DBE" w14:textId="77777777" w:rsidR="00017CDD" w:rsidRPr="008E52B3" w:rsidRDefault="00017CDD" w:rsidP="00017CDD">
      <w:pPr>
        <w:pStyle w:val="NormalHanging"/>
      </w:pPr>
      <w:r w:rsidRPr="008E52B3">
        <w:t>–</w:t>
      </w:r>
      <w:r w:rsidRPr="008E52B3">
        <w:tab/>
        <w:t>έχοντας υπόψη τον κύριο ρόλο που διαδραματίζει ο Παγκόσμιος Οργανισμός Εμπορίου (ΠΟΕ) στην προάσπιση ενός πολυμερούς εμπορικού συστήματος που βασίζεται σε κανόνες, καθώς και τη σημασία του για την εφαρμογή αναδυόμενων τεχνολογιών, συμπεριλαμβανομένης της τεχνητής νοημοσύνης, στο διεθνές εμπόριο,</w:t>
      </w:r>
    </w:p>
    <w:p w14:paraId="0BC60DB4" w14:textId="77777777" w:rsidR="00017CDD" w:rsidRPr="008E52B3" w:rsidRDefault="00017CDD" w:rsidP="00017CDD">
      <w:pPr>
        <w:pStyle w:val="NormalHanging"/>
      </w:pPr>
      <w:r w:rsidRPr="008E52B3">
        <w:t>–</w:t>
      </w:r>
      <w:r w:rsidRPr="008E52B3">
        <w:tab/>
        <w:t>έχοντας υπόψη τους κανόνες του ΠΟΕ, ιδίως τις αρχές της απαγόρευσης των διακρίσεων και της διαφάνειας όσον αφορά τους περιορισμούς στις εξαγωγές,</w:t>
      </w:r>
    </w:p>
    <w:p w14:paraId="48087766" w14:textId="77777777" w:rsidR="00017CDD" w:rsidRPr="008E52B3" w:rsidRDefault="00017CDD" w:rsidP="00017CDD">
      <w:pPr>
        <w:pStyle w:val="NormalHanging"/>
      </w:pPr>
      <w:r w:rsidRPr="008E52B3">
        <w:t>–</w:t>
      </w:r>
      <w:r w:rsidRPr="008E52B3">
        <w:tab/>
        <w:t>έχοντας υπόψη το άρθρο 55 του Κανονισμού του,</w:t>
      </w:r>
    </w:p>
    <w:p w14:paraId="07D96910" w14:textId="77777777" w:rsidR="00017CDD" w:rsidRPr="008E52B3" w:rsidRDefault="00017CDD" w:rsidP="00017CDD">
      <w:pPr>
        <w:pStyle w:val="NormalHanging"/>
      </w:pPr>
      <w:r w:rsidRPr="008E52B3">
        <w:t>–</w:t>
      </w:r>
      <w:r w:rsidRPr="008E52B3">
        <w:tab/>
        <w:t>έχοντας υπόψη την έκθεση της Επιτροπής Διεθνούς Εμπορίου (A10-0122/2026),</w:t>
      </w:r>
    </w:p>
    <w:p w14:paraId="3AA03898" w14:textId="77777777" w:rsidR="00017CDD" w:rsidRPr="008E52B3" w:rsidRDefault="00017CDD" w:rsidP="00017CDD">
      <w:pPr>
        <w:pStyle w:val="NormalHanging"/>
      </w:pPr>
      <w:r w:rsidRPr="008E52B3">
        <w:t>Α.</w:t>
      </w:r>
      <w:r w:rsidRPr="008E52B3">
        <w:tab/>
        <w:t>λαμβάνοντας υπόψη ότι η τεχνητή νοημοσύνη (ΤΝ) είναι μια τεχνολογία γενικού σκοπού που αναδιαμορφώνει το εμπόριο της ΕΕ σε κάθε τομέα αγαθών, υπηρεσιών και ροών δεδομένων· λαμβάνοντας υπόψη ότι η ΤΝ μπορεί να οδηγήσει σε μείωση του κόστους πληροφόρησης και συμμόρφωσης, σε μετασχηματισμό της διαχείρισης των αλυσίδων εφοδιασμού και σε επέκταση των ψηφιακά παρεχόμενων υπηρεσιών· λαμβάνοντας υπόψη ότι η ΤΝ και η δυναμική ισχύος όσον αφορά την κυριότητα της τεχνολογίας συνεπάγονται σημαντικές προκλήσεις και ευκαιρίες μετασχηματισμού για την εμπορική ανταγωνιστικότητα της ΕΕ· λαμβάνοντας υπόψη ότι η εμπορική πολιτική της ΕΕ είναι καίριας σημασίας για τη διασφάλιση μιας ολιστικής εξωτερικής στρατηγικής για την ΤΝ που θα συνδυάζει τον ανοικτό χαρακτήρα, τη διαφάνεια και την ασφάλεια με την ανθεκτικότητα και τον σεβασμό των θεμελιωδών δικαιωμάτων, ενώ παράλληλα θα συμβάλλει στην προβλεψιμότητα των διασυνοριακών δραστηριοτήτων· λαμβάνοντας υπόψη ότι η ΤΝ προσφέρει σημαντικές ευκαιρίες για την ενίσχυση της αποδοτικότητας και της ασφάλειας των τελωνειακών ελέγχων και της εποπτείας της αγοράς στην Ευρωπαϊκή Ένωση, καθώς συμβάλλει στην καταπολέμηση της απάτης, της παραποίησης/απομίμησης και των αθέμιτων εμπορικών πρακτικών·</w:t>
      </w:r>
    </w:p>
    <w:p w14:paraId="2FA7F862" w14:textId="77777777" w:rsidR="00017CDD" w:rsidRPr="008E52B3" w:rsidRDefault="00017CDD" w:rsidP="00017CDD">
      <w:pPr>
        <w:pStyle w:val="NormalHanging"/>
      </w:pPr>
      <w:r w:rsidRPr="008E52B3">
        <w:t>Β.</w:t>
      </w:r>
      <w:r w:rsidRPr="008E52B3">
        <w:tab/>
        <w:t xml:space="preserve">λαμβάνοντας υπόψη ότι η γρήγορη διάδοση και εφαρμογή της ΤΝ συμβάλλει σε διαρθρωτικές αλλαγές στην οργάνωση, τη γεωγραφία και τη διακυβέρνηση του διεθνούς εμπορίου υπηρεσιών, με επιπτώσεις στην ανταγωνιστικότητα, την απασχόληση και την ανάπτυξη· λαμβάνοντας υπόψη ότι οι λύσεις ΤΝ ανοικτού κώδικα προσφέρουν σημαντικά πλεονεκτήματα, συμπεριλαμβανομένων του μειωμένου κόστους και της ενίσχυσης της ιδιωτικότητας των δεδομένων μέσω της τοπικής </w:t>
      </w:r>
      <w:r w:rsidRPr="008E52B3">
        <w:lastRenderedPageBreak/>
        <w:t>εφαρμογής, συμβάλλοντας στην ενίσχυση του υγιούς ανταγωνισμού στον τομέα της ΤΝ και στη μείωση της εξάρτησης από παρόχους εκτός ΕΕ· λαμβάνοντας υπόψη ότι οι αλλαγές αυτές αλληλεπιδρούν με τα υφιστάμενα κενά στην παραγωγική ικανότητα, τις υποδομές και τις δεξιότητες εντός και εκτός της ΕΕ· λαμβάνοντας υπόψη ότι η διατήρηση ενός ανοικτού, ανθεκτικού και συμπεριληπτικού βιώσιμου εμπορικού μοντέλου απαιτεί μια συνεκτική και ολιστική στρατηγική για τη διαχείριση των αλλαγών που βασίζονται στην ΤΝ· λαμβάνοντας υπόψη ότι οι εξωτερικές οικονομικές σχέσεις της ΕΕ, μεταξύ άλλων με εταίρους στον Παγκόσμιο Νότο θα πρέπει να στηρίζουν την υιοθέτηση της ΤΝ χωρίς αποκλεισμούς και τη δημιουργία κοινής αξίας, προωθώντας παράλληλα ένα ανθρωποκεντρικό μοντέλο που βασίζεται στην αρχή της δεοντολογίας εξ ορισμού και επικεντρώνεται στη στήριξη της ανθρώπινης αξιοπρέπειας·</w:t>
      </w:r>
    </w:p>
    <w:p w14:paraId="59F0A749" w14:textId="77777777" w:rsidR="00017CDD" w:rsidRPr="008E52B3" w:rsidRDefault="00017CDD" w:rsidP="00017CDD">
      <w:pPr>
        <w:pStyle w:val="NormalHanging"/>
      </w:pPr>
      <w:r w:rsidRPr="008E52B3">
        <w:t>Γ.</w:t>
      </w:r>
      <w:r w:rsidRPr="008E52B3">
        <w:tab/>
        <w:t>λαμβάνοντας υπόψη ότι οι διασυνοριακές ροές δεδομένων και η διασυνοριακή πρόσβαση σε δεδομένα είναι ζωτικής σημασίας για την ανάπτυξη, την κατάρτιση και την εφαρμογή της ΤΝ, αλλά πρέπει να εξεταστούν προσεκτικά προκειμένου να διασφαλιστεί ότι εξακολουθεί να κατοχυρώνεται υψηλό επίπεδο προστασίας των δεδομένων, ιδίως για ευαίσθητα προσωπικά δεδομένα, όπως τα δεδομένα υγείας· λαμβάνοντας υπόψη ότι οι κανόνες για το ψηφιακό εμπόριο διαμορφώνουν όλο και περισσότερο την ανταγωνιστικότητα της ΤΝ, αναδεικνύοντας την ανάγκη για διατάξεις σχετικά με τη ρυθμιστική συνεργασία στις μελλοντικές εμπορικές συμφωνίες, καθώς και για εκσυγχρονισμό των υφιστάμενων συμφωνιών· λαμβάνοντας υπόψη ότι το ανθρωποκεντρικό πλαίσιο της ΕΕ, που θεμελιώνεται με τον γενικό κανονισμό για την προστασία δεδομένων (ΓΚΠΔ) και τον κανονισμό για την τεχνητή νοημοσύνη, παρέχει ένα βάσιμο μοντέλο αξιόπιστης ΤΝ, το οποίο, αν προωθηθεί διεθνώς, μπορεί να καταστεί ανταγωνιστικό πλεονέκτημα στις αγορές που εκτιμούν τη διαφάνεια και τη διακυβέρνηση που σέβεται τα δικαιώματα· λαμβάνοντας υπόψη ότι ο ΠΟΕ θα μπορούσε να αποτελέσει το κατάλληλο φόρουμ για πολυμερείς συζητήσεις σχετικά με την ΤΝ και το εμπόριο, με στόχο την αντιμετώπιση των στρεβλώσεων του ανταγωνισμού, των εμπορικών φραγμών και των κινδύνων κανονιστικού κατακερματισμού, διασφαλίζοντας προβλέψιμο και δίκαιο ψηφιακό εμπόριο που σέβεται τα δικαιώματα·</w:t>
      </w:r>
    </w:p>
    <w:p w14:paraId="004E73A4" w14:textId="77777777" w:rsidR="00017CDD" w:rsidRPr="008E52B3" w:rsidRDefault="00017CDD" w:rsidP="00017CDD">
      <w:pPr>
        <w:pStyle w:val="NormalHanging"/>
      </w:pPr>
      <w:r w:rsidRPr="008E52B3">
        <w:t>Δ.</w:t>
      </w:r>
      <w:r w:rsidRPr="008E52B3">
        <w:tab/>
        <w:t>λαμβάνοντας υπόψη ότι η χρήση της ΤΝ παραμένει άνιση μεταξύ τομέων, περιφερειών και μεγεθών εταιρειών, ενώ οι φορείς που ελέγχουν τα δεδομένα, την υπολογιστική ισχύ και τις δεξιότητες σωρεύουν, με την πάροδο του χρόνου, πλεονεκτήματα, με αποτέλεσμα να υπάρχει κίνδυνος να διευρυνθούν τα κενά παραγωγικότητας και εξαγωγών για τις μικρές και μεσαίες επιχειρήσεις (ΜΜΕ) και τις εταιρείες που υιοθετούν την ΤΝ σε μεταγενέστερο στάδιο· λαμβάνοντας υπόψη ότι η εμπορική ανταγωνιστικότητα που βασίζεται στην ΤΝ εξαρτάται από την πρόσβαση σε δεδομένα, την υπολογιστική ικανότητα, την ενέργεια, τη συνδεσιμότητα, κεφάλαια και δεξιότητες, και ότι πολλοί από αυτούς τους παράγοντες επηρεάζονται από τις εμπορικές και επενδυτικές σχέσεις· λαμβάνοντας υπόψη ότι η ΕΕ προσέλκυσε μόνο το 6 % των παγκόσμιων επενδύσεων σε νεοφυείς επιχειρήσεις ΤΝ κατά το πρώτο εξάμηνο του 2024, με αποτέλεσμα να δημιουργούνται διαρθρωτικές εξαρτήσεις που έχουν αντίκτυπο στις εμπορικές σχέσεις και την ευρωπαϊκή στρατηγική αυτονομία· λαμβάνοντας υπόψη ότι η δίκαιη πρόσβαση σε υποδομές ΤΝ είναι απαραίτητη προκειμένου οι ΜΜΕ να παραμείνουν ανταγωνιστικές, καθώς αντιμετωπίζουν σημαντικά εμπόδια σε σύγκριση με τις μεγάλες εταιρείες, συμπεριλαμβανομένων του υψηλού κόστους των υπολογιστικών πόρων, της περιορισμένης πρόσβασης σε δεδομένα και της έλλειψης τεχνικών ταλέντων·</w:t>
      </w:r>
    </w:p>
    <w:p w14:paraId="5CB6FF11" w14:textId="77777777" w:rsidR="00017CDD" w:rsidRPr="008E52B3" w:rsidRDefault="00017CDD" w:rsidP="00017CDD">
      <w:pPr>
        <w:pStyle w:val="NormalHanging"/>
      </w:pPr>
      <w:r w:rsidRPr="008E52B3">
        <w:lastRenderedPageBreak/>
        <w:t>Ε.</w:t>
      </w:r>
      <w:r w:rsidRPr="008E52B3">
        <w:tab/>
        <w:t>λαμβάνοντας υπόψη ότι η ΤΝ παραμένει μια ταχέως εξελισσόμενη τεχνολογία· λαμβάνοντας υπόψη ότι η πρόωρη ή υπερβολική ρυθμιστική παρέμβαση ενέχει τον κίνδυνο υπονόμευσης της καινοτομίας, των επενδύσεων και της ανταγωνιστικότητας· λαμβάνοντας υπόψη ότι είναι απαραίτητη μια αναλογική, βασισμένη στον κίνδυνο και φιλική προς την καινοτομία προσέγγιση·</w:t>
      </w:r>
    </w:p>
    <w:p w14:paraId="73641A9F" w14:textId="77777777" w:rsidR="00017CDD" w:rsidRPr="008E52B3" w:rsidRDefault="00017CDD" w:rsidP="00017CDD">
      <w:pPr>
        <w:pStyle w:val="NormalHanging"/>
      </w:pPr>
      <w:r w:rsidRPr="008E52B3">
        <w:t>ΣΤ.</w:t>
      </w:r>
      <w:r w:rsidRPr="008E52B3">
        <w:tab/>
        <w:t>λαμβάνοντας υπόψη ότι η αλυσίδα εφοδιασμού ΤΝ είναι ιδιαίτερα συγκεντρωμένη σε μικρό αριθμό χωρών και περιφερειών, γεγονός που δημιουργεί κίνδυνο εξαρτήσεων για την πρόσβαση σε κρίσιμη υπολογιστική ισχύ, πρώτες ύλες και ημιαγωγούς· λαμβάνοντας υπόψη ότι οι ζωτικής σημασίας υποδομές ΤΝ ξένης ιδιοκτησίας αυξάνουν τον κίνδυνο χειραγώγησης των πληροφοριών και παρεμβάσεων από το εξωτερικό· λαμβάνοντας υπόψη ότι η κακή χρήση των αλγορίθμων μπορεί να οδηγήσει σε υπονόμευση της δημοκρατίας και σε όξυνση των υφιστάμενων γεωπολιτικών εμπορικών εντάσεων· λαμβάνοντας υπόψη ότι ο εντεινόμενος παγκόσμιος τεχνολογικός ανταγωνισμός, ο οποίος χαρακτηρίζεται από αποκλίνοντα μοντέλα διακυβέρνησης της ΤΝ, κλιμάκωση των δασμών και ελέγχους στις εξαγωγές κρίσιμων τεχνολογιών, αυξάνει τον κίνδυνο να χρησιμοποιηθεί η πρόσβαση σε βασικές εισροές ΤΝ ως γεωπολιτικό όπλο· λαμβάνοντας υπόψη ότι ορισμένες εξωτερικές παρεμβάσεις ενέχουν τον κίνδυνο αποδυνάμωσης των υψηλών προτύπων της ΕΕ όσον αφορά τη διαφάνεια, τη λογοδοσία και την προστασία των θεμελιωδών δικαιωμάτων, υπονομεύοντας έτσι την ικανότητα της Ένωσης να υπερασπίζεται τις αξίες της, να διασφαλίζει ισότιμους όρους ανταγωνισμού για τις επιχειρήσεις και να προστατεύει τους πολίτες από τους κινδύνους που συνεπάγεται η μη ρύθμιση της ΤΝ και των ψηφιακών τεχνολογιών· λαμβάνοντας υπόψη ότι η ΕΕ θα πρέπει να συνεχίσει να υπερασπίζεται τα πρότυπα αυτά· λαμβάνοντας υπόψη ότι η ΕΕ θα πρέπει να ενισχύσει τη στρατηγική αυτονομία μέσω της διαφοροποίησης των αλυσίδων εφοδιασμού και της εμβάθυνσης της συνεργασίας με αξιόπιστους εταίρους που συμμερίζονται τις δημοκρατικές αξίες και τη δέσμευση για ανοικτό και βασιζόμενο σε κανόνες εμπόριο·</w:t>
      </w:r>
    </w:p>
    <w:p w14:paraId="625E401E" w14:textId="77777777" w:rsidR="00017CDD" w:rsidRPr="008E52B3" w:rsidRDefault="00017CDD" w:rsidP="00017CDD">
      <w:pPr>
        <w:pStyle w:val="NormalHanging"/>
      </w:pPr>
      <w:r w:rsidRPr="008E52B3">
        <w:t>Ζ.</w:t>
      </w:r>
      <w:r w:rsidRPr="008E52B3">
        <w:tab/>
        <w:t>λαμβάνοντας υπόψη ότι η ανάπτυξη και η υιοθέτηση της ΤΝ βασίζονται στην πρόσβαση στις παγκόσμιες αγορές και τεχνολογίες, οι οποίες επηρεάζονται από τα πλαίσια εμπορικής πολιτικής· λαμβάνοντας υπόψη ότι ο ΠΟΕ στηρίζει την ανάπτυξη και την υιοθέτηση της ΤΝ καθιστώντας δυνατό το πιο ανοικτό, διαφανές και προβλέψιμο εμπόριο αγαθών και υπηρεσιών που βασίζονται στην ΤΝ· λαμβάνοντας υπόψη ότι οι υφιστάμενες συμφωνίες του ΠΟΕ συμβάλλουν ήδη σημαντικά στην ανάπτυξη και την υιοθέτηση της ΤΝ, συμπεριλαμβανομένης της συμφωνίας για την τεχνολογία των πληροφοριών, η οποία μειώνει το κόστος εφαρμογής υλισμικού ΤΝ, της συμφωνίας για τα τεχνικά εμπόδια στο εμπόριο (TBT), η οποία προωθεί τη ρυθμιστική διαφάνεια και τα διεθνή πρότυπα, της Γενικής Συμφωνίας για τις συναλλαγές στον τομέα των υπηρεσιών, η οποία διευκολύνει το εμπόριο υπηρεσιών που σχετίζονται με την ΤΝ, και της συμφωνίας για τα δικαιώματα διανοητικής ιδιοκτησίας στον τομέα του εμπορίου, η οποία στηρίζει την ανάπτυξη και τη διάδοση της ΤΝ·</w:t>
      </w:r>
    </w:p>
    <w:p w14:paraId="54CEB090" w14:textId="77777777" w:rsidR="00017CDD" w:rsidRPr="008E52B3" w:rsidRDefault="00017CDD" w:rsidP="00017CDD">
      <w:pPr>
        <w:pStyle w:val="NormalHanging"/>
      </w:pPr>
      <w:r w:rsidRPr="008E52B3">
        <w:t>Η.</w:t>
      </w:r>
      <w:r w:rsidRPr="008E52B3">
        <w:tab/>
        <w:t>λαμβάνοντας υπόψη ότι ο χαρακτήρας διπλής χρήσης και η αυξανόμενη στρατιωτικοποίηση της ΤΝ, συμπεριλαμβανομένης της ανάπτυξής της σε σύγχρονες συγκρούσεις, όπως ο επιθετικός πόλεμος της Ρωσίας κατά της Ουκρανίας, επιταχύνουν τη μετάβαση από τη συνεργασία με επίκεντρο την ασφάλεια σε έναν τροφοδοτούμενο από την ΤΝ ανταγωνισμό σε γεωοικονομικό επίπεδο και στον τομέα της ασφάλειας· λαμβάνοντας υπόψη ότι η διακυβέρνηση, οι έλεγχοι των εξαγωγών και τα πρότυπα της ΤΝ χρησιμοποιούνται όλο και περισσότερο ως εργαλεία στρατηγικής επιρροής και προβολής ισχύος·</w:t>
      </w:r>
    </w:p>
    <w:p w14:paraId="18587336" w14:textId="77777777" w:rsidR="00017CDD" w:rsidRPr="008E52B3" w:rsidRDefault="00017CDD" w:rsidP="00017CDD">
      <w:pPr>
        <w:pStyle w:val="NormalHanging"/>
      </w:pPr>
      <w:r w:rsidRPr="008E52B3">
        <w:lastRenderedPageBreak/>
        <w:t>Θ.</w:t>
      </w:r>
      <w:r w:rsidRPr="008E52B3">
        <w:tab/>
        <w:t>λαμβάνοντας υπόψη ότι η ΤΝ μπορεί να χρησιμοποιηθεί σε οπλικά συστήματα και εργαλεία μαζικής παρακολούθησης· λαμβάνοντας υπόψη ότι οι πρακτικές αυτές θα προκαλέσουν σημαντικές ανησυχίες όσον αφορά τη δεοντολογία και τα ανθρώπινα δικαιώματα· λαμβάνοντας υπόψη ότι ο Γενικός Γραμματέας των Ηνωμένων Εθνών έχει ζητήσει την παγκόσμια απαγόρευση των φονικών αυτόνομων οπλικών συστημάτων, τα οποία είναι μηχανήματα ικανά να αφαιρούν ανθρώπινες ζωές χωρίς ανθρώπινη εποπτεία·</w:t>
      </w:r>
    </w:p>
    <w:p w14:paraId="14488B81" w14:textId="77777777" w:rsidR="00017CDD" w:rsidRPr="008E52B3" w:rsidRDefault="00017CDD" w:rsidP="00017CDD">
      <w:pPr>
        <w:pStyle w:val="Normal12a"/>
      </w:pPr>
      <w:r w:rsidRPr="008E52B3">
        <w:rPr>
          <w:b/>
          <w:i/>
        </w:rPr>
        <w:t>ΤΝ για τη διευκόλυνση του εμπορίου και την επιβολή των κανονιστικών ρυθμίσεων</w:t>
      </w:r>
    </w:p>
    <w:p w14:paraId="3E1C7FC6" w14:textId="1B1C4A38" w:rsidR="00017CDD" w:rsidRPr="008E52B3" w:rsidRDefault="008E52B3" w:rsidP="008E52B3">
      <w:pPr>
        <w:pStyle w:val="NormalHanging12a"/>
        <w:ind w:left="567" w:hanging="563"/>
      </w:pPr>
      <w:r w:rsidRPr="008E52B3">
        <w:t>1.</w:t>
      </w:r>
      <w:r w:rsidRPr="008E52B3">
        <w:tab/>
      </w:r>
      <w:r w:rsidR="00017CDD" w:rsidRPr="008E52B3">
        <w:t>αναγνωρίζει ότι η ΤΝ μπορεί να επιταχύνει τις εξαγωγές και τις εισαγωγές της ΕΕ, ιδίως για τις ΜΜΕ, μειώνοντας τους φραγμούς εισόδου στην αγορά και το κόστος συμμόρφωσης και επιτρέποντας στις επιχειρήσεις να φθάσουν σε αγορές που προηγουμένως ήταν πέραν της εμβέλειάς τους, υπό την προϋπόθεση ότι οι ΜΜΕ έχουν δίκαιη πρόσβαση σε υποδομές ΤΝ· καλεί την Επιτροπή να ενσωματώσει αξιόπιστες συμβουλευτικές υπηρεσίες ΤΝ στην πύλη Access2Markets και στο ενιαίο σημείο εισόδου, που θα παρέχουν καθοδήγηση σε σχέση με τους δασμούς, τους κανόνες καταγωγής και τις κανονιστικές απαιτήσεις· καλεί την Επιτροπή να δώσει προτεραιότητα σε φιλικά προς τις ΜΜΕ εργαλεία ΤΝ και να διασφαλίσει ότι οι ψηφιακές λύσεις συμμόρφωσης παραμένουν απλές, οικονομικά προσιτές και προσβάσιμες·</w:t>
      </w:r>
    </w:p>
    <w:p w14:paraId="665E9356" w14:textId="211AC5A0" w:rsidR="00017CDD" w:rsidRPr="008E52B3" w:rsidRDefault="008E52B3" w:rsidP="008E52B3">
      <w:pPr>
        <w:pStyle w:val="NormalHanging12a"/>
        <w:ind w:left="567" w:hanging="563"/>
      </w:pPr>
      <w:r w:rsidRPr="008E52B3">
        <w:t>2.</w:t>
      </w:r>
      <w:r w:rsidRPr="008E52B3">
        <w:tab/>
      </w:r>
      <w:r w:rsidR="00017CDD" w:rsidRPr="008E52B3">
        <w:t>σημειώνει ότι η ΤΝ μπορεί να συμβάλει στη μείωση των καθυστερήσεων και του κόστους στις αλυσίδες εφοδιασμού της ΕΕ βελτιώνοντας τον σχεδιασμό και τον συντονισμό· καλεί την Επιτροπή να καταστήσει το εμπόριο χωρίς χαρτί τον κανόνα και να προωθήσει την ανταλλαγή αξιόπιστων πληροφοριών μεταξύ φορέων εκμετάλλευσης και αρχών· ζητεί επενδύσεις σε μια εφοδιαστική που βασίζεται στην ΤΝ και μειώνει τα σημεία συμφόρησης στους λιμένες και τους διαδρόμους, καθώς και στήριξη σε μια φιλικότερη προς το περιβάλλον εφοδιαστική μέσω εξυπνότερων διαδρομών και συντήρησης· καλεί την Επιτροπή να παράσχει κίνητρα για λύσεις ΤΝ ανοικτού κώδικα, οι οποίες συμβάλλουν στην αύξηση του ανταγωνισμού και μειώνουν την εξάρτηση από παρόχους εκτός ΕΕ· τονίζει ότι η ψηφιοποίηση και η εφοδιαστική που βασίζεται στην ΤΝ θα πρέπει να οδηγήσουν σε μεγαλύτερη παραγωγικότητα, αποδοτικότητα και διαχείριση της αλυσίδας εφοδιασμού, μείωση του εμπορικού κόστους και μείωση του διοικητικού φόρτου·</w:t>
      </w:r>
    </w:p>
    <w:p w14:paraId="55474439" w14:textId="25E6C4DB" w:rsidR="00017CDD" w:rsidRPr="008E52B3" w:rsidRDefault="008E52B3" w:rsidP="008E52B3">
      <w:pPr>
        <w:pStyle w:val="NormalHanging12a"/>
        <w:ind w:left="567" w:hanging="563"/>
      </w:pPr>
      <w:r w:rsidRPr="008E52B3">
        <w:t>3.</w:t>
      </w:r>
      <w:r w:rsidRPr="008E52B3">
        <w:tab/>
      </w:r>
      <w:r w:rsidR="00017CDD" w:rsidRPr="008E52B3">
        <w:t xml:space="preserve">σημειώνει τον ρόλο που μπορεί να παίξει η ΤΝ στην ενίσχυση των τελωνειακών ελέγχων σε συνθήκες πλεονάζουσας ικανότητας της αγοράς και με δεδομένους τους περιορισμούς των επιθεωρήσεων από άνθρωπο υπό το πρίσμα των προκλήσεων που συνεπάγεται η εισροή αγαθών, ιδίως μικρών δεμάτων από την Κίνα· καλεί την Επιτροπή να παράσχει πόρους και δεξιότητες στις αρχές εποπτείας της αγοράς και στις τελωνειακές αρχές, μεταξύ άλλων μέσω της ενισχυμένης συνεργασίας μεταξύ των κρατών μελών στον τελωνειακό κόμβο δεδομένων της ΕΕ, ώστε να διασφαλιστεί ότι η χρήση της ΤΝ ενισχύει την ικανότητα επιβολής και την ανταλλαγή δεδομένων μεταξύ των αρχών· καλεί την Επιτροπή να διερευνήσει τις δυνατότητες της ΤΝ όσον αφορά τη διασφάλιση της συμμόρφωσης των εισαγόμενων αγαθών με το δίκαιο της ΕΕ, την ενίσχυση της ιχνηλασιμότητας σε πραγματικό χρόνο και του τελωνειακού ελέγχου των εισαγόμενων προϊόντων και της εποπτείας της αγοράς, την εφαρμογή ασφαλών και ειδικών εργαλείων ΤΝ για τη συστηματική ανάλυση δεδομένων από μικρά δέματα ή τη διασφάλιση της ιχνηλασιμότητας των προϊόντων σε ολόκληρη την αλυσίδα εφοδιασμού, προκειμένου να καταπολεμηθούν τα εμπορεύματα παραποίησης/απομίμησης, η τελωνειακή απάτη, οι αθέμιτες εμπορικές πρακτικές και η </w:t>
      </w:r>
      <w:r w:rsidR="00017CDD" w:rsidRPr="008E52B3">
        <w:lastRenderedPageBreak/>
        <w:t>καταστρατήγηση των κυρώσεων που επιβάλλονται από την ΕΕ· επισημαίνει ότι θα πρέπει να διασφαλίζεται η ανεξαρτησία και η κυριαρχία σε σχέση με τα εν λόγω συστήματα ΤΝ, καθώς αυτά θα συνιστούν υποδομές ζωτικής σημασίας· καλεί την Επιτροπή να διασφαλίσει ότι τα εργαλεία αυτά συμμορφώνονται αυστηρά με τη σχετική νομοθεσία της ΕΕ·</w:t>
      </w:r>
    </w:p>
    <w:p w14:paraId="2A1133D2" w14:textId="724A4284" w:rsidR="00017CDD" w:rsidRPr="008E52B3" w:rsidRDefault="008E52B3" w:rsidP="008E52B3">
      <w:pPr>
        <w:pStyle w:val="NormalHanging12a"/>
        <w:ind w:left="567" w:hanging="563"/>
      </w:pPr>
      <w:r w:rsidRPr="008E52B3">
        <w:t>4.</w:t>
      </w:r>
      <w:r w:rsidRPr="008E52B3">
        <w:tab/>
      </w:r>
      <w:r w:rsidR="00017CDD" w:rsidRPr="008E52B3">
        <w:t>σημειώνει ότι η ΤΝ μπορεί να αποτελέσει χρήσιμο εργαλείο για τις εταιρείες, τις τελωνειακές αρχές και τις αρχές εποπτείας της αγοράς, με στόχο την προάσπιση της προστασίας των ανθρωπίνων δικαιωμάτων, χάρη στη διευκόλυνση της αποτελεσματικής εφαρμογής και συμμόρφωσης με τους κανόνες της ΕΕ, όπως η οδηγία για την εταιρική δέουσα επιμέλεια όσον αφορά τη βιωσιμότητα</w:t>
      </w:r>
      <w:r w:rsidR="00A122F2" w:rsidRPr="008E52B3">
        <w:rPr>
          <w:rStyle w:val="FootnoteReference"/>
        </w:rPr>
        <w:footnoteReference w:id="10"/>
      </w:r>
      <w:r w:rsidR="00017CDD" w:rsidRPr="008E52B3">
        <w:t>, ο κανονισμός για την αποψίλωση των δασών</w:t>
      </w:r>
      <w:r w:rsidR="00A122F2" w:rsidRPr="008E52B3">
        <w:rPr>
          <w:rStyle w:val="FootnoteReference"/>
        </w:rPr>
        <w:footnoteReference w:id="11"/>
      </w:r>
      <w:r w:rsidR="00017CDD" w:rsidRPr="008E52B3">
        <w:t xml:space="preserve"> ή ο κανονισμός της ΕΕ για την αναγκαστική εργασία</w:t>
      </w:r>
      <w:r w:rsidR="00A122F2" w:rsidRPr="008E52B3">
        <w:rPr>
          <w:rStyle w:val="FootnoteReference"/>
        </w:rPr>
        <w:footnoteReference w:id="12"/>
      </w:r>
      <w:r w:rsidR="00017CDD" w:rsidRPr="008E52B3">
        <w:t>, καθώς και για την προάσπιση της προστασίας των καταναλωτών, χάρη στη διευκόλυνση της αποτελεσματικής εφαρμογής και συμμόρφωσης με τους κανόνες της ΕΕ, όπως η καταχώριση, η αξιολόγηση, η αδειοδότηση και οι περιορισμοί των χημικών προϊόντων (REACH), η σήμανση CE και ο κανονισμός για τη γενική ασφάλεια των προϊόντων</w:t>
      </w:r>
      <w:r w:rsidR="00A122F2" w:rsidRPr="008E52B3">
        <w:rPr>
          <w:rStyle w:val="FootnoteReference"/>
        </w:rPr>
        <w:footnoteReference w:id="13"/>
      </w:r>
      <w:r w:rsidR="00017CDD" w:rsidRPr="008E52B3">
        <w:t>·</w:t>
      </w:r>
    </w:p>
    <w:p w14:paraId="70FDD574" w14:textId="77777777" w:rsidR="00017CDD" w:rsidRPr="008E52B3" w:rsidRDefault="00017CDD" w:rsidP="00017CDD">
      <w:pPr>
        <w:pStyle w:val="Normal12a"/>
      </w:pPr>
      <w:r w:rsidRPr="008E52B3">
        <w:rPr>
          <w:b/>
          <w:i/>
        </w:rPr>
        <w:t>ΤΝ και διαρθρωτικές αλλαγές στο εμπόριο αγαθών και υπηρεσιών, καθώς και στο εμπόριο και τη βιώσιμη ανάπτυξη</w:t>
      </w:r>
    </w:p>
    <w:p w14:paraId="54F2BEFF" w14:textId="56D2DBE2" w:rsidR="00017CDD" w:rsidRPr="008E52B3" w:rsidRDefault="008E52B3" w:rsidP="008E52B3">
      <w:pPr>
        <w:pStyle w:val="NormalHanging12a"/>
        <w:ind w:left="567" w:hanging="563"/>
      </w:pPr>
      <w:r w:rsidRPr="008E52B3">
        <w:t>5.</w:t>
      </w:r>
      <w:r w:rsidRPr="008E52B3">
        <w:tab/>
      </w:r>
      <w:r w:rsidR="00017CDD" w:rsidRPr="008E52B3">
        <w:t xml:space="preserve">αναγνωρίζει ότι η ανταγωνιστικότητα της Ευρώπης στο εμπόριο αγαθών θα εξαρτάται όλο και περισσότερο από τη βελτίωση της παραγωγικότητας και της ποιότητας που βασίζεται στην ΤΝ σε στρατηγικές βιομηχανικές αλυσίδες αξίας, συμπεριλαμβανομένων της μεταποίησης, της αυτοκινητοβιομηχανίας, και των φαρμακευτικών και ενεργειακών τεχνολογιών· καλεί την Επιτροπή να λαμβάνει υπόψη συστηματικά τα συμφέροντα αυτά στις εμπορικές διαπραγματεύσεις, διασφαλίζοντας αποτελεσματική πρόσβαση στην αγορά, αυστηρούς κανόνες σχετικά με τους μη δασμολογικούς φραγμούς και εκτελεστές διατάξεις που διατηρούν ισότιμους όρους ανταγωνισμού, αποτρέποντας τον αθέμιτο ανταγωνισμό και τις στρεβλώσεις που </w:t>
      </w:r>
      <w:r w:rsidR="00017CDD" w:rsidRPr="008E52B3">
        <w:lastRenderedPageBreak/>
        <w:t>σχετίζονται με την τεχνολογία, με παράλληλη αναγνώριση του δικαιώματος της ΕΕ στη ρύθμιση·</w:t>
      </w:r>
    </w:p>
    <w:p w14:paraId="7F962036" w14:textId="5F1F8234" w:rsidR="00017CDD" w:rsidRPr="008E52B3" w:rsidRDefault="008E52B3" w:rsidP="008E52B3">
      <w:pPr>
        <w:pStyle w:val="NormalHanging12a"/>
        <w:ind w:left="567" w:hanging="563"/>
      </w:pPr>
      <w:r w:rsidRPr="008E52B3">
        <w:t>6.</w:t>
      </w:r>
      <w:r w:rsidRPr="008E52B3">
        <w:tab/>
      </w:r>
      <w:r w:rsidR="00017CDD" w:rsidRPr="008E52B3">
        <w:t xml:space="preserve">αναγνωρίζει ότι η ΤΝ αναδιαμορφώνει το εμπόριο ψηφιακά παρεχόμενων υπηρεσιών, καθώς μετατρέπει την εμπειρογνωσία σε εμπορεύσιμο προϊόν, με αποτέλεσμα να απαιτούνται πρόσθετες προσπάθειες για να διατηρηθεί το συγκριτικό πλεονέκτημα που διέθετε η Ευρώπη σε υψηλής αξίας επαγγελματικές, τεχνικές και επιχειρηματικές υπηρεσίες· υπογραμμίζει ότι η αντιμετώπιση του εντεινόμενου παγκόσμιου ανταγωνισμού στο εμπόριο υπηρεσιών απαιτεί την κινητοποίηση επενδύσεων και τη βελτίωση της πρόσβασης σε χρηματοδότηση όπως προβλέπεται στις εκθέσεις </w:t>
      </w:r>
      <w:proofErr w:type="spellStart"/>
      <w:r w:rsidR="00017CDD" w:rsidRPr="008E52B3">
        <w:t>Draghi</w:t>
      </w:r>
      <w:proofErr w:type="spellEnd"/>
      <w:r w:rsidR="00017CDD" w:rsidRPr="008E52B3">
        <w:t xml:space="preserve"> και </w:t>
      </w:r>
      <w:proofErr w:type="spellStart"/>
      <w:r w:rsidR="00017CDD" w:rsidRPr="008E52B3">
        <w:t>Letta</w:t>
      </w:r>
      <w:proofErr w:type="spellEnd"/>
      <w:r w:rsidR="00017CDD" w:rsidRPr="008E52B3">
        <w:t>· παροτρύνει την Επιτροπή να κινητοποιήσει εμπορικές και επενδυτικές εταιρικές σχέσεις για την προσέλκυση κεφαλαίων και ταλέντων και την επέκταση των ευρωπαϊκών εταιρειών·</w:t>
      </w:r>
    </w:p>
    <w:p w14:paraId="3D5EC72E" w14:textId="22923C49" w:rsidR="00017CDD" w:rsidRPr="008E52B3" w:rsidRDefault="008E52B3" w:rsidP="008E52B3">
      <w:pPr>
        <w:pStyle w:val="NormalHanging12a"/>
        <w:ind w:left="567" w:hanging="563"/>
      </w:pPr>
      <w:r w:rsidRPr="008E52B3">
        <w:t>7.</w:t>
      </w:r>
      <w:r w:rsidRPr="008E52B3">
        <w:tab/>
      </w:r>
      <w:r w:rsidR="00017CDD" w:rsidRPr="008E52B3">
        <w:t>αναγνωρίζει ότι η ΤΝ έχει τη δυνατότητα να αναδιαμορφώσει την εργασία και τις αγορές εργασίας σε παγκόσμιο επίπεδο· προειδοποιεί για τους κινδύνους εκτοπισμού που προκύπτουν από την αυτοματοποίηση, το εμπόριο υπηρεσιών που βασίζεται στην ΤΝ και τη διεύρυνση των ελλείψεων δεξιοτήτων στο εργατικό δυναμικό της ΕΕ· τονίζει, επομένως, την ανάγκη να υιοθετηθούν στρατηγικές για την πρόβλεψη αυτών των αλλαγών και την ανάλογη προσαρμογή του εργατικού δυναμικού· σημειώνει ότι η ανάπτυξη και η εφαρμογή μοντέλων και συστημάτων ΤΝ έχουν αρνητικές περιβαλλοντικές συνέπειες, συμπεριλαμβανομένης της αυξημένης ζήτησης ηλεκτρικής ενέργειας και κατανάλωσης νερού· καλεί την Επιτροπή να αναλύσει, στο πλαίσιο των εκτιμήσεων επιπτώσεων των συμφωνιών ελεύθερων συναλλαγών, ποιοι τομείς είναι πιθανό να επηρεαστούν από την ΤΝ και να εκτιμήσει τον αντίκτυπο της χρήσης της ΤΝ στα δικαιώματα των εργαζομένων και στο περιβάλλον·</w:t>
      </w:r>
    </w:p>
    <w:p w14:paraId="780C0A72" w14:textId="5A9F0BBD" w:rsidR="00017CDD" w:rsidRPr="008E52B3" w:rsidRDefault="008E52B3" w:rsidP="008E52B3">
      <w:pPr>
        <w:pStyle w:val="NormalHanging12a"/>
        <w:ind w:left="567" w:hanging="563"/>
      </w:pPr>
      <w:r w:rsidRPr="008E52B3">
        <w:t>8.</w:t>
      </w:r>
      <w:r w:rsidRPr="008E52B3">
        <w:tab/>
      </w:r>
      <w:r w:rsidR="00017CDD" w:rsidRPr="008E52B3">
        <w:t xml:space="preserve">προειδοποιεί ότι το ψηφιακό χάσμα ενέχει τον κίνδυνο αποκλεισμού εταίρων στον Παγκόσμιο Νότο από ευκαιρίες ανάπτυξης που βασίζονται στην ΤΝ, με αποτέλεσμα να αυξηθεί η εξάρτηση από εισαγόμενα μοντέλα· τονίζει ότι η συνεργασία για τη στήριξη της χρήσης εργαλείων ΤΝ στις αναπτυσσόμενες χώρες θα πρέπει να ενισχύει το πολυμερές εμπορικό σύστημα και να προωθείται μέσω του πλαισίου του ΠΟΕ· καλεί την Επιτροπή να κάνει χρήση των διατάξεων για την ψηφιακή ένταξη που περιέχονται στα κεφάλαια για το εμπόριο και τη βιώσιμη ανάπτυξη και στις συμφωνίες ψηφιακού εμπορίου για τη στήριξη της υιοθέτησης της ΤΝ και της αύξησης της παραγωγικότητας, καθώς και για την προώθηση της συμπεριληπτικής και αξιόπιστης ΤΝ μέσω ειδικών προγραμμάτων διεθνούς συνεργασίας και πρωτοβουλιών ανάπτυξης ικανοτήτων στο πλαίσιο υφιστάμενων εξωτερικών μέσων της ΕΕ, συμπεριλαμβανομένων προγραμμάτων κατάρτισης και της πρόσβασης σε ψηφιακές υποδομές και υποδομές ΤΝ· καλεί την Επιτροπή να εστιάσει την ανάπτυξη ικανοτήτων της </w:t>
      </w:r>
      <w:proofErr w:type="spellStart"/>
      <w:r w:rsidR="00017CDD" w:rsidRPr="008E52B3">
        <w:t>Global</w:t>
      </w:r>
      <w:proofErr w:type="spellEnd"/>
      <w:r w:rsidR="00017CDD" w:rsidRPr="008E52B3">
        <w:t xml:space="preserve"> </w:t>
      </w:r>
      <w:proofErr w:type="spellStart"/>
      <w:r w:rsidR="00017CDD" w:rsidRPr="008E52B3">
        <w:t>Gateway</w:t>
      </w:r>
      <w:proofErr w:type="spellEnd"/>
      <w:r w:rsidR="00017CDD" w:rsidRPr="008E52B3">
        <w:t xml:space="preserve"> σε δεοντολογικά οικοσυστήματα ΤΝ ανοικτού κώδικα και τοπικές ικανότητες, προωθώντας ανθεκτικές και αμοιβαία επωφελείς εμπορικές και επενδυτικές σχέσεις·</w:t>
      </w:r>
    </w:p>
    <w:p w14:paraId="00F9B659" w14:textId="36B1B5FA" w:rsidR="00017CDD" w:rsidRPr="008E52B3" w:rsidRDefault="008E52B3" w:rsidP="008E52B3">
      <w:pPr>
        <w:pStyle w:val="NormalHanging12a"/>
        <w:ind w:left="567" w:hanging="563"/>
      </w:pPr>
      <w:r w:rsidRPr="008E52B3">
        <w:t>9.</w:t>
      </w:r>
      <w:r w:rsidRPr="008E52B3">
        <w:tab/>
      </w:r>
      <w:r w:rsidR="00017CDD" w:rsidRPr="008E52B3">
        <w:t xml:space="preserve">σημειώνει ότι οι λύσεις ΤΝ ανοικτού κώδικα, λόγω του ότι καθιστούν δυνατή τη διαφανή επαναχρησιμοποίηση και την πραγματοποίηση ανεξάρτητων δοκιμών, παρουσιάζουν σημαντικά πλεονεκτήματα, όπως το μειωμένο κόστος και η ενισχυμένη ιδιωτικότητα των δεδομένων χάρη στην τοπική εφαρμογή, και με τον τρόπο αυτόν συμβάλλουν στην ενίσχυση του υγιούς ανταγωνισμού στον τομέα της ΤΝ και στη μείωση της εξάρτησης από παρόχους εκτός ΕΕ, ενώ παράλληλα στηρίζουν την ανάπτυξη ελέγξιμων, τοπικά προσαρμοσμένων λύσεων ΤΝ, από κοινού με εταίρους στον Παγκόσμιο Νότο· τονίζει ότι η ενσωμάτωση της εν λόγω συνεργασίας στην εμπορική πολιτική της ΕΕ και στις ψηφιακές εταιρικές σχέσεις μπορεί να οδηγήσει σε </w:t>
      </w:r>
      <w:r w:rsidR="00017CDD" w:rsidRPr="008E52B3">
        <w:lastRenderedPageBreak/>
        <w:t>διαφοροποίηση των εταιρικών σχέσεων, σε μείωση της εξάρτησης από λίγα ιδιόκτητα οικοσυστήματα και σε ενίσχυση των μακροπρόθεσμων γεωπολιτικών δεσμών· καλεί την Επιτροπή να παράσχει κίνητρα για λύσεις ΤΝ ανοικτού κώδικα, οι οποίες συμβάλλουν στη μείωση της εξάρτησης από παρόχους εκτός ΕΕ· υπογραμμίζει ότι η συνεργασία ανοικτού κώδικα θα πρέπει να περιλαμβάνει έργα δημοσίου συμφέροντος σε σχέση με την ΤΝ, όπως η αντιμετώπιση της κλιματικής αλλαγής, η στήριξη της καθαρής μετάβασης και η βελτίωση της υγειονομικής περίθαλψης και της επισιτιστικής ασφάλειας·</w:t>
      </w:r>
    </w:p>
    <w:p w14:paraId="06D51C6C" w14:textId="77777777" w:rsidR="00017CDD" w:rsidRPr="008E52B3" w:rsidRDefault="00017CDD" w:rsidP="00017CDD">
      <w:pPr>
        <w:pStyle w:val="Normal12a"/>
      </w:pPr>
      <w:r w:rsidRPr="008E52B3">
        <w:rPr>
          <w:b/>
          <w:i/>
        </w:rPr>
        <w:t>Διακυβέρνηση του ψηφιακού εμπορίου, κανονιστική συνεργασία και πολυμερείς κανόνες</w:t>
      </w:r>
    </w:p>
    <w:p w14:paraId="38B01588" w14:textId="397E2081" w:rsidR="00017CDD" w:rsidRPr="008E52B3" w:rsidRDefault="008E52B3" w:rsidP="008E52B3">
      <w:pPr>
        <w:pStyle w:val="NormalHanging12a"/>
        <w:ind w:left="567" w:hanging="563"/>
      </w:pPr>
      <w:r w:rsidRPr="008E52B3">
        <w:t>10.</w:t>
      </w:r>
      <w:r w:rsidRPr="008E52B3">
        <w:tab/>
      </w:r>
      <w:r w:rsidR="00017CDD" w:rsidRPr="008E52B3">
        <w:t>επισημαίνει ότι οι ψηφιακές εταιρικές σχέσεις και τα Συμβούλια Εμπορίου και Τεχνολογίας με ομόφρονες εταίρους που συμμερίζονται τις δημοκρατικές αξίες, τα υψηλά πρότυπα διακυβέρνησης και τη δέσμευση για ανοικτό και βασιζόμενο σε κανόνες εμπόριο, διαδραματίζουν στρατηγικό ρόλο στην προβολή της ανθρωποκεντρικής προσέγγισης της ΕΕ όσον αφορά την ΤΝ, η οποία εδράζεται σε αξίες και βασίζεται στην εκτίμηση των κινδύνων· ζητεί να ενισχυθεί η συμμετοχή του Κοινοβουλίου στα Συμβούλια Εμπορίου και Τεχνολογίας· καλεί την Επιτροπή να εφαρμόσει τη διεθνή ψηφιακή στρατηγική μέσω συντονισμένων θέσεων στην G7, την G20, τον Οργανισμό Οικονομικής Συνεργασίας και Ανάπτυξης (ΟΟΣΑ) και τα Ηνωμένα Έθνη, και διαρθρωμένης συνεργασίας μεταξύ ρυθμιστικών αρχών για την προώθηση της παγκόσμιας σύγκλισης στην υιοθέτηση υψηλών προτύπων ασφάλειας της ΤΝ και στην προστασία των θεμελιωδών δικαιωμάτων·</w:t>
      </w:r>
    </w:p>
    <w:p w14:paraId="5636CD85" w14:textId="4A9E6464" w:rsidR="00017CDD" w:rsidRPr="008E52B3" w:rsidRDefault="008E52B3" w:rsidP="008E52B3">
      <w:pPr>
        <w:pStyle w:val="NormalHanging12a"/>
        <w:ind w:left="567" w:hanging="563"/>
      </w:pPr>
      <w:r w:rsidRPr="008E52B3">
        <w:t>11.</w:t>
      </w:r>
      <w:r w:rsidRPr="008E52B3">
        <w:tab/>
      </w:r>
      <w:r w:rsidR="00017CDD" w:rsidRPr="008E52B3">
        <w:t>τονίζει την ανάγκη υπεράσπισης και προώθησης, ιδίως σε πολυμερή φόρουμ, του ανθρωποκεντρικού μοντέλου ΤΝ της ΕΕ ως διεθνούς προτύπου και του κανονισμού για την τεχνητή νοημοσύνη ως σημείου αναφοράς που μπορεί να συμβάλει στην ευθυγράμμιση των προτύπων διαφάνειας και ασφάλειας, με παράλληλη διατήρηση του ανοικτού χαρακτήρα και της προβλεψιμότητας του εμπορίου· καλεί την Επιτροπή να ενισχύσει τη συνεργασία για τα πρότυπα ΤΝ, την τεχνολογική καινοτομία και τις ασφαλείς αλυσίδες εφοδιασμού με αξιόπιστους εταίρους και ομόφρονες χώρες, μεταξύ άλλων μέσω διμερών εταιρικών σχέσεων και πολυμερών φόρουμ, δίνοντας προτεραιότητα σε εταίρους που υπερασπίζονται τις δημοκρατικές αξίες και τη βασισμένη σε κανόνες διεθνή τάξη· σημειώνει ότι τα προηγμένα συστήματα ΤΝ δημιουργούν διασυνοριακές προκλήσεις, και καλεί την Επιτροπή να εργαστεί για ένα παγκόσμιο ελάχιστο όριο προστασίας από τους σοβαρότερους κινδύνους ως βάση για διαλειτουργική και αξιόπιστη διακυβέρνηση, ιδίως μέσω διεθνών πρωτοβουλιών όπως η παγκόσμια εταιρική σχέση για την ΤΝ, οι αρχές του ΟΟΣΑ για την ΤΝ και το πλαίσιο δεοντολογίας της UNESCO για την ΤΝ·</w:t>
      </w:r>
    </w:p>
    <w:p w14:paraId="0F775803" w14:textId="688B7F45" w:rsidR="00017CDD" w:rsidRPr="008E52B3" w:rsidRDefault="008E52B3" w:rsidP="008E52B3">
      <w:pPr>
        <w:pStyle w:val="NormalHanging12a"/>
        <w:ind w:left="567" w:hanging="563"/>
      </w:pPr>
      <w:r w:rsidRPr="008E52B3">
        <w:t>12.</w:t>
      </w:r>
      <w:r w:rsidRPr="008E52B3">
        <w:tab/>
      </w:r>
      <w:r w:rsidR="00017CDD" w:rsidRPr="008E52B3">
        <w:t xml:space="preserve">υπογραμμίζει ότι, πέρα από ένα παγκόσμιο ελάχιστο όριο προστασίας, απαιτείται ένας συνασπισμός </w:t>
      </w:r>
      <w:proofErr w:type="spellStart"/>
      <w:r w:rsidR="00017CDD" w:rsidRPr="008E52B3">
        <w:t>ομόφρονων</w:t>
      </w:r>
      <w:proofErr w:type="spellEnd"/>
      <w:r w:rsidR="00017CDD" w:rsidRPr="008E52B3">
        <w:t xml:space="preserve"> εταίρων που συμμερίζονται την ανθρωποκεντρική προσέγγιση της ΕΕ, προκειμένου να επιταχυνθεί η εφαρμογή υψηλών προτύπων ασφάλειας, διαφάνειας, λογοδοσίας και θεμελιωδών δικαιωμάτων στον τομέα της ΤΝ, ιδίως μέσω διαρθρωμένου ρυθμιστικού διαλόγου για την αντιμετώπιση διαφορών, την ανταλλαγή βέλτιστων πρακτικών και την προσαρμογή των δεσμεύσεων υπό το πρίσμα των τεχνολογικών εξελίξεων· καλεί, επιπλέον, την Επιτροπή να συνδυάσει τη ρυθμιστική σύγκλιση όσον αφορά τα υψηλά πρότυπα ασφάλειας και θεμελιωδών δικαιωμάτων με συγκεκριμένη ανάπτυξη ικανοτήτων, συμπεριλαμβανομένων κοινών επενδύσεων σε ασφαλείς και οικονομικά προσιτές ικανότητες υπολογιστικής και δοκιμών, εταιρικές σχέσεις ταλέντων και δεξιοτήτων για τη μείωση της στρατηγικής εξάρτησης και τη δημιουργία αξιόπιστων μοντέλων εφαρμογής με τα οποία μπορούν να </w:t>
      </w:r>
      <w:r w:rsidR="00017CDD" w:rsidRPr="008E52B3">
        <w:lastRenderedPageBreak/>
        <w:t>ευθυγραμμιστούν οι χώρες εταίροι, ενισχύοντας την αξιόπιστη ΤΝ ως βάση για ανοικτό και ανθεκτικό ψηφιακό εμπόριο·</w:t>
      </w:r>
    </w:p>
    <w:p w14:paraId="707825C2" w14:textId="79450987" w:rsidR="00017CDD" w:rsidRPr="008E52B3" w:rsidRDefault="008E52B3" w:rsidP="008E52B3">
      <w:pPr>
        <w:pStyle w:val="NormalHanging12a"/>
        <w:ind w:left="567" w:hanging="563"/>
      </w:pPr>
      <w:r w:rsidRPr="008E52B3">
        <w:t>13.</w:t>
      </w:r>
      <w:r w:rsidRPr="008E52B3">
        <w:tab/>
      </w:r>
      <w:r w:rsidR="00017CDD" w:rsidRPr="008E52B3">
        <w:t>υπογραμμίζει ότι οι νόμιμες και ασφαλείς ροές δεδομένων είναι απαραίτητες για το εμπόριο που βασίζεται στην ΤΝ· υπενθυμίζει την ανάγκη οι συμφωνίες ψηφιακού εμπορίου της ΕΕ να συμμορφώνονται με τις οριζόντιες διατάξεις της Επιτροπής σχετικά με τις διασυνοριακές ροές δεδομένων και την προστασία των προσωπικών δεδομένων και της ιδιωτικότητας στον τίτλο «Ψηφιακό εμπόριο» των εμπορικών συμφωνιών της ΕΕ, οι οποίες επιτρέπουν στην Ένωση να περιλαμβάνει μέτρα που διευκολύνουν τις διασυνοριακές ροές δεδομένων στις εμπορικές συμφωνίες, διαφυλάσσοντας παράλληλα τα θεμελιώδη δικαιώματα των ατόμων στην προστασία των δεδομένων και την ιδιωτικότητας, τονίζοντας ότι θα πρέπει να περιλαμβάνουν ειδικές διατάξεις σχετικά με τη ρυθμιστική συνεργασία για την ΤΝ, διευκολύνοντας την αμοιβαία κατανόηση των ρυθμιστικών προσεγγίσεων, και καλεί την Επιτροπή να συμπεριλάβει τέτοιες διατάξεις σε όλα τα μελλοντικά κεφάλαια και συμφωνίες για το ψηφιακό εμπόριο· επαναβεβαιώνει ότι οι διασφαλίσεις που πληρούν τον ΓΚΠΔ ή ισοδύναμα πρότυπα αποτελούν τις ελάχιστες απαιτήσεις για τις διαβιβάσεις προσωπικών δεδομένων της ΕΕ· ζητεί οι συμφωνίες ψηφιακού εμπορίου να προστατεύουν τη ρυθμιστική αυτονομία και να διατηρούν την τεχνική πρόσβαση που απαιτείται από τις ρυθμιστικές αρχές για την επιβολή του κανονισμού για την ΤΝ και τη διασφάλιση της διαφάνειας, της ελεγξιμότητας, της δικαιοσύνης, της ασφάλειας και της λογοδοσίας των συστημάτων ΤΝ, διασφαλίζοντας παράλληλα ότι η κοινωνία των πολιτών και οι ανεξάρτητοι ερευνητές έχουν πρόσβαση στον πηγαίο κώδικα και στους αλγόριθμους των συστημάτων·</w:t>
      </w:r>
    </w:p>
    <w:p w14:paraId="4C4D65EF" w14:textId="2A3CCB03" w:rsidR="00017CDD" w:rsidRPr="008E52B3" w:rsidRDefault="008E52B3" w:rsidP="008E52B3">
      <w:pPr>
        <w:pStyle w:val="NormalHanging12a"/>
        <w:ind w:left="567" w:hanging="563"/>
      </w:pPr>
      <w:r w:rsidRPr="008E52B3">
        <w:t>14.</w:t>
      </w:r>
      <w:r w:rsidRPr="008E52B3">
        <w:tab/>
      </w:r>
      <w:r w:rsidR="00017CDD" w:rsidRPr="008E52B3">
        <w:t>υπενθυμίζει τη δέσμευση της ΕΕ για ένα πολυμερές εμπορικό σύστημα που βασίζεται σε κανόνες· υπογραμμίζει ότι ο ΠΟΕ θα πρέπει να συμβάλει ουσιαστικά στην ανάπτυξη ενός ισχυρού, ασφαλούς, συμπεριληπτικού και αξιόπιστου πλαισίου διακυβέρνησης της ΤΝ για το εμπόριο, μεταξύ άλλων μέσω της σύστασης ειδικής ομάδας εργασίας του ΠΟΕ για την τεχνητή νοημοσύνη με σκοπό τη διευκόλυνση του διαλόγου, της ανταλλαγής γνώσεων και της συνεργασίας μεταξύ των μελών σχετικά με τους κανονισμούς και τις πολιτικές για την ΤΝ· τονίζει ότι οι ισορροπημένοι κανόνες για το ηλεκτρονικό εμπόριο είναι ζωτικής σημασίας για την απελευθέρωση του εμπορίου που βασίζεται στην ΤΝ· καλεί την Επιτροπή να διασφαλίσει ότι κάθε κείμενο του ΠΟΕ για το ηλεκτρονικό εμπόριο διασφαλίζει περιθώριο πολιτικής για δημοκρατική διακυβέρνηση της ΤΝ, συμπεριλαμβανομένων εκτελεστών διασφαλίσεων για τους εργαζομένους και τους καταναλωτές· καλεί την Επιτροπή να προωθήσει τις συζητήσεις σχετικά με την ΤΝ και το εμπόριο στο πλαίσιο του ΠΟΕ, καθώς και την παγκόσμια συνεργασία που διευκολύνει τις αξιόπιστες ροές δεδομένων και το ψηφιακό εμπόριο, όπως και την πρόσβαση σε υπηρεσίες και εργαλεία που βασίζονται στην ΤΝ, ιδίως στις αναπτυσσόμενες χώρες·</w:t>
      </w:r>
    </w:p>
    <w:p w14:paraId="504C4F60" w14:textId="750A611F" w:rsidR="00017CDD" w:rsidRPr="008E52B3" w:rsidRDefault="008E52B3" w:rsidP="008E52B3">
      <w:pPr>
        <w:pStyle w:val="NormalHanging12a"/>
        <w:ind w:left="567" w:hanging="563"/>
      </w:pPr>
      <w:r w:rsidRPr="008E52B3">
        <w:t>15.</w:t>
      </w:r>
      <w:r w:rsidRPr="008E52B3">
        <w:tab/>
      </w:r>
      <w:r w:rsidR="00017CDD" w:rsidRPr="008E52B3">
        <w:t>προειδοποιεί ότι τα αποκλίνοντα καθεστώτα συμμόρφωσης σε σχέση με την ΤΝ ενέχουν τον κίνδυνο κατακερματισμού των αγορών και αύξησης του εμπορικού κόστους· τονίζει τον ρόλο της διεθνούς συνεργασίας στην πρόληψη του κανονιστικού κατακερματισμού· καλεί την Επιτροπή να χρησιμοποιήσει τα διεθνή πρότυπα και τους κανόνες του ΠΟΕ όσον αφορά τους τεχνικούς φραγμούς στο εμπόριο (TBT) και τη διαφάνεια ως εργαλεία για να αποτρέψει το ενδεχόμενο να καταστούν οι κανονιστικές αποκλίσεις αδικαιολόγητος εμπορικός φραγμός, διατηρώντας και αξιοποιώντας παράλληλα το πλαίσιο διακυβέρνησης της ΕΕ για την ΤΝ με σκοπό τη διευκόλυνση του αξιόπιστου ψηφιακού εμπορίου και την προώθηση ισότιμων όρων ανταγωνισμού για αξιόπιστη ΤΝ·</w:t>
      </w:r>
    </w:p>
    <w:p w14:paraId="1A8DEFA4" w14:textId="77777777" w:rsidR="00017CDD" w:rsidRPr="008E52B3" w:rsidRDefault="00017CDD" w:rsidP="00017CDD">
      <w:pPr>
        <w:pStyle w:val="Normal12a"/>
      </w:pPr>
      <w:r w:rsidRPr="008E52B3">
        <w:rPr>
          <w:b/>
          <w:i/>
        </w:rPr>
        <w:lastRenderedPageBreak/>
        <w:t>Οικονομική ασφάλεια και στρατηγικές εξαρτήσεις στην αξιακή αλυσίδα της ΤΝ</w:t>
      </w:r>
    </w:p>
    <w:p w14:paraId="522F3148" w14:textId="0A297F6E" w:rsidR="00017CDD" w:rsidRPr="008E52B3" w:rsidRDefault="008E52B3" w:rsidP="008E52B3">
      <w:pPr>
        <w:pStyle w:val="NormalHanging12a"/>
        <w:ind w:left="567" w:hanging="563"/>
      </w:pPr>
      <w:r w:rsidRPr="008E52B3">
        <w:t>16.</w:t>
      </w:r>
      <w:r w:rsidRPr="008E52B3">
        <w:tab/>
      </w:r>
      <w:r w:rsidR="00017CDD" w:rsidRPr="008E52B3">
        <w:t>τονίζει ότι η ασφαλής πρόσβαση σε προηγμένους ημιαγωγούς και οικονομικά προσιτή υπολογιστική ισχύ είναι θεμελιώδους σημασίας για την τεχνολογική κυριαρχία και ανταγωνιστικότητα της ΕΕ· σημειώνει ότι ο κανονισμός για τα μικροκυκλώματα και το θεματολόγιο για τα εργοστάσια ΤΝ κινδυνεύουν να αποδειχθούν ανεπαρκή λόγω της κατακερματισμένης υλοποίησης και της περιορισμένης κλίμακας· καλεί την Επιτροπή να επιταχύνει την εφαρμογή τους, να συνεχίσει τη διπλωματία της για τις πρώτες ύλες και να αξιοποιήσει τις εμπορικές συμφωνίες, τις συμφωνίες-πλαίσια και τις συμφωνίες εταιρικής σχέσης με αξιόπιστους εταίρους, προκειμένου να διαφοροποιηθούν οι αλυσίδες εφοδιασμού και να μειωθούν οι στρατηγικές εξαρτήσεις· αναγνωρίζει, στο πλαίσιο αυτό, τον κρίσιμο ρόλο που διαδραματίζουν τα προηγμένα οικοσυστήματα κατασκευής μικροκυκλωμάτων σε ομόφρονες οικονομίες-εταίρους ως προς τη στήριξη της παγκόσμιας υπολογιστικής ικανότητας ΤΝ, και ενθαρρύνει την εμβάθυνση της συνεργασίας με τους εν λόγω εταίρους για την ανθεκτικότητα της αλυσίδας εφοδιασμού ημιαγωγών· επισημαίνει, επιπλέον, την επείγουσα ανάγκη ενίσχυσης της ευρωπαϊκής παραγωγής προηγμένων ημιαγωγών, ιδίως με τη στήριξη ευρωπαϊκών πρωτοβουλιών όπως η προτεινόμενη αναθεώρηση του κανονισμού για τα μικροκυκλώματα (κανονισμός για τα μικροκυκλώματα 2.0)· καλεί την Επιτροπή να διαθέτει σαφέστερη στρατηγική σχετικά με τον τρόπο με τον οποίο η ΕΕ θα μπορούσε να αναπτυχθεί ως βασικός παράγοντας στο οικοσύστημα ΤΝ και να ενσωματώσει ισχυρές διατάξεις στις εμπορικές συμφωνίες για τη διασφάλιση δίκαιης πρόσβασης σε κρίσιμες τεχνολογίες και πρώτες ύλες·</w:t>
      </w:r>
    </w:p>
    <w:p w14:paraId="778274AA" w14:textId="7E011257" w:rsidR="00017CDD" w:rsidRPr="008E52B3" w:rsidRDefault="008E52B3" w:rsidP="008E52B3">
      <w:pPr>
        <w:pStyle w:val="NormalHanging12a"/>
        <w:ind w:left="567" w:hanging="563"/>
      </w:pPr>
      <w:r w:rsidRPr="008E52B3">
        <w:t>17.</w:t>
      </w:r>
      <w:r w:rsidRPr="008E52B3">
        <w:tab/>
      </w:r>
      <w:r w:rsidR="00017CDD" w:rsidRPr="008E52B3">
        <w:t>θεωρεί ότι οι στρατηγικές εταιρικές σχέσεις για την ανθεκτικότητα της αλυσίδας εφοδιασμού κρίσιμων ορυκτών μπορούν να αποτελέσουν ουσιαστικά μέσα για τον περαιτέρω συντονισμό με συμμάχους όσον αφορά την πρόσβαση σε εισροές κρίσιμης σημασίας για την ΤΝ, συμπεριλαμβανομένων των σπάνιων γαιών και των υλικών για προηγμένους ημιαγωγούς· επιμένει ότι η δέσμευση της ΕΕ πρέπει να εξαρτάται από τη συνοχή με τους δείκτες αναφοράς της πράξης για τις κρίσιμες πρώτες ύλες και τους στόχους ανοικτής στρατηγικής αυτονομίας της ΕΕ, ώστε να μειώνονται τα τρωτά σημεία αντί να μετατοπίζονται οι εξαρτήσεις· καλεί την Επιτροπή να διασφαλίσει ότι οποιαδήποτε πολυμερή εμπορικά μέσα που προκύπτουν από εταιρικές σχέσεις αυτού του είδους, συμπεριλαμβανομένων των κατώτατων τιμών ή των μηχανισμών αγοράς, είναι συμβατά με τις δεσμεύσεις του ΠΟΕ και εξυπηρετούν τα συμφέροντα της ΕΕ· ζητεί ενισχυμένο διάλογο και συνεργασία μεταξύ αξιόπιστων εταίρων για τη διασφάλιση των διεθνών εμπορικών ροών και την ενίσχυση της ακεραιότητας και της ανθεκτικότητας των βιομηχανικών οικοσυστημάτων που σχετίζονται με την ΤΝ·</w:t>
      </w:r>
    </w:p>
    <w:p w14:paraId="62C291F8" w14:textId="7E04175C" w:rsidR="00017CDD" w:rsidRPr="008E52B3" w:rsidRDefault="008E52B3" w:rsidP="008E52B3">
      <w:pPr>
        <w:pStyle w:val="NormalHanging12a"/>
        <w:ind w:left="567" w:hanging="563"/>
      </w:pPr>
      <w:r w:rsidRPr="008E52B3">
        <w:t>18.</w:t>
      </w:r>
      <w:r w:rsidRPr="008E52B3">
        <w:tab/>
      </w:r>
      <w:r w:rsidR="00017CDD" w:rsidRPr="008E52B3">
        <w:t>προειδοποιεί ότι η συγκέντρωση υποδομών υπολογιστικού νέφους σε τρίτες χώρες καθιστά την ΕΕ ευάλωτη σε ζητήματα εξωτερικής δικαιοδοσίας· καλεί την Επιτροπή να συγκροτήσει, μέσω της προτεινόμενης πράξης για το υπολογιστικό νέφος και την ανάπτυξη της ΤΝ και της πράξης για την επιτάχυνση της βιομηχανικής παραγωγής (</w:t>
      </w:r>
      <w:r w:rsidR="00A122F2" w:rsidRPr="008E52B3">
        <w:t>COM(2026)0100</w:t>
      </w:r>
      <w:r w:rsidR="00017CDD" w:rsidRPr="008E52B3">
        <w:t>), πλαίσια διαβαθμισμένης κυριαρχίας που θα δίνουν προτεραιότητα στους παρόχους κρίσιμων υπηρεσιών με έδρα την ΕΕ μέσω δημόσιων συμβάσεων, διασφαλίζοντας παράλληλα ανοικτή στρατηγική αυτονομία με τη διατήρηση της πρόσβασης χωρίς διακρίσεις σε ομόφρονες παρόχους που πληρούν τις απαιτήσεις πιστοποίησης και διαλειτουργικότητας της ΕΕ·</w:t>
      </w:r>
    </w:p>
    <w:p w14:paraId="5D66CCCE" w14:textId="7D389048" w:rsidR="00017CDD" w:rsidRPr="008E52B3" w:rsidRDefault="008E52B3" w:rsidP="008E52B3">
      <w:pPr>
        <w:pStyle w:val="NormalHanging12a"/>
        <w:ind w:left="567" w:hanging="563"/>
      </w:pPr>
      <w:r w:rsidRPr="008E52B3">
        <w:t>19.</w:t>
      </w:r>
      <w:r w:rsidRPr="008E52B3">
        <w:tab/>
      </w:r>
      <w:r w:rsidR="00017CDD" w:rsidRPr="008E52B3">
        <w:t xml:space="preserve">καλεί την Επιτροπή να διασφαλίσει ότι το δόγμα της για την οικονομική ασφάλεια συντονίζει τον έλεγχο των άμεσων ξένων επενδύσεων, με ιδιαίτερη προσοχή σε στρατηγικούς ψηφιακούς τομείς όπως οι πλατφόρμες ΤΝ, οι υπηρεσίες υπολογιστικού </w:t>
      </w:r>
      <w:r w:rsidR="00017CDD" w:rsidRPr="008E52B3">
        <w:lastRenderedPageBreak/>
        <w:t>νέφους και τα κέντρα δεδομένων, τους ελέγχους των εξαγωγών, τον μηχανισμό αποτροπής μέτρων εξαναγκασμού και την εμπορική άμυνα ως ένα συνεκτικό σύστημα που αποσοβεί την εργαλειοποίηση των εξαρτήσεων σε σχέση με την ΤΝ· προειδοποιεί ότι οι περιορισμοί στις εξαγωγές κρίσιμων πρώτων υλών και η αυξανόμενη γεωπολιτική αστάθεια απαιτούν ενισχυμένο συντονισμό και επιβολή για την προστασία του οικοσυστήματος ΤΝ της Ευρώπης· καλεί την Επιτροπή να προτείνει στοχευμένη αναθεώρηση του κανονισμού για τα είδη διπλής χρήσης, που θα αποσκοπεί στην πιο ολοκληρωμένη αντιμετώπιση της προηγμένης τεχνητής νοημοσύνης ενόψει της πιθανής χρήσης της από τρίτες χώρες σε εφαρμογές ασφάλειας, επιτήρησης ή άμυνας·</w:t>
      </w:r>
    </w:p>
    <w:p w14:paraId="4BCBE263" w14:textId="7AD5F583" w:rsidR="00017CDD" w:rsidRPr="008E52B3" w:rsidRDefault="008E52B3" w:rsidP="008E52B3">
      <w:pPr>
        <w:pStyle w:val="NormalHanging12a"/>
        <w:ind w:left="567" w:hanging="563"/>
      </w:pPr>
      <w:r w:rsidRPr="008E52B3">
        <w:t>20.</w:t>
      </w:r>
      <w:r w:rsidRPr="008E52B3">
        <w:tab/>
      </w:r>
      <w:r w:rsidR="00017CDD" w:rsidRPr="008E52B3">
        <w:t>εκφράζει την ανησυχία του για τους επαναλαμβανόμενους εξαγωγικούς περιορισμούς της Κίνας στις σπάνιες γαίες, οι οποίοι διαταράσσουν σημαντικά τις αλυσίδες εφοδιασμού που είναι ζωτικής σημασίας για τις εταιρείες ημιαγωγών, καθώς και την ευρύτερη αξιακή αλυσίδα της ΤΝ· θεωρεί αδικαιολόγητες αυτές τις ενέργειες της Κίνας και καλεί την Επιτροπή να παρακολουθεί στενά την κατάσταση και να αντιδρά κατάλληλα, προκειμένου να διασφαλιστεί ότι δεν επηρεάζονται η παγκόσμια οικονομία και η ανθεκτικότητα του διεθνούς εμπορίου·</w:t>
      </w:r>
    </w:p>
    <w:p w14:paraId="67B8CADA" w14:textId="3DCCF4BE" w:rsidR="00017CDD" w:rsidRPr="008E52B3" w:rsidRDefault="008E52B3" w:rsidP="008E52B3">
      <w:pPr>
        <w:pStyle w:val="NormalHanging12a"/>
        <w:ind w:left="567" w:hanging="563"/>
      </w:pPr>
      <w:r w:rsidRPr="008E52B3">
        <w:t>21.</w:t>
      </w:r>
      <w:r w:rsidRPr="008E52B3">
        <w:tab/>
      </w:r>
      <w:r w:rsidR="00017CDD" w:rsidRPr="008E52B3">
        <w:t>υπογραμμίζει την ανάγκη να επιταχύνει η ΕΕ την εφαρμογή της πράξης για τις κρίσιμες πρώτες ύλες και να διαφοροποιήσει τις αλυσίδες εφοδιασμού για την ενίσχυση της οικονομικής ανθεκτικότητας· τονίζει την επείγουσα ανάγκη να εξασφαλίζονται επενδύσεις στα στρατηγικά έργα που εγκρίνονται στο πλαίσιο της πράξης για τις κρίσιμες πρώτες ύλες και σε άλλα έργα για την τόνωση της εξόρυξης, του εξευγενισμού, της επεξεργασίας και της ανακύκλωσης που συμβάλλουν στην ελαχιστοποίηση των κινδύνων από την Κίνα·</w:t>
      </w:r>
    </w:p>
    <w:p w14:paraId="374AF3B3" w14:textId="77777777" w:rsidR="00017CDD" w:rsidRPr="008E52B3" w:rsidRDefault="00017CDD" w:rsidP="00017CDD">
      <w:pPr>
        <w:pStyle w:val="NormalCenter12a"/>
      </w:pPr>
      <w:r w:rsidRPr="008E52B3">
        <w:t>°</w:t>
      </w:r>
    </w:p>
    <w:p w14:paraId="5173E016" w14:textId="77777777" w:rsidR="00017CDD" w:rsidRPr="008E52B3" w:rsidRDefault="00017CDD" w:rsidP="00017CDD">
      <w:pPr>
        <w:pStyle w:val="NormalCenter12a"/>
      </w:pPr>
      <w:r w:rsidRPr="008E52B3">
        <w:t>°</w:t>
      </w:r>
      <w:r w:rsidRPr="008E52B3">
        <w:tab/>
        <w:t>°</w:t>
      </w:r>
    </w:p>
    <w:p w14:paraId="65687F76" w14:textId="2302CF07" w:rsidR="00AC419C" w:rsidRPr="008E52B3" w:rsidRDefault="008E52B3" w:rsidP="008E52B3">
      <w:pPr>
        <w:pStyle w:val="NormalHanging12a"/>
        <w:ind w:left="567" w:hanging="563"/>
      </w:pPr>
      <w:r w:rsidRPr="008E52B3">
        <w:t>22.</w:t>
      </w:r>
      <w:r w:rsidRPr="008E52B3">
        <w:tab/>
      </w:r>
      <w:r w:rsidR="00017CDD" w:rsidRPr="008E52B3">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14:paraId="7814E63C" w14:textId="4BD9F5F9" w:rsidR="00E365E1" w:rsidRPr="008E52B3" w:rsidRDefault="00E365E1" w:rsidP="00914C5C"/>
    <w:sectPr w:rsidR="00E365E1" w:rsidRPr="008E52B3" w:rsidSect="00AC419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629EE" w14:textId="77777777" w:rsidR="00914C5C" w:rsidRPr="00AC419C" w:rsidRDefault="00914C5C">
      <w:r w:rsidRPr="00AC419C">
        <w:separator/>
      </w:r>
    </w:p>
  </w:endnote>
  <w:endnote w:type="continuationSeparator" w:id="0">
    <w:p w14:paraId="542DEA49" w14:textId="77777777" w:rsidR="00914C5C" w:rsidRPr="00AC419C" w:rsidRDefault="00914C5C">
      <w:r w:rsidRPr="00AC41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43E11" w14:textId="77777777" w:rsidR="00914C5C" w:rsidRPr="00AC419C" w:rsidRDefault="00914C5C">
      <w:r w:rsidRPr="00AC419C">
        <w:separator/>
      </w:r>
    </w:p>
  </w:footnote>
  <w:footnote w:type="continuationSeparator" w:id="0">
    <w:p w14:paraId="0D16DB7D" w14:textId="77777777" w:rsidR="00914C5C" w:rsidRPr="00AC419C" w:rsidRDefault="00914C5C">
      <w:r w:rsidRPr="00AC419C">
        <w:continuationSeparator/>
      </w:r>
    </w:p>
  </w:footnote>
  <w:footnote w:id="1">
    <w:p w14:paraId="7B14F79D" w14:textId="377F4AC3" w:rsidR="00A122F2" w:rsidRPr="008E52B3" w:rsidRDefault="00A122F2" w:rsidP="00AC419C">
      <w:pPr>
        <w:pStyle w:val="FootnoteText"/>
        <w:ind w:left="567" w:hanging="567"/>
        <w:rPr>
          <w:sz w:val="24"/>
          <w:lang w:val="fi-FI"/>
        </w:rPr>
      </w:pPr>
      <w:r>
        <w:rPr>
          <w:rStyle w:val="FootnoteReference"/>
        </w:rPr>
        <w:footnoteRef/>
      </w:r>
      <w:r w:rsidRPr="008E52B3">
        <w:rPr>
          <w:sz w:val="24"/>
          <w:vertAlign w:val="superscript"/>
          <w:lang w:val="fi-FI"/>
        </w:rPr>
        <w:t xml:space="preserve"> </w:t>
      </w:r>
      <w:r w:rsidRPr="008E52B3">
        <w:rPr>
          <w:sz w:val="24"/>
          <w:vertAlign w:val="superscript"/>
          <w:lang w:val="fi-FI"/>
        </w:rPr>
        <w:tab/>
      </w:r>
      <w:r w:rsidRPr="00AC419C">
        <w:rPr>
          <w:sz w:val="24"/>
          <w:lang w:val="el-GR"/>
        </w:rPr>
        <w:t>ΕΕ</w:t>
      </w:r>
      <w:r w:rsidRPr="008E52B3">
        <w:rPr>
          <w:sz w:val="24"/>
          <w:lang w:val="fi-FI"/>
        </w:rPr>
        <w:t xml:space="preserve"> L, 2024/1689, 12.7.2024, ELI: </w:t>
      </w:r>
      <w:hyperlink r:id="rId1" w:tgtFrame="http://data.europa.eu/eli/reg/2024/1689/oj" w:history="1">
        <w:r w:rsidRPr="008E52B3">
          <w:rPr>
            <w:rStyle w:val="Hyperlink"/>
            <w:sz w:val="24"/>
            <w:lang w:val="fi-FI"/>
          </w:rPr>
          <w:t>http://data.europa.eu/eli/reg/2024/1689/oj</w:t>
        </w:r>
      </w:hyperlink>
      <w:r w:rsidRPr="008E52B3">
        <w:rPr>
          <w:sz w:val="24"/>
          <w:lang w:val="fi-FI"/>
        </w:rPr>
        <w:t>.</w:t>
      </w:r>
    </w:p>
  </w:footnote>
  <w:footnote w:id="2">
    <w:p w14:paraId="205BBCAE" w14:textId="5577701F"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ΕΕ L 119 της 4.5.2016, σ. 1,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/2016/679/</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/2016/679/</w:instrText>
      </w:r>
      <w:r>
        <w:instrText>oj</w:instrText>
      </w:r>
      <w:r w:rsidRPr="00D8491A">
        <w:rPr>
          <w:lang w:val="el-GR"/>
        </w:rPr>
        <w:instrText>"</w:instrText>
      </w:r>
      <w:r>
        <w:fldChar w:fldCharType="separate"/>
      </w:r>
      <w:r w:rsidRPr="00AC419C">
        <w:rPr>
          <w:rStyle w:val="Hyperlink"/>
          <w:sz w:val="24"/>
          <w:lang w:val="el-GR"/>
        </w:rPr>
        <w:t>http://data.europa.eu/eli/reg/2016/679/oj</w:t>
      </w:r>
      <w:r>
        <w:fldChar w:fldCharType="end"/>
      </w:r>
      <w:r w:rsidRPr="00AC419C">
        <w:rPr>
          <w:sz w:val="24"/>
          <w:lang w:val="el-GR"/>
        </w:rPr>
        <w:t>.</w:t>
      </w:r>
    </w:p>
  </w:footnote>
  <w:footnote w:id="3">
    <w:p w14:paraId="76EBF169" w14:textId="34FF7142"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ΕΕ L 229 της 18.9.2023, σ. 1,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/2023/1781/</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/2023/1781/</w:instrText>
      </w:r>
      <w:r>
        <w:instrText>oj</w:instrText>
      </w:r>
      <w:r w:rsidRPr="00D8491A">
        <w:rPr>
          <w:lang w:val="el-GR"/>
        </w:rPr>
        <w:instrText>"</w:instrText>
      </w:r>
      <w:r>
        <w:fldChar w:fldCharType="separate"/>
      </w:r>
      <w:r w:rsidRPr="00AC419C">
        <w:rPr>
          <w:rStyle w:val="Hyperlink"/>
          <w:sz w:val="24"/>
          <w:lang w:val="el-GR"/>
        </w:rPr>
        <w:t>http://data.europa.eu/eli/reg/2023/1781/oj</w:t>
      </w:r>
      <w:r>
        <w:fldChar w:fldCharType="end"/>
      </w:r>
      <w:r w:rsidRPr="00AC419C">
        <w:rPr>
          <w:sz w:val="24"/>
          <w:lang w:val="el-GR"/>
        </w:rPr>
        <w:t>.</w:t>
      </w:r>
    </w:p>
  </w:footnote>
  <w:footnote w:id="4">
    <w:p w14:paraId="5E0316D8" w14:textId="668B247E" w:rsidR="00A122F2" w:rsidRPr="008E52B3" w:rsidRDefault="00A122F2" w:rsidP="00AC419C">
      <w:pPr>
        <w:pStyle w:val="FootnoteText"/>
        <w:ind w:left="567" w:hanging="567"/>
        <w:rPr>
          <w:sz w:val="24"/>
          <w:lang w:val="fi-FI"/>
        </w:rPr>
      </w:pPr>
      <w:r>
        <w:rPr>
          <w:rStyle w:val="FootnoteReference"/>
        </w:rPr>
        <w:footnoteRef/>
      </w:r>
      <w:r w:rsidRPr="008E52B3">
        <w:rPr>
          <w:sz w:val="24"/>
          <w:vertAlign w:val="superscript"/>
          <w:lang w:val="fi-FI"/>
        </w:rPr>
        <w:t xml:space="preserve"> </w:t>
      </w:r>
      <w:r w:rsidRPr="008E52B3">
        <w:rPr>
          <w:sz w:val="24"/>
          <w:vertAlign w:val="superscript"/>
          <w:lang w:val="fi-FI"/>
        </w:rPr>
        <w:tab/>
      </w:r>
      <w:r w:rsidRPr="00AC419C">
        <w:rPr>
          <w:sz w:val="24"/>
          <w:lang w:val="el-GR"/>
        </w:rPr>
        <w:t>ΕΕ</w:t>
      </w:r>
      <w:r w:rsidRPr="008E52B3">
        <w:rPr>
          <w:sz w:val="24"/>
          <w:lang w:val="fi-FI"/>
        </w:rPr>
        <w:t xml:space="preserve"> L, 2024/1252, 3.5.2024, ELI: </w:t>
      </w:r>
      <w:r>
        <w:fldChar w:fldCharType="begin"/>
      </w:r>
      <w:r w:rsidRPr="00D8491A">
        <w:rPr>
          <w:lang w:val="fi-FI"/>
        </w:rPr>
        <w:instrText>HYPERLINK "http://data.europa.eu/eli/reg/2024/1252/oj" \t "http://data.europa.eu/eli/reg/2024/1252/oj"</w:instrText>
      </w:r>
      <w:r>
        <w:fldChar w:fldCharType="separate"/>
      </w:r>
      <w:r w:rsidRPr="008E52B3">
        <w:rPr>
          <w:rStyle w:val="Hyperlink"/>
          <w:sz w:val="24"/>
          <w:lang w:val="fi-FI"/>
        </w:rPr>
        <w:t>http://data.europa.eu/eli/reg/2024/1252/oj</w:t>
      </w:r>
      <w:r>
        <w:fldChar w:fldCharType="end"/>
      </w:r>
      <w:r w:rsidRPr="008E52B3">
        <w:rPr>
          <w:sz w:val="24"/>
          <w:lang w:val="fi-FI"/>
        </w:rPr>
        <w:t>.</w:t>
      </w:r>
    </w:p>
  </w:footnote>
  <w:footnote w:id="5">
    <w:p w14:paraId="3EAC167A" w14:textId="457B4BCB"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ΕΕ L 79</w:t>
      </w:r>
      <w:r w:rsidR="00D8491A">
        <w:rPr>
          <w:sz w:val="24"/>
          <w:lang w:val="el-GR"/>
        </w:rPr>
        <w:t xml:space="preserve"> </w:t>
      </w:r>
      <w:r w:rsidRPr="00AC419C">
        <w:rPr>
          <w:sz w:val="24"/>
          <w:lang w:val="el-GR"/>
        </w:rPr>
        <w:t xml:space="preserve">I της 21.3.2019, σ. 1,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/2019/452/</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/2019/452/</w:instrText>
      </w:r>
      <w:r>
        <w:instrText>oj</w:instrText>
      </w:r>
      <w:r w:rsidRPr="00D8491A">
        <w:rPr>
          <w:lang w:val="el-GR"/>
        </w:rPr>
        <w:instrText>"</w:instrText>
      </w:r>
      <w:r>
        <w:fldChar w:fldCharType="separate"/>
      </w:r>
      <w:r w:rsidRPr="00AC419C">
        <w:rPr>
          <w:rStyle w:val="Hyperlink"/>
          <w:sz w:val="24"/>
          <w:lang w:val="el-GR"/>
        </w:rPr>
        <w:t>http://data.europa.eu/eli/reg/2019/452/oj</w:t>
      </w:r>
      <w:r>
        <w:fldChar w:fldCharType="end"/>
      </w:r>
      <w:r w:rsidRPr="00AC419C">
        <w:rPr>
          <w:sz w:val="24"/>
          <w:lang w:val="el-GR"/>
        </w:rPr>
        <w:t>.</w:t>
      </w:r>
    </w:p>
  </w:footnote>
  <w:footnote w:id="6">
    <w:p w14:paraId="3DC5F487" w14:textId="3CA67100" w:rsidR="00A122F2" w:rsidRPr="008E52B3" w:rsidRDefault="00A122F2" w:rsidP="00AC419C">
      <w:pPr>
        <w:pStyle w:val="FootnoteText"/>
        <w:ind w:left="567" w:hanging="567"/>
        <w:rPr>
          <w:sz w:val="24"/>
          <w:lang w:val="fi-FI"/>
        </w:rPr>
      </w:pPr>
      <w:r>
        <w:rPr>
          <w:rStyle w:val="FootnoteReference"/>
        </w:rPr>
        <w:footnoteRef/>
      </w:r>
      <w:r w:rsidRPr="008E52B3">
        <w:rPr>
          <w:sz w:val="24"/>
          <w:vertAlign w:val="superscript"/>
          <w:lang w:val="fi-FI"/>
        </w:rPr>
        <w:t xml:space="preserve"> </w:t>
      </w:r>
      <w:r w:rsidRPr="008E52B3">
        <w:rPr>
          <w:sz w:val="24"/>
          <w:vertAlign w:val="superscript"/>
          <w:lang w:val="fi-FI"/>
        </w:rPr>
        <w:tab/>
      </w:r>
      <w:r w:rsidRPr="00AC419C">
        <w:rPr>
          <w:sz w:val="24"/>
          <w:lang w:val="el-GR"/>
        </w:rPr>
        <w:t>ΕΕ</w:t>
      </w:r>
      <w:r w:rsidRPr="008E52B3">
        <w:rPr>
          <w:sz w:val="24"/>
          <w:lang w:val="fi-FI"/>
        </w:rPr>
        <w:t xml:space="preserve"> L, 2023/2675, 7.12.2023, ELI: </w:t>
      </w:r>
      <w:r>
        <w:fldChar w:fldCharType="begin"/>
      </w:r>
      <w:r w:rsidRPr="00D8491A">
        <w:rPr>
          <w:lang w:val="fi-FI"/>
        </w:rPr>
        <w:instrText>HYPERLINK "http://data.europa.eu/eli/reg/2023/2675/oj" \t "http://data.europa.eu/eli/reg/2023/2675/oj"</w:instrText>
      </w:r>
      <w:r>
        <w:fldChar w:fldCharType="separate"/>
      </w:r>
      <w:r w:rsidRPr="008E52B3">
        <w:rPr>
          <w:rStyle w:val="Hyperlink"/>
          <w:sz w:val="24"/>
          <w:lang w:val="fi-FI"/>
        </w:rPr>
        <w:t>http://data.europa.eu/eli/reg/2023/2675/oj</w:t>
      </w:r>
      <w:r>
        <w:fldChar w:fldCharType="end"/>
      </w:r>
      <w:r w:rsidRPr="008E52B3">
        <w:rPr>
          <w:sz w:val="24"/>
          <w:lang w:val="fi-FI"/>
        </w:rPr>
        <w:t>.</w:t>
      </w:r>
    </w:p>
  </w:footnote>
  <w:footnote w:id="7">
    <w:p w14:paraId="2FBCBEB4" w14:textId="4475FDE9"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ΕΕ L 206 της 11.6.2021, σ. 1,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/2021/821/</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/2021/821/</w:instrText>
      </w:r>
      <w:r>
        <w:instrText>oj</w:instrText>
      </w:r>
      <w:r w:rsidRPr="00D8491A">
        <w:rPr>
          <w:lang w:val="el-GR"/>
        </w:rPr>
        <w:instrText>"</w:instrText>
      </w:r>
      <w:r>
        <w:fldChar w:fldCharType="separate"/>
      </w:r>
      <w:r w:rsidRPr="00AC419C">
        <w:rPr>
          <w:rStyle w:val="Hyperlink"/>
          <w:sz w:val="24"/>
          <w:lang w:val="el-GR"/>
        </w:rPr>
        <w:t>http://data.europa.eu/eli/reg/2021/821/oj</w:t>
      </w:r>
      <w:r>
        <w:fldChar w:fldCharType="end"/>
      </w:r>
      <w:r w:rsidRPr="00AC419C">
        <w:rPr>
          <w:sz w:val="24"/>
          <w:lang w:val="el-GR"/>
        </w:rPr>
        <w:t>.</w:t>
      </w:r>
    </w:p>
  </w:footnote>
  <w:footnote w:id="8">
    <w:p w14:paraId="27A6CA1F" w14:textId="081A70BF" w:rsidR="00A122F2" w:rsidRPr="008E52B3" w:rsidRDefault="00A122F2" w:rsidP="00AC419C">
      <w:pPr>
        <w:pStyle w:val="FootnoteText"/>
        <w:ind w:left="567" w:hanging="567"/>
        <w:rPr>
          <w:sz w:val="24"/>
          <w:lang w:val="fi-FI"/>
        </w:rPr>
      </w:pPr>
      <w:r>
        <w:rPr>
          <w:rStyle w:val="FootnoteReference"/>
        </w:rPr>
        <w:footnoteRef/>
      </w:r>
      <w:r w:rsidRPr="008E52B3">
        <w:rPr>
          <w:sz w:val="24"/>
          <w:vertAlign w:val="superscript"/>
          <w:lang w:val="fi-FI"/>
        </w:rPr>
        <w:t xml:space="preserve"> </w:t>
      </w:r>
      <w:r w:rsidRPr="008E52B3">
        <w:rPr>
          <w:sz w:val="24"/>
          <w:vertAlign w:val="superscript"/>
          <w:lang w:val="fi-FI"/>
        </w:rPr>
        <w:tab/>
      </w:r>
      <w:r w:rsidRPr="00AC419C">
        <w:rPr>
          <w:sz w:val="24"/>
          <w:lang w:val="el-GR"/>
        </w:rPr>
        <w:t>ΕΕ</w:t>
      </w:r>
      <w:r w:rsidRPr="008E52B3">
        <w:rPr>
          <w:sz w:val="24"/>
          <w:lang w:val="fi-FI"/>
        </w:rPr>
        <w:t xml:space="preserve"> C, C/2026/1436, 31.3.2026, ELI: </w:t>
      </w:r>
      <w:r>
        <w:fldChar w:fldCharType="begin"/>
      </w:r>
      <w:r w:rsidRPr="00D8491A">
        <w:rPr>
          <w:lang w:val="fi-FI"/>
        </w:rPr>
        <w:instrText>HYPERLINK "http://data.europa.eu/eli/C/2026/1436/oj" \t "http://data.europa.eu/eli/C/2026/1436/oj"</w:instrText>
      </w:r>
      <w:r>
        <w:fldChar w:fldCharType="separate"/>
      </w:r>
      <w:r w:rsidRPr="008E52B3">
        <w:rPr>
          <w:rStyle w:val="Hyperlink"/>
          <w:sz w:val="24"/>
          <w:lang w:val="fi-FI"/>
        </w:rPr>
        <w:t>http://data.europa.eu/eli/C/2026/1436/oj</w:t>
      </w:r>
      <w:r>
        <w:fldChar w:fldCharType="end"/>
      </w:r>
      <w:r w:rsidRPr="008E52B3">
        <w:rPr>
          <w:sz w:val="24"/>
          <w:lang w:val="fi-FI"/>
        </w:rPr>
        <w:t>.</w:t>
      </w:r>
    </w:p>
  </w:footnote>
  <w:footnote w:id="9">
    <w:p w14:paraId="445ED453" w14:textId="262D6074" w:rsidR="00A122F2" w:rsidRPr="008E52B3" w:rsidRDefault="00A122F2" w:rsidP="00AC419C">
      <w:pPr>
        <w:pStyle w:val="FootnoteText"/>
        <w:ind w:left="567" w:hanging="567"/>
        <w:rPr>
          <w:sz w:val="24"/>
          <w:lang w:val="fi-FI"/>
        </w:rPr>
      </w:pPr>
      <w:r>
        <w:rPr>
          <w:rStyle w:val="FootnoteReference"/>
        </w:rPr>
        <w:footnoteRef/>
      </w:r>
      <w:r w:rsidRPr="008E52B3">
        <w:rPr>
          <w:sz w:val="24"/>
          <w:vertAlign w:val="superscript"/>
          <w:lang w:val="fi-FI"/>
        </w:rPr>
        <w:t xml:space="preserve"> </w:t>
      </w:r>
      <w:r w:rsidRPr="008E52B3">
        <w:rPr>
          <w:sz w:val="24"/>
          <w:vertAlign w:val="superscript"/>
          <w:lang w:val="fi-FI"/>
        </w:rPr>
        <w:tab/>
      </w:r>
      <w:r w:rsidRPr="00AC419C">
        <w:rPr>
          <w:sz w:val="24"/>
          <w:lang w:val="el-GR"/>
        </w:rPr>
        <w:t>ΕΕ</w:t>
      </w:r>
      <w:r w:rsidRPr="008E52B3">
        <w:rPr>
          <w:sz w:val="24"/>
          <w:lang w:val="fi-FI"/>
        </w:rPr>
        <w:t xml:space="preserve"> C, C/2026/1674, 22.4.202</w:t>
      </w:r>
      <w:r w:rsidR="0066220A" w:rsidRPr="0066220A">
        <w:rPr>
          <w:sz w:val="24"/>
          <w:lang w:val="fi-FI"/>
        </w:rPr>
        <w:t>6</w:t>
      </w:r>
      <w:r w:rsidRPr="008E52B3">
        <w:rPr>
          <w:sz w:val="24"/>
          <w:lang w:val="fi-FI"/>
        </w:rPr>
        <w:t xml:space="preserve">, ELI: </w:t>
      </w:r>
      <w:r>
        <w:fldChar w:fldCharType="begin"/>
      </w:r>
      <w:r w:rsidRPr="00D8491A">
        <w:rPr>
          <w:lang w:val="fi-FI"/>
        </w:rPr>
        <w:instrText>HYPERLINK "http://data.europa.eu/eli/C/2026/1674/oj" \t "http://data.europa.eu/eli/C/2026/1674/oj"</w:instrText>
      </w:r>
      <w:r>
        <w:fldChar w:fldCharType="separate"/>
      </w:r>
      <w:r w:rsidRPr="008E52B3">
        <w:rPr>
          <w:rStyle w:val="Hyperlink"/>
          <w:sz w:val="24"/>
          <w:lang w:val="fi-FI"/>
        </w:rPr>
        <w:t>http://data.europa.eu/eli/C/2026/1674/oj</w:t>
      </w:r>
      <w:r>
        <w:fldChar w:fldCharType="end"/>
      </w:r>
      <w:r w:rsidRPr="008E52B3">
        <w:rPr>
          <w:sz w:val="24"/>
          <w:lang w:val="fi-FI"/>
        </w:rPr>
        <w:t>.</w:t>
      </w:r>
    </w:p>
  </w:footnote>
  <w:footnote w:id="10">
    <w:p w14:paraId="78D02316" w14:textId="6B5B6313"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Οδηγία (ΕΕ)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 (ΕΕ L, 2024/1760, 5.7.2024,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dir</w:instrText>
      </w:r>
      <w:r w:rsidRPr="00D8491A">
        <w:rPr>
          <w:lang w:val="el-GR"/>
        </w:rPr>
        <w:instrText>/2024/1760/</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dir</w:instrText>
      </w:r>
      <w:r w:rsidRPr="00D8491A">
        <w:rPr>
          <w:lang w:val="el-GR"/>
        </w:rPr>
        <w:instrText>/2024/1760/</w:instrText>
      </w:r>
      <w:r>
        <w:instrText>oj</w:instrText>
      </w:r>
      <w:r w:rsidRPr="00D8491A">
        <w:rPr>
          <w:lang w:val="el-GR"/>
        </w:rPr>
        <w:instrText>"</w:instrText>
      </w:r>
      <w:r>
        <w:fldChar w:fldCharType="separate"/>
      </w:r>
      <w:r w:rsidRPr="00AC419C">
        <w:rPr>
          <w:rStyle w:val="Hyperlink"/>
          <w:sz w:val="24"/>
          <w:lang w:val="el-GR"/>
        </w:rPr>
        <w:t>http://data.europa.eu/eli/dir/2024/1760/oj</w:t>
      </w:r>
      <w:r>
        <w:fldChar w:fldCharType="end"/>
      </w:r>
      <w:r w:rsidRPr="00AC419C">
        <w:rPr>
          <w:sz w:val="24"/>
          <w:lang w:val="el-GR"/>
        </w:rPr>
        <w:t>).</w:t>
      </w:r>
    </w:p>
  </w:footnote>
  <w:footnote w:id="11">
    <w:p w14:paraId="4A4BA099" w14:textId="18166B31"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Κανονισμός (ΕΕ) 2023/1115 του Ευρωπαϊκού Κοινοβουλίου και του Συμβουλίου, της 31ης Μαΐου 2023, για τη διαθεσιμότητα στην αγορά της Ένωσης και την εξαγωγή από την Ένωση ορισμένων βασικών και παράγωγων προϊόντων που συνδέονται με την αποψίλωση και την υποβάθμιση των δασών, και για την κατάργηση του κανονισμού (ΕΕ) αριθ. 995/2010 (ΕΕ L 150 της 9.6.2023, σ. 206,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/2023/1115/</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/2023/1115/</w:instrText>
      </w:r>
      <w:r>
        <w:instrText>oj</w:instrText>
      </w:r>
      <w:r w:rsidRPr="00D8491A">
        <w:rPr>
          <w:lang w:val="el-GR"/>
        </w:rPr>
        <w:instrText>"</w:instrText>
      </w:r>
      <w:r>
        <w:fldChar w:fldCharType="separate"/>
      </w:r>
      <w:r w:rsidRPr="00AC419C">
        <w:rPr>
          <w:rStyle w:val="Hyperlink"/>
          <w:sz w:val="24"/>
          <w:lang w:val="el-GR"/>
        </w:rPr>
        <w:t>http://data.europa.eu/eli/reg/2023/1115/oj</w:t>
      </w:r>
      <w:r>
        <w:fldChar w:fldCharType="end"/>
      </w:r>
      <w:r w:rsidRPr="00AC419C">
        <w:rPr>
          <w:sz w:val="24"/>
          <w:lang w:val="el-GR"/>
        </w:rPr>
        <w:t>).</w:t>
      </w:r>
    </w:p>
  </w:footnote>
  <w:footnote w:id="12">
    <w:p w14:paraId="798C3202" w14:textId="52B13233"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Κανονισμός (ΕΕ) 2024/3015 του Ευρωπαϊκού Κοινοβουλίου και του Συμβουλίου, της 27ης Νοεμβρίου 2024, σχετικά με την απαγόρευση των προϊόντων καταναγκαστικής εργασίας στην αγορά της Ένωσης και την τροποποίηση της οδηγίας (ΕΕ) 2019/1937 (ΕΕ L, 2024/3015, 12.12.2024,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/2024/3015/</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/2024/3015/</w:instrText>
      </w:r>
      <w:r>
        <w:instrText>oj</w:instrText>
      </w:r>
      <w:r w:rsidRPr="00D8491A">
        <w:rPr>
          <w:lang w:val="el-GR"/>
        </w:rPr>
        <w:instrText>"</w:instrText>
      </w:r>
      <w:r>
        <w:fldChar w:fldCharType="separate"/>
      </w:r>
      <w:r w:rsidRPr="00AC419C">
        <w:rPr>
          <w:rStyle w:val="Hyperlink"/>
          <w:sz w:val="24"/>
          <w:lang w:val="el-GR"/>
        </w:rPr>
        <w:t>http://data.europa.eu/eli/reg/2024/3015/oj</w:t>
      </w:r>
      <w:r>
        <w:fldChar w:fldCharType="end"/>
      </w:r>
      <w:r w:rsidRPr="00AC419C">
        <w:rPr>
          <w:sz w:val="24"/>
          <w:lang w:val="el-GR"/>
        </w:rPr>
        <w:t>).</w:t>
      </w:r>
    </w:p>
  </w:footnote>
  <w:footnote w:id="13">
    <w:p w14:paraId="06D96DE2" w14:textId="3BA3829A" w:rsidR="00A122F2" w:rsidRPr="00AC419C" w:rsidRDefault="00A122F2" w:rsidP="00AC419C">
      <w:pPr>
        <w:pStyle w:val="FootnoteText"/>
        <w:ind w:left="567" w:hanging="567"/>
        <w:rPr>
          <w:sz w:val="24"/>
          <w:lang w:val="el-GR"/>
        </w:rPr>
      </w:pPr>
      <w:r>
        <w:rPr>
          <w:rStyle w:val="FootnoteReference"/>
        </w:rPr>
        <w:footnoteRef/>
      </w:r>
      <w:r w:rsidRPr="00AC419C">
        <w:rPr>
          <w:sz w:val="24"/>
          <w:vertAlign w:val="superscript"/>
          <w:lang w:val="el-GR"/>
        </w:rPr>
        <w:t xml:space="preserve"> </w:t>
      </w:r>
      <w:r w:rsidRPr="00AC419C">
        <w:rPr>
          <w:sz w:val="24"/>
          <w:vertAlign w:val="superscript"/>
          <w:lang w:val="el-GR"/>
        </w:rPr>
        <w:tab/>
      </w:r>
      <w:r w:rsidRPr="00AC419C">
        <w:rPr>
          <w:sz w:val="24"/>
          <w:lang w:val="el-GR"/>
        </w:rPr>
        <w:t xml:space="preserve">Κανονισμός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 (ΕΕ L 135 της 23.5.2023, σ. 1, ELI: </w:t>
      </w:r>
      <w:r>
        <w:fldChar w:fldCharType="begin"/>
      </w:r>
      <w:r>
        <w:instrText>HYPERLINK</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/2023/988/</w:instrText>
      </w:r>
      <w:r>
        <w:instrText>oj</w:instrText>
      </w:r>
      <w:r w:rsidRPr="00D8491A">
        <w:rPr>
          <w:lang w:val="el-GR"/>
        </w:rPr>
        <w:instrText>" \</w:instrText>
      </w:r>
      <w:r>
        <w:instrText>t</w:instrText>
      </w:r>
      <w:r w:rsidRPr="00D8491A">
        <w:rPr>
          <w:lang w:val="el-GR"/>
        </w:rPr>
        <w:instrText xml:space="preserve"> "</w:instrText>
      </w:r>
      <w:r>
        <w:instrText>http</w:instrText>
      </w:r>
      <w:r w:rsidRPr="00D8491A">
        <w:rPr>
          <w:lang w:val="el-GR"/>
        </w:rPr>
        <w:instrText>://</w:instrText>
      </w:r>
      <w:r>
        <w:instrText>data</w:instrText>
      </w:r>
      <w:r w:rsidRPr="00D8491A">
        <w:rPr>
          <w:lang w:val="el-GR"/>
        </w:rPr>
        <w:instrText>.</w:instrText>
      </w:r>
      <w:r>
        <w:instrText>europa</w:instrText>
      </w:r>
      <w:r w:rsidRPr="00D8491A">
        <w:rPr>
          <w:lang w:val="el-GR"/>
        </w:rPr>
        <w:instrText>.</w:instrText>
      </w:r>
      <w:r>
        <w:instrText>eu</w:instrText>
      </w:r>
      <w:r w:rsidRPr="00D8491A">
        <w:rPr>
          <w:lang w:val="el-GR"/>
        </w:rPr>
        <w:instrText>/</w:instrText>
      </w:r>
      <w:r>
        <w:instrText>eli</w:instrText>
      </w:r>
      <w:r w:rsidRPr="00D8491A">
        <w:rPr>
          <w:lang w:val="el-GR"/>
        </w:rPr>
        <w:instrText>/</w:instrText>
      </w:r>
      <w:r>
        <w:instrText>reg</w:instrText>
      </w:r>
      <w:r w:rsidRPr="00D8491A">
        <w:rPr>
          <w:lang w:val="el-GR"/>
        </w:rPr>
        <w:instrText>/2023/988/</w:instrText>
      </w:r>
      <w:r>
        <w:instrText>oj</w:instrText>
      </w:r>
      <w:r w:rsidRPr="00D8491A">
        <w:rPr>
          <w:lang w:val="el-GR"/>
        </w:rPr>
        <w:instrText>"</w:instrText>
      </w:r>
      <w:r>
        <w:fldChar w:fldCharType="separate"/>
      </w:r>
      <w:r w:rsidRPr="00AC419C">
        <w:rPr>
          <w:rStyle w:val="Hyperlink"/>
          <w:sz w:val="24"/>
          <w:lang w:val="el-GR"/>
        </w:rPr>
        <w:t>http://data.europa.eu/eli/reg/2023/988/oj</w:t>
      </w:r>
      <w:r>
        <w:fldChar w:fldCharType="end"/>
      </w:r>
      <w:r w:rsidRPr="00AC419C">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55F05"/>
    <w:multiLevelType w:val="hybridMultilevel"/>
    <w:tmpl w:val="839686AC"/>
    <w:lvl w:ilvl="0" w:tplc="0BBA5CC6">
      <w:start w:val="1"/>
      <w:numFmt w:val="decimal"/>
      <w:lvlText w:val="%1."/>
      <w:lvlJc w:val="left"/>
      <w:pPr>
        <w:ind w:left="923" w:hanging="5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9F3E9F"/>
    <w:multiLevelType w:val="hybridMultilevel"/>
    <w:tmpl w:val="32C2C518"/>
    <w:lvl w:ilvl="0" w:tplc="0BBA5CC6">
      <w:start w:val="1"/>
      <w:numFmt w:val="decimal"/>
      <w:lvlText w:val="%1."/>
      <w:lvlJc w:val="left"/>
      <w:pPr>
        <w:ind w:left="923" w:hanging="5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2600D"/>
    <w:multiLevelType w:val="hybridMultilevel"/>
    <w:tmpl w:val="5D2A973A"/>
    <w:lvl w:ilvl="0" w:tplc="0BBA5CC6">
      <w:start w:val="1"/>
      <w:numFmt w:val="decimal"/>
      <w:lvlText w:val="%1."/>
      <w:lvlJc w:val="left"/>
      <w:pPr>
        <w:ind w:left="923" w:hanging="5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DF7799A"/>
    <w:multiLevelType w:val="hybridMultilevel"/>
    <w:tmpl w:val="B33C8FC0"/>
    <w:lvl w:ilvl="0" w:tplc="0BBA5CC6">
      <w:start w:val="1"/>
      <w:numFmt w:val="decimal"/>
      <w:lvlText w:val="%1."/>
      <w:lvlJc w:val="left"/>
      <w:pPr>
        <w:ind w:left="923" w:hanging="5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A7456D"/>
    <w:multiLevelType w:val="hybridMultilevel"/>
    <w:tmpl w:val="68BA3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BB5F98"/>
    <w:multiLevelType w:val="hybridMultilevel"/>
    <w:tmpl w:val="1A00FC34"/>
    <w:lvl w:ilvl="0" w:tplc="0BBA5CC6">
      <w:start w:val="1"/>
      <w:numFmt w:val="decimal"/>
      <w:lvlText w:val="%1."/>
      <w:lvlJc w:val="left"/>
      <w:pPr>
        <w:ind w:left="923" w:hanging="5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35562">
    <w:abstractNumId w:val="9"/>
  </w:num>
  <w:num w:numId="2" w16cid:durableId="1838224600">
    <w:abstractNumId w:val="9"/>
  </w:num>
  <w:num w:numId="3" w16cid:durableId="1531917788">
    <w:abstractNumId w:val="7"/>
  </w:num>
  <w:num w:numId="4" w16cid:durableId="1011955940">
    <w:abstractNumId w:val="7"/>
  </w:num>
  <w:num w:numId="5" w16cid:durableId="279383557">
    <w:abstractNumId w:val="6"/>
  </w:num>
  <w:num w:numId="6" w16cid:durableId="205408394">
    <w:abstractNumId w:val="6"/>
  </w:num>
  <w:num w:numId="7" w16cid:durableId="688069549">
    <w:abstractNumId w:val="5"/>
  </w:num>
  <w:num w:numId="8" w16cid:durableId="1107233342">
    <w:abstractNumId w:val="5"/>
  </w:num>
  <w:num w:numId="9" w16cid:durableId="37508057">
    <w:abstractNumId w:val="4"/>
  </w:num>
  <w:num w:numId="10" w16cid:durableId="1876311377">
    <w:abstractNumId w:val="4"/>
  </w:num>
  <w:num w:numId="11" w16cid:durableId="837042458">
    <w:abstractNumId w:val="8"/>
  </w:num>
  <w:num w:numId="12" w16cid:durableId="1831170243">
    <w:abstractNumId w:val="8"/>
  </w:num>
  <w:num w:numId="13" w16cid:durableId="1488939254">
    <w:abstractNumId w:val="3"/>
  </w:num>
  <w:num w:numId="14" w16cid:durableId="1522429594">
    <w:abstractNumId w:val="3"/>
  </w:num>
  <w:num w:numId="15" w16cid:durableId="792947737">
    <w:abstractNumId w:val="2"/>
  </w:num>
  <w:num w:numId="16" w16cid:durableId="374936920">
    <w:abstractNumId w:val="2"/>
  </w:num>
  <w:num w:numId="17" w16cid:durableId="1688404422">
    <w:abstractNumId w:val="1"/>
  </w:num>
  <w:num w:numId="18" w16cid:durableId="1060790819">
    <w:abstractNumId w:val="1"/>
  </w:num>
  <w:num w:numId="19" w16cid:durableId="938758672">
    <w:abstractNumId w:val="0"/>
  </w:num>
  <w:num w:numId="20" w16cid:durableId="194780437">
    <w:abstractNumId w:val="0"/>
  </w:num>
  <w:num w:numId="21" w16cid:durableId="862787432">
    <w:abstractNumId w:val="9"/>
  </w:num>
  <w:num w:numId="22" w16cid:durableId="224150504">
    <w:abstractNumId w:val="7"/>
  </w:num>
  <w:num w:numId="23" w16cid:durableId="883173154">
    <w:abstractNumId w:val="6"/>
  </w:num>
  <w:num w:numId="24" w16cid:durableId="2074115820">
    <w:abstractNumId w:val="5"/>
  </w:num>
  <w:num w:numId="25" w16cid:durableId="178587116">
    <w:abstractNumId w:val="4"/>
  </w:num>
  <w:num w:numId="26" w16cid:durableId="313875931">
    <w:abstractNumId w:val="8"/>
  </w:num>
  <w:num w:numId="27" w16cid:durableId="568229437">
    <w:abstractNumId w:val="3"/>
  </w:num>
  <w:num w:numId="28" w16cid:durableId="2134443128">
    <w:abstractNumId w:val="2"/>
  </w:num>
  <w:num w:numId="29" w16cid:durableId="468783387">
    <w:abstractNumId w:val="1"/>
  </w:num>
  <w:num w:numId="30" w16cid:durableId="1921677489">
    <w:abstractNumId w:val="0"/>
  </w:num>
  <w:num w:numId="31" w16cid:durableId="1436439465">
    <w:abstractNumId w:val="9"/>
  </w:num>
  <w:num w:numId="32" w16cid:durableId="916283023">
    <w:abstractNumId w:val="7"/>
  </w:num>
  <w:num w:numId="33" w16cid:durableId="678191817">
    <w:abstractNumId w:val="6"/>
  </w:num>
  <w:num w:numId="34" w16cid:durableId="1140460527">
    <w:abstractNumId w:val="5"/>
  </w:num>
  <w:num w:numId="35" w16cid:durableId="224068583">
    <w:abstractNumId w:val="4"/>
  </w:num>
  <w:num w:numId="36" w16cid:durableId="1710379031">
    <w:abstractNumId w:val="8"/>
  </w:num>
  <w:num w:numId="37" w16cid:durableId="344406089">
    <w:abstractNumId w:val="3"/>
  </w:num>
  <w:num w:numId="38" w16cid:durableId="2058044035">
    <w:abstractNumId w:val="2"/>
  </w:num>
  <w:num w:numId="39" w16cid:durableId="382144685">
    <w:abstractNumId w:val="1"/>
  </w:num>
  <w:num w:numId="40" w16cid:durableId="901411145">
    <w:abstractNumId w:val="0"/>
  </w:num>
  <w:num w:numId="41" w16cid:durableId="557402701">
    <w:abstractNumId w:val="13"/>
  </w:num>
  <w:num w:numId="42" w16cid:durableId="412237718">
    <w:abstractNumId w:val="13"/>
  </w:num>
  <w:num w:numId="43" w16cid:durableId="626469802">
    <w:abstractNumId w:val="13"/>
  </w:num>
  <w:num w:numId="44" w16cid:durableId="2097510412">
    <w:abstractNumId w:val="14"/>
  </w:num>
  <w:num w:numId="45" w16cid:durableId="922450763">
    <w:abstractNumId w:val="16"/>
  </w:num>
  <w:num w:numId="46" w16cid:durableId="1837114593">
    <w:abstractNumId w:val="10"/>
  </w:num>
  <w:num w:numId="47" w16cid:durableId="849639517">
    <w:abstractNumId w:val="17"/>
  </w:num>
  <w:num w:numId="48" w16cid:durableId="1582329873">
    <w:abstractNumId w:val="12"/>
  </w:num>
  <w:num w:numId="49" w16cid:durableId="661586419">
    <w:abstractNumId w:val="11"/>
  </w:num>
  <w:num w:numId="50" w16cid:durableId="14051023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EL"/>
    <w:docVar w:name="dvnumam" w:val="0"/>
    <w:docVar w:name="dvpe" w:val="784.156"/>
    <w:docVar w:name="dvrapporteur" w:val="Εισηγητής: "/>
    <w:docVar w:name="dvtitre" w:val="Ψήφισμα του Ευρωπαϊκού Κοινοβουλίου της ... 2026 σχετικά με τις ευκαιρίες και τις προκλήσεις που παρουσιάζει μια ολοκληρωμένη στρατηγική τεχνητής νοημοσύνης για το εμπόριο της ΕΕ(2025/2112(INI))"/>
  </w:docVars>
  <w:rsids>
    <w:rsidRoot w:val="00914C5C"/>
    <w:rsid w:val="00002272"/>
    <w:rsid w:val="00017CDD"/>
    <w:rsid w:val="00064002"/>
    <w:rsid w:val="000677B9"/>
    <w:rsid w:val="000831BA"/>
    <w:rsid w:val="000A42CC"/>
    <w:rsid w:val="000E7DD9"/>
    <w:rsid w:val="0010095E"/>
    <w:rsid w:val="00125B37"/>
    <w:rsid w:val="00187494"/>
    <w:rsid w:val="001F32AE"/>
    <w:rsid w:val="002232C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20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1E8"/>
    <w:rsid w:val="008840E5"/>
    <w:rsid w:val="00887B3E"/>
    <w:rsid w:val="008C2AC6"/>
    <w:rsid w:val="008E52B3"/>
    <w:rsid w:val="00914C5C"/>
    <w:rsid w:val="00930C23"/>
    <w:rsid w:val="0093193B"/>
    <w:rsid w:val="009509D8"/>
    <w:rsid w:val="00950B64"/>
    <w:rsid w:val="00981893"/>
    <w:rsid w:val="00A122F2"/>
    <w:rsid w:val="00A1687D"/>
    <w:rsid w:val="00A43E52"/>
    <w:rsid w:val="00A4678D"/>
    <w:rsid w:val="00A778C7"/>
    <w:rsid w:val="00AB441E"/>
    <w:rsid w:val="00AB6293"/>
    <w:rsid w:val="00AC419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91A"/>
    <w:rsid w:val="00D872DF"/>
    <w:rsid w:val="00D87B3E"/>
    <w:rsid w:val="00D91E21"/>
    <w:rsid w:val="00DA7FCD"/>
    <w:rsid w:val="00DC13BC"/>
    <w:rsid w:val="00E365E1"/>
    <w:rsid w:val="00E820A4"/>
    <w:rsid w:val="00EB006A"/>
    <w:rsid w:val="00EB4772"/>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9AF5F"/>
  <w15:chartTrackingRefBased/>
  <w15:docId w15:val="{D4BD1B77-0ADC-4A59-97D4-8C4E7FCA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17CDD"/>
    <w:pPr>
      <w:widowControl/>
      <w:spacing w:after="240"/>
    </w:pPr>
    <w:rPr>
      <w:szCs w:val="24"/>
      <w:lang w:eastAsia="en-US"/>
    </w:rPr>
  </w:style>
  <w:style w:type="paragraph" w:customStyle="1" w:styleId="NormalHanging12a">
    <w:name w:val="NormalHanging12a"/>
    <w:basedOn w:val="Normal"/>
    <w:rsid w:val="00017CDD"/>
    <w:pPr>
      <w:widowControl/>
      <w:spacing w:after="240"/>
      <w:ind w:left="566" w:hanging="566"/>
    </w:pPr>
    <w:rPr>
      <w:szCs w:val="24"/>
      <w:lang w:eastAsia="en-US"/>
    </w:rPr>
  </w:style>
  <w:style w:type="paragraph" w:customStyle="1" w:styleId="Normal12">
    <w:name w:val="Normal12"/>
    <w:basedOn w:val="Normal"/>
    <w:rsid w:val="00017CDD"/>
    <w:pPr>
      <w:widowControl/>
      <w:spacing w:after="240"/>
    </w:pPr>
    <w:rPr>
      <w:szCs w:val="24"/>
      <w:lang w:eastAsia="en-US"/>
    </w:rPr>
  </w:style>
  <w:style w:type="paragraph" w:customStyle="1" w:styleId="NormalHanging">
    <w:name w:val="NormalHanging"/>
    <w:basedOn w:val="Normal"/>
    <w:rsid w:val="00017CDD"/>
    <w:pPr>
      <w:widowControl/>
      <w:spacing w:after="240"/>
      <w:ind w:left="566" w:hanging="566"/>
    </w:pPr>
    <w:rPr>
      <w:szCs w:val="24"/>
      <w:lang w:eastAsia="en-US"/>
    </w:rPr>
  </w:style>
  <w:style w:type="paragraph" w:customStyle="1" w:styleId="NormalCenter12a">
    <w:name w:val="NormalCenter12a"/>
    <w:basedOn w:val="Normal"/>
    <w:rsid w:val="00017CDD"/>
    <w:pPr>
      <w:widowControl/>
      <w:spacing w:after="240"/>
      <w:jc w:val="center"/>
    </w:pPr>
    <w:rPr>
      <w:szCs w:val="24"/>
      <w:lang w:eastAsia="en-US"/>
    </w:rPr>
  </w:style>
  <w:style w:type="character" w:styleId="Hyperlink">
    <w:name w:val="Hyperlink"/>
    <w:basedOn w:val="DefaultParagraphFont"/>
    <w:rsid w:val="00017CDD"/>
    <w:rPr>
      <w:color w:val="0000FF"/>
      <w:u w:val="single"/>
    </w:rPr>
  </w:style>
  <w:style w:type="paragraph" w:styleId="Footer">
    <w:name w:val="footer"/>
    <w:basedOn w:val="Normal"/>
    <w:link w:val="FooterChar"/>
    <w:rsid w:val="00A122F2"/>
    <w:pPr>
      <w:tabs>
        <w:tab w:val="center" w:pos="4513"/>
        <w:tab w:val="right" w:pos="9026"/>
      </w:tabs>
    </w:pPr>
  </w:style>
  <w:style w:type="character" w:customStyle="1" w:styleId="FooterChar">
    <w:name w:val="Footer Char"/>
    <w:basedOn w:val="DefaultParagraphFont"/>
    <w:link w:val="Footer"/>
    <w:rsid w:val="00A122F2"/>
    <w:rPr>
      <w:sz w:val="24"/>
      <w:lang w:val="el-GR"/>
    </w:rPr>
  </w:style>
  <w:style w:type="paragraph" w:styleId="Revision">
    <w:name w:val="Revision"/>
    <w:hidden/>
    <w:uiPriority w:val="99"/>
    <w:semiHidden/>
    <w:rsid w:val="00A122F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5116</Words>
  <Characters>31066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2026-06-29T07:09:00Z</dcterms:created>
  <dcterms:modified xsi:type="dcterms:W3CDTF">2026-06-29T07:09:00Z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A10-0122/2026</vt:lpwstr>
  </property>
  <property fmtid="{D5CDD505-2E9C-101B-9397-08002B2CF9AE}" pid="4" name="&lt;Type&gt;">
    <vt:lpwstr>RR</vt:lpwstr>
  </property>
</Properties>
</file>