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6134" w14:paraId="5A6418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B37FE6" w14:textId="77777777" w:rsidR="00751A4A" w:rsidRPr="00DB6134" w:rsidRDefault="00A41EB0" w:rsidP="0010095E">
            <w:pPr>
              <w:pStyle w:val="EPName"/>
            </w:pPr>
            <w:r w:rsidRPr="00DB6134">
              <w:t>Parlament Europejski</w:t>
            </w:r>
          </w:p>
          <w:p w14:paraId="583E61A9" w14:textId="77777777" w:rsidR="00751A4A" w:rsidRPr="00DB61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6134">
              <w:t>2024</w:t>
            </w:r>
            <w:r w:rsidR="00817416" w:rsidRPr="00DB6134">
              <w:t>-202</w:t>
            </w:r>
            <w:r w:rsidRPr="00DB6134">
              <w:t>9</w:t>
            </w:r>
          </w:p>
        </w:tc>
        <w:tc>
          <w:tcPr>
            <w:tcW w:w="2268" w:type="dxa"/>
            <w:shd w:val="clear" w:color="auto" w:fill="auto"/>
          </w:tcPr>
          <w:p w14:paraId="6C3578B1" w14:textId="77777777" w:rsidR="00751A4A" w:rsidRPr="00DB6134" w:rsidRDefault="00187494" w:rsidP="0010095E">
            <w:pPr>
              <w:pStyle w:val="EPLogo"/>
            </w:pPr>
            <w:r w:rsidRPr="00DB6134">
              <w:rPr>
                <w:noProof/>
                <w:lang w:eastAsia="ja-JP"/>
              </w:rPr>
              <w:drawing>
                <wp:inline distT="0" distB="0" distL="0" distR="0" wp14:anchorId="05DC0D03" wp14:editId="65EBEE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D16F5" w14:textId="77777777" w:rsidR="00D058B8" w:rsidRPr="00DB6134" w:rsidRDefault="00D058B8" w:rsidP="004C5D52">
      <w:pPr>
        <w:pStyle w:val="LineTop"/>
      </w:pPr>
    </w:p>
    <w:p w14:paraId="0A3685C8" w14:textId="77777777" w:rsidR="00680577" w:rsidRPr="00DB6134" w:rsidRDefault="00A41EB0" w:rsidP="00680577">
      <w:pPr>
        <w:pStyle w:val="EPBodyTA1"/>
      </w:pPr>
      <w:r w:rsidRPr="00DB6134">
        <w:t>TEKSTY PRZYJĘTE</w:t>
      </w:r>
    </w:p>
    <w:p w14:paraId="68B6F5C9" w14:textId="77777777" w:rsidR="00D058B8" w:rsidRPr="00DB6134" w:rsidRDefault="00D058B8" w:rsidP="00D058B8">
      <w:pPr>
        <w:pStyle w:val="LineBottom"/>
      </w:pPr>
    </w:p>
    <w:p w14:paraId="4E001FB2" w14:textId="2AFA1BD1" w:rsidR="00A41EB0" w:rsidRPr="00DB6134" w:rsidRDefault="00A41EB0" w:rsidP="00A41EB0">
      <w:pPr>
        <w:pStyle w:val="ATHeading1"/>
      </w:pPr>
      <w:bookmarkStart w:id="0" w:name="TANumber"/>
      <w:r w:rsidRPr="00DB6134">
        <w:t>P10_TA(2026)0</w:t>
      </w:r>
      <w:bookmarkEnd w:id="0"/>
      <w:r w:rsidR="00BC46F1">
        <w:t>183</w:t>
      </w:r>
    </w:p>
    <w:p w14:paraId="75CCDD48" w14:textId="212B6738" w:rsidR="00A41EB0" w:rsidRPr="00E00CEA" w:rsidRDefault="00E00CEA" w:rsidP="00A41EB0">
      <w:pPr>
        <w:pStyle w:val="ATHeading2"/>
      </w:pPr>
      <w:r w:rsidRPr="00E00CEA">
        <w:t>Szanse i wyzwania związane z kompleksową strategią w dziedzinie sztucznej inteligencji dla handlu UE</w:t>
      </w:r>
    </w:p>
    <w:p w14:paraId="4F520964" w14:textId="77777777" w:rsidR="00A41EB0" w:rsidRPr="00DB6134" w:rsidRDefault="00A41EB0" w:rsidP="00A41EB0">
      <w:pPr>
        <w:rPr>
          <w:i/>
          <w:vanish/>
        </w:rPr>
      </w:pPr>
      <w:r w:rsidRPr="00DB6134">
        <w:rPr>
          <w:i/>
        </w:rPr>
        <w:fldChar w:fldCharType="begin"/>
      </w:r>
      <w:r w:rsidRPr="00DB6134">
        <w:rPr>
          <w:i/>
        </w:rPr>
        <w:instrText xml:space="preserve"> TC"(</w:instrText>
      </w:r>
      <w:bookmarkStart w:id="1" w:name="DocNumber"/>
      <w:r w:rsidRPr="00DB6134">
        <w:rPr>
          <w:i/>
        </w:rPr>
        <w:instrText>A10-0122/2026</w:instrText>
      </w:r>
      <w:bookmarkEnd w:id="1"/>
      <w:r w:rsidRPr="00DB6134">
        <w:rPr>
          <w:i/>
        </w:rPr>
        <w:instrText xml:space="preserve"> - Sprawozdawca: Brando Benifei)"\l3 \n&gt; \* MERGEFORMAT </w:instrText>
      </w:r>
      <w:r w:rsidRPr="00DB6134">
        <w:rPr>
          <w:i/>
        </w:rPr>
        <w:fldChar w:fldCharType="end"/>
      </w:r>
    </w:p>
    <w:p w14:paraId="193F3372" w14:textId="77777777" w:rsidR="00A41EB0" w:rsidRPr="00DB6134" w:rsidRDefault="00A41EB0" w:rsidP="00A41EB0">
      <w:pPr>
        <w:rPr>
          <w:vanish/>
        </w:rPr>
      </w:pPr>
      <w:bookmarkStart w:id="2" w:name="Commission"/>
      <w:r w:rsidRPr="00DB6134">
        <w:rPr>
          <w:vanish/>
        </w:rPr>
        <w:t>Komisja Handlu Międzynarodowego</w:t>
      </w:r>
      <w:bookmarkEnd w:id="2"/>
    </w:p>
    <w:p w14:paraId="28A56865" w14:textId="77777777" w:rsidR="00A41EB0" w:rsidRPr="00DB6134" w:rsidRDefault="00A41EB0" w:rsidP="00A41EB0">
      <w:pPr>
        <w:rPr>
          <w:vanish/>
        </w:rPr>
      </w:pPr>
      <w:bookmarkStart w:id="3" w:name="PE"/>
      <w:r w:rsidRPr="00DB6134">
        <w:rPr>
          <w:vanish/>
        </w:rPr>
        <w:t>PE784.156</w:t>
      </w:r>
      <w:bookmarkEnd w:id="3"/>
    </w:p>
    <w:p w14:paraId="6CA2A535" w14:textId="04DF75FB" w:rsidR="00A41EB0" w:rsidRPr="00DB6134" w:rsidRDefault="00A41EB0" w:rsidP="00A41EB0">
      <w:pPr>
        <w:pStyle w:val="ATHeading3"/>
      </w:pPr>
      <w:bookmarkStart w:id="4" w:name="Sujet"/>
      <w:r w:rsidRPr="00DB6134">
        <w:t xml:space="preserve">Rezolucja Parlamentu Europejskiego z dnia </w:t>
      </w:r>
      <w:r w:rsidR="00684810">
        <w:t>20</w:t>
      </w:r>
      <w:r w:rsidR="00247725">
        <w:t xml:space="preserve"> maja</w:t>
      </w:r>
      <w:r w:rsidRPr="00DB6134">
        <w:t xml:space="preserve"> 2026 r. w sprawie szans i wyzwań związanych z kompleksową strategią w dziedzinie sztucznej inteligencji dla handlu UE</w:t>
      </w:r>
      <w:bookmarkEnd w:id="4"/>
      <w:r w:rsidRPr="00DB6134">
        <w:t xml:space="preserve"> </w:t>
      </w:r>
      <w:bookmarkStart w:id="5" w:name="References"/>
      <w:r w:rsidRPr="00DB6134">
        <w:t>(2025/2112(INI))</w:t>
      </w:r>
      <w:bookmarkEnd w:id="5"/>
    </w:p>
    <w:p w14:paraId="07D12EBA" w14:textId="77777777" w:rsidR="00E366AA" w:rsidRPr="00DB6134" w:rsidRDefault="00E366AA" w:rsidP="00E366AA">
      <w:pPr>
        <w:pStyle w:val="Normal12"/>
      </w:pPr>
      <w:r w:rsidRPr="00DB6134">
        <w:rPr>
          <w:i/>
        </w:rPr>
        <w:t>Parlament Europejski</w:t>
      </w:r>
      <w:r w:rsidRPr="00DB6134">
        <w:t>,</w:t>
      </w:r>
    </w:p>
    <w:p w14:paraId="7EFA51CF" w14:textId="10441010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 Rady (UE) 2024/1689 z dnia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</w:r>
      <w:r w:rsidR="00247725">
        <w:rPr>
          <w:rStyle w:val="FootnoteReference"/>
        </w:rPr>
        <w:footnoteReference w:id="1"/>
      </w:r>
      <w:r w:rsidRPr="00DB6134">
        <w:t>,</w:t>
      </w:r>
    </w:p>
    <w:p w14:paraId="64217F66" w14:textId="20CCA7F1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</w:t>
      </w:r>
      <w:r w:rsidR="00247725">
        <w:rPr>
          <w:rStyle w:val="FootnoteReference"/>
        </w:rPr>
        <w:footnoteReference w:id="2"/>
      </w:r>
      <w:r w:rsidRPr="00DB6134">
        <w:t>,</w:t>
      </w:r>
    </w:p>
    <w:p w14:paraId="742164C3" w14:textId="0845B8FF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 xml:space="preserve">uwzględniając rozporządzenie Parlamentu Europejskiego i Rady (UE) 2023/1781 z dnia 13 września 2023 r. w sprawie ustanowienia ram dotyczących środków na rzecz wzmocnienia europejskiego ekosystemu półprzewodników oraz zmiany rozporządzenia (UE) 2021/694 (akt w sprawie </w:t>
      </w:r>
      <w:proofErr w:type="spellStart"/>
      <w:r w:rsidRPr="00DB6134">
        <w:t>czipów</w:t>
      </w:r>
      <w:proofErr w:type="spellEnd"/>
      <w:r w:rsidRPr="00DB6134">
        <w:t>)</w:t>
      </w:r>
      <w:r w:rsidR="00247725">
        <w:rPr>
          <w:rStyle w:val="FootnoteReference"/>
        </w:rPr>
        <w:footnoteReference w:id="3"/>
      </w:r>
      <w:r w:rsidRPr="00DB6134">
        <w:t>,</w:t>
      </w:r>
    </w:p>
    <w:p w14:paraId="40237E95" w14:textId="2C5A8C32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 Rady (UE) 2024/1252 z dnia 11 kwietnia 2024 r. w sprawie ustanowienia ram na potrzeby zapewnienia bezpiecznych i zrównoważonych dostaw surowców krytycznych oraz zmiany rozporządzeń (UE) nr 168/2013, (UE) 2018/858, (UE) 2018/1724 i (UE) 2019/1020 (akt w sprawie surowców krytycznych – CRMA))</w:t>
      </w:r>
      <w:r w:rsidR="00247725">
        <w:rPr>
          <w:rStyle w:val="FootnoteReference"/>
        </w:rPr>
        <w:footnoteReference w:id="4"/>
      </w:r>
      <w:r w:rsidRPr="00DB6134">
        <w:t>,</w:t>
      </w:r>
    </w:p>
    <w:p w14:paraId="2CBBE9C7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 xml:space="preserve">uwzględniając wyniki posiedzenia ministerialnego w sprawie minerałów krytycznych, które odbyło się 4 lutego 2026 r. w Waszyngtonie D.C., oraz bieżącą współpracę między UE a USA w celu dywersyfikacji i wzmocnienia bezpiecznych, zrównoważonych łańcuchów dostaw surowców krytycznych niezbędnych dla </w:t>
      </w:r>
      <w:r w:rsidRPr="00DB6134">
        <w:lastRenderedPageBreak/>
        <w:t>konkurencyjności UE, zaawansowanych technologii i odporności na rynkach światowych,</w:t>
      </w:r>
    </w:p>
    <w:p w14:paraId="4004545B" w14:textId="53855D35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 Rady (UE) 2019/452 z dnia 19 marca 2019 r. ustanawiające ramy monitorowania bezpośrednich inwestycji zagranicznych w Unii</w:t>
      </w:r>
      <w:r w:rsidR="00247725">
        <w:rPr>
          <w:rStyle w:val="FootnoteReference"/>
        </w:rPr>
        <w:footnoteReference w:id="5"/>
      </w:r>
      <w:r w:rsidRPr="00DB6134">
        <w:t>,</w:t>
      </w:r>
    </w:p>
    <w:p w14:paraId="0124F177" w14:textId="69693213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 Rady (UE) 2023/2675 z dnia 22 listopada 2023 r. w sprawie ochrony Unii i jej państw członkowskich przed stosowaniem wymuszenia ekonomicznego przez państwa trzecie</w:t>
      </w:r>
      <w:r w:rsidR="00247725">
        <w:rPr>
          <w:rStyle w:val="FootnoteReference"/>
        </w:rPr>
        <w:footnoteReference w:id="6"/>
      </w:r>
      <w:r w:rsidRPr="00DB6134">
        <w:t>,</w:t>
      </w:r>
    </w:p>
    <w:p w14:paraId="015023DF" w14:textId="397A48F9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rozporządzenie Parlamentu Europejskiego i Rady (UE) 2021/821 z dnia 20 maja 2021 r. ustanawiające unijny system kontroli wywozu, pośrednictwa, pomocy technicznej, tranzytu i transferu produktów podwójnego zastosowania</w:t>
      </w:r>
      <w:r w:rsidR="00247725">
        <w:rPr>
          <w:rStyle w:val="FootnoteReference"/>
        </w:rPr>
        <w:footnoteReference w:id="7"/>
      </w:r>
      <w:r w:rsidRPr="00DB6134">
        <w:t xml:space="preserve"> (rozporządzenie w sprawie produktów podwójnego zastosowania),</w:t>
      </w:r>
    </w:p>
    <w:p w14:paraId="7A7CD9FB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komunikat Komisji z dnia 19 listopada 2025 r. pt. „Strategia na rzecz europejskiej unii danych – uwalnianie danych dla sztucznej inteligencji” (</w:t>
      </w:r>
      <w:proofErr w:type="gramStart"/>
      <w:r w:rsidRPr="00DB6134">
        <w:t>COM(</w:t>
      </w:r>
      <w:proofErr w:type="gramEnd"/>
      <w:r w:rsidRPr="00DB6134">
        <w:t>2025)0835),</w:t>
      </w:r>
    </w:p>
    <w:p w14:paraId="22C371D3" w14:textId="5768E1D6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komunikat Komisji z dnia 24 stycznia 2024 r. pt. „Zwiększanie bezpieczeństwa gospodarczego w Europie: prezentacja pięciu nowych inicjatyw” (</w:t>
      </w:r>
      <w:proofErr w:type="gramStart"/>
      <w:r w:rsidRPr="00DB6134">
        <w:t>COM(</w:t>
      </w:r>
      <w:proofErr w:type="gramEnd"/>
      <w:r w:rsidRPr="00DB6134">
        <w:t>2024)</w:t>
      </w:r>
      <w:r w:rsidR="00174260">
        <w:t>00</w:t>
      </w:r>
      <w:r w:rsidR="00247725">
        <w:t xml:space="preserve">22 </w:t>
      </w:r>
      <w:proofErr w:type="spellStart"/>
      <w:r w:rsidR="00247725">
        <w:t>final</w:t>
      </w:r>
      <w:proofErr w:type="spellEnd"/>
      <w:r w:rsidRPr="00DB6134">
        <w:t>),</w:t>
      </w:r>
    </w:p>
    <w:p w14:paraId="3EF26BB7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wspólny komunikat Komisji oraz wysokiej przedstawicielki Unii do spraw zagranicznych i polityki bezpieczeństwa z dnia 3 grudnia 2025 r. pt. „Wzmocnienie bezpieczeństwa gospodarczego UE” (</w:t>
      </w:r>
      <w:proofErr w:type="gramStart"/>
      <w:r w:rsidRPr="00DB6134">
        <w:t>JOIN(</w:t>
      </w:r>
      <w:proofErr w:type="gramEnd"/>
      <w:r w:rsidRPr="00DB6134">
        <w:t>2025)0977),</w:t>
      </w:r>
    </w:p>
    <w:p w14:paraId="751B30EE" w14:textId="277B861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 xml:space="preserve">uwzględniając wspólny komunikat Komisji i wysokiej przedstawicielki Unii do spraw zagranicznych i polityki bezpieczeństwa z </w:t>
      </w:r>
      <w:r w:rsidR="00247725" w:rsidRPr="00DB6134">
        <w:t xml:space="preserve">dnia </w:t>
      </w:r>
      <w:r w:rsidRPr="00DB6134">
        <w:t>5 czerwca 2025 r. pt. „Międzynarodowa strategia cyfrowa Unii Europejskiej” (</w:t>
      </w:r>
      <w:proofErr w:type="gramStart"/>
      <w:r w:rsidRPr="00DB6134">
        <w:t>JOIN(</w:t>
      </w:r>
      <w:proofErr w:type="gramEnd"/>
      <w:r w:rsidRPr="00DB6134">
        <w:t>2025)0140),</w:t>
      </w:r>
    </w:p>
    <w:p w14:paraId="2F31186B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komunikat Komisji z dnia 9 kwietnia 2025 r. pt. „Plan działania na rzecz kontynentu sztucznej inteligencji” (</w:t>
      </w:r>
      <w:proofErr w:type="gramStart"/>
      <w:r w:rsidRPr="00DB6134">
        <w:t>COM(</w:t>
      </w:r>
      <w:proofErr w:type="gramEnd"/>
      <w:r w:rsidRPr="00DB6134">
        <w:t>2025)0165),</w:t>
      </w:r>
    </w:p>
    <w:p w14:paraId="09828163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komunikat Komisji z dnia 8 października 2025 r. pt. „Strategia w sprawie zastosowania AI” (</w:t>
      </w:r>
      <w:proofErr w:type="gramStart"/>
      <w:r w:rsidRPr="00DB6134">
        <w:t>COM(</w:t>
      </w:r>
      <w:proofErr w:type="gramEnd"/>
      <w:r w:rsidRPr="00DB6134">
        <w:t>2025)0723),</w:t>
      </w:r>
    </w:p>
    <w:p w14:paraId="6EAA7580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 xml:space="preserve">uwzględniając raport Maria </w:t>
      </w:r>
      <w:proofErr w:type="spellStart"/>
      <w:r w:rsidRPr="00DB6134">
        <w:t>Draghiego</w:t>
      </w:r>
      <w:proofErr w:type="spellEnd"/>
      <w:r w:rsidRPr="00DB6134">
        <w:t xml:space="preserve"> z dnia 9 września 2024 r. pt. Przyszłość europejskiej konkurencyjności” (raport </w:t>
      </w:r>
      <w:proofErr w:type="spellStart"/>
      <w:r w:rsidRPr="00DB6134">
        <w:t>Draghiego</w:t>
      </w:r>
      <w:proofErr w:type="spellEnd"/>
      <w:r w:rsidRPr="00DB6134">
        <w:t>),</w:t>
      </w:r>
    </w:p>
    <w:p w14:paraId="1C6A94BB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 xml:space="preserve">uwzględniając raport Enrica </w:t>
      </w:r>
      <w:proofErr w:type="spellStart"/>
      <w:r w:rsidRPr="00DB6134">
        <w:t>Letty</w:t>
      </w:r>
      <w:proofErr w:type="spellEnd"/>
      <w:r w:rsidRPr="00DB6134">
        <w:t xml:space="preserve"> z dnia 10 kwietnia 2024 r. pt. „Much </w:t>
      </w:r>
      <w:proofErr w:type="spellStart"/>
      <w:r w:rsidRPr="00DB6134">
        <w:t>more</w:t>
      </w:r>
      <w:proofErr w:type="spellEnd"/>
      <w:r w:rsidRPr="00DB6134">
        <w:t xml:space="preserve"> </w:t>
      </w:r>
      <w:proofErr w:type="spellStart"/>
      <w:r w:rsidRPr="00DB6134">
        <w:t>than</w:t>
      </w:r>
      <w:proofErr w:type="spellEnd"/>
      <w:r w:rsidRPr="00DB6134">
        <w:t xml:space="preserve"> a market” [Znacznie więcej niż rynek] (raport </w:t>
      </w:r>
      <w:proofErr w:type="spellStart"/>
      <w:r w:rsidRPr="00DB6134">
        <w:t>Letty</w:t>
      </w:r>
      <w:proofErr w:type="spellEnd"/>
      <w:r w:rsidRPr="00DB6134">
        <w:t>),</w:t>
      </w:r>
    </w:p>
    <w:p w14:paraId="3FD88CB2" w14:textId="349C8F7F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swoją rezolucję z dnia 9 lipca 2025 r. w sprawie bezpieczeństwa produktów i zgodności regulacyjnej w handlu internetowym i przywozie spoza UE</w:t>
      </w:r>
      <w:r w:rsidR="00247725">
        <w:rPr>
          <w:rStyle w:val="FootnoteReference"/>
        </w:rPr>
        <w:footnoteReference w:id="8"/>
      </w:r>
      <w:r w:rsidRPr="00DB6134">
        <w:t>,</w:t>
      </w:r>
    </w:p>
    <w:p w14:paraId="719A5C6E" w14:textId="03C35FB4" w:rsidR="00E366AA" w:rsidRPr="00DB6134" w:rsidRDefault="00E366AA" w:rsidP="00E366AA">
      <w:pPr>
        <w:pStyle w:val="NormalHanging"/>
      </w:pPr>
      <w:r w:rsidRPr="00DB6134">
        <w:lastRenderedPageBreak/>
        <w:t>–</w:t>
      </w:r>
      <w:r w:rsidRPr="00DB6134">
        <w:tab/>
        <w:t>uwzględniając swoją rezolucję z dnia 13 listopada 2025 r. w sprawie projektu decyzji Rady w sprawie zawarcia Umowy o handlu cyfrowym między Unią Europejską a Republiką Singapuru</w:t>
      </w:r>
      <w:r w:rsidR="00247725">
        <w:rPr>
          <w:rStyle w:val="FootnoteReference"/>
        </w:rPr>
        <w:footnoteReference w:id="9"/>
      </w:r>
      <w:r w:rsidRPr="00DB6134">
        <w:t>,</w:t>
      </w:r>
    </w:p>
    <w:p w14:paraId="49D8EB03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główną rolę, jaką Światowa Organizacja Handlu (WTO) odgrywa w utrzymaniu wielostronnego systemu handlowego opartego na zasadach, oraz jej znaczenie dla wdrażania powstających technologii, w tym sztucznej inteligencji, w handlu międzynarodowym,</w:t>
      </w:r>
    </w:p>
    <w:p w14:paraId="21BCA018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zasady WTO, w szczególności zasady niedyskryminacji i przejrzystości w odniesieniu do ograniczeń wywozowych,</w:t>
      </w:r>
    </w:p>
    <w:p w14:paraId="5C566F91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art. 55 Regulaminu,</w:t>
      </w:r>
    </w:p>
    <w:p w14:paraId="7B02E603" w14:textId="77777777" w:rsidR="00E366AA" w:rsidRPr="00DB6134" w:rsidRDefault="00E366AA" w:rsidP="00E366AA">
      <w:pPr>
        <w:pStyle w:val="NormalHanging"/>
      </w:pPr>
      <w:r w:rsidRPr="00DB6134">
        <w:t>–</w:t>
      </w:r>
      <w:r w:rsidRPr="00DB6134">
        <w:tab/>
        <w:t>uwzględniając sprawozdanie Komisji Handlu Międzynarodowego (A10-0122/2026),</w:t>
      </w:r>
    </w:p>
    <w:p w14:paraId="393F0736" w14:textId="77777777" w:rsidR="00E366AA" w:rsidRPr="00DB6134" w:rsidRDefault="00E366AA" w:rsidP="00E366AA">
      <w:pPr>
        <w:pStyle w:val="NormalHanging"/>
      </w:pPr>
      <w:r w:rsidRPr="00DB6134">
        <w:t>A.</w:t>
      </w:r>
      <w:r w:rsidRPr="00DB6134">
        <w:tab/>
        <w:t>mając na uwadze, że sztuczna inteligencja (AI) jest technologią ogólnego przeznaczenia, która zmienia charakter handlu UE w zakresie towarów, usług i przepływów danych; mając na uwadze, że AI może obniżyć koszty informacji i przestrzegania przepisów, przekształcić zarządzanie łańcuchem dostaw i rozszerzyć usługi świadczone cyfrowo; mając na uwadze, że AI i dynamika władzy dotycząca własności technologii są źródłem zarówno poważnych wyzwań, jak i możliwości dla konkurencyjności handlowej UE; mając na uwadze, że polityka handlowa UE ma kluczowe znaczenie dla zapewnienia całościowej strategii zewnętrznej w zakresie AI, która łączy otwartość, przejrzystość i bezpieczeństwo z odpornością i poszanowaniem praw podstawowych oraz wspiera przewidywalne operacje transgraniczne; mając na uwadze, że AI stwarza znaczne możliwości zwiększenia skuteczności i bezpieczeństwa kontroli celnych i nadzoru rynku w Unii Europejskiej, przyczyniając się do zwalczania oszustw, podrabiania i nieuczciwych praktyk handlowych;</w:t>
      </w:r>
    </w:p>
    <w:p w14:paraId="420481DA" w14:textId="77777777" w:rsidR="00E366AA" w:rsidRPr="00DB6134" w:rsidRDefault="00E366AA" w:rsidP="00E366AA">
      <w:pPr>
        <w:pStyle w:val="NormalHanging"/>
      </w:pPr>
      <w:r w:rsidRPr="00DB6134">
        <w:t>B.</w:t>
      </w:r>
      <w:r w:rsidRPr="00DB6134">
        <w:tab/>
        <w:t xml:space="preserve">mając na uwadze, że szybkie rozpowszechnianie i wdrażanie AI przyczynia się do zmian strukturalnych w organizacji i geografii międzynarodowego handlu usługami, a także w zarządzaniu nim, co ma wpływ na konkurencyjność, zatrudnienie i rozwój; mając na uwadze, że rozwiązania AI oparte na otwartym oprogramowaniu oferują znaczne korzyści, w tym niższe koszty i większą prywatności danych, dzięki wdrożeniu na szczeblu lokalnym, przyczyniając się do wzrostu zdrowej konkurencji w dziedzinie AI i zmniejszenia zależności od dostawców spoza UE; mając na uwadze, że zmiany te oddziałują na istniejące luki w zdolnościach produkcyjnych, infrastrukturze i umiejętnościach w UE i poza nią; mając na uwadze, że utrzymanie otwartego, odpornego i sprzyjającego włączeniu społecznemu zrównoważonego modelu handlu wymaga spójnej i całościowej strategii zarządzania zmianami napędzanymi przez AI; mając na uwadze, że zewnętrzne stosunki gospodarcze UE, w tym z partnerami z globalnego Południa, powinny wspierać </w:t>
      </w:r>
      <w:proofErr w:type="spellStart"/>
      <w:r w:rsidRPr="00DB6134">
        <w:t>inkluzywne</w:t>
      </w:r>
      <w:proofErr w:type="spellEnd"/>
      <w:r w:rsidRPr="00DB6134">
        <w:t xml:space="preserve"> wdrażanie AI i tworzenie wspólnej wartości, promując model ukierunkowany na człowieka i oparty na zasadzie domyślnej etyki, koncentrujący się na wspieraniu godności ludzkiej;</w:t>
      </w:r>
    </w:p>
    <w:p w14:paraId="41F65CDD" w14:textId="77777777" w:rsidR="00E366AA" w:rsidRPr="00DB6134" w:rsidRDefault="00E366AA" w:rsidP="00E366AA">
      <w:pPr>
        <w:pStyle w:val="NormalHanging"/>
      </w:pPr>
      <w:r w:rsidRPr="00DB6134">
        <w:t>C.</w:t>
      </w:r>
      <w:r w:rsidRPr="00DB6134">
        <w:tab/>
        <w:t xml:space="preserve">mając na uwadze, że transgraniczne przepływy danych i dostęp do danych mają kluczowe znaczenie dla rozwoju, trenowania i wdrażania AI, ale wymaga dokładnej analizy w celu zapewnienia wysokiego poziomu ochrony danych, zwłaszcza w </w:t>
      </w:r>
      <w:r w:rsidRPr="00DB6134">
        <w:lastRenderedPageBreak/>
        <w:t>odniesieniu do wrażliwych danych osobowych, takich jak dane dotyczące zdrowia; mając na uwadze, że przepisy dotyczące handlu cyfrowego w coraz większym stopniu kształtują konkurencyjność AI, co podkreśla potrzebę wprowadzenia przepisów dotyczących współpracy regulacyjnej w przyszłych umowach handlowych oraz modernizacji istniejących umów; mając na uwadze, że unijne ramy ukierunkowane na człowieka, oparte na ogólnym rozporządzeniu o ochronie danych (RODO) i akcie w sprawie sztucznej inteligencji, stanowią wiarygodny model godnej zaufania AI, która – jeśli będzie promowana na szczeblu międzynarodowym – może stać się przewagą konkurencyjną na rynkach, na których ceni się przejrzystość i zarządzanie oparte na poszanowaniu praw; mając na uwadze, że WTO mogłaby być odpowiednim forum wielostronnych dyskusji na temat sztucznej inteligencji i handlu w celu przeciwdziałania zakłóceniom konkurencji, barierom handlowym i ryzyku fragmentacji regulacyjnej, zapewniając przewidywalny i sprawiedliwy handel cyfrowy z poszanowaniem praw;</w:t>
      </w:r>
    </w:p>
    <w:p w14:paraId="23556DDE" w14:textId="77777777" w:rsidR="00E366AA" w:rsidRPr="00DB6134" w:rsidRDefault="00E366AA" w:rsidP="00E366AA">
      <w:pPr>
        <w:pStyle w:val="NormalHanging"/>
      </w:pPr>
      <w:r w:rsidRPr="00DB6134">
        <w:t>D.</w:t>
      </w:r>
      <w:r w:rsidRPr="00DB6134">
        <w:tab/>
        <w:t>mając na uwadze, że stopień stosowania AI nadal różni się między przedsiębiorstwami w zależności od sektora, regionu czy ich wielkości, co przynosi korzyści podmiotom kontrolującym dane, moc obliczeniową i umiejętności oraz grozi zwiększeniem luki w wydajności i eksporcie dla małych i średnich przedsiębiorstw (MŚP) oraz przedsiębiorstw wdrażających AI na późniejszym etapie; mając na uwadze, że konkurencyjność handlu opartego na AI zależy od dostępu do danych, mocy obliczeniowej, energii, łączności, kapitału i umiejętności, a na wiele z tych czynników wpływają stosunki handlowe i inwestycyjne; mając na uwadze, że w pierwszej połowie 2024 r. UE przyciągnęła jedynie 6 % globalnych inwestycji w przedsiębiorstwa typu start-</w:t>
      </w:r>
      <w:proofErr w:type="spellStart"/>
      <w:r w:rsidRPr="00DB6134">
        <w:t>up</w:t>
      </w:r>
      <w:proofErr w:type="spellEnd"/>
      <w:r w:rsidRPr="00DB6134">
        <w:t xml:space="preserve"> zajmujące się AI, co stworzyło strukturalne zależności mające wpływ na stosunki handlowe i europejską autonomię strategiczną; mając na uwadze, że sprawiedliwy dostęp do infrastruktury AI ma zasadnicze znaczenie dla utrzymania konkurencyjności MŚP, które borykają się z poważnymi przeszkodami w porównaniu z dużymi przedsiębiorstwami, takimi jak wysokie koszty zasobów obliczeniowych, ograniczony dostęp do danych i niedobór wykwalifikowanych pracowników w dziedzinie technologii;</w:t>
      </w:r>
    </w:p>
    <w:p w14:paraId="1F64A07D" w14:textId="77777777" w:rsidR="00E366AA" w:rsidRPr="00DB6134" w:rsidRDefault="00E366AA" w:rsidP="00E366AA">
      <w:pPr>
        <w:pStyle w:val="NormalHanging"/>
      </w:pPr>
      <w:r w:rsidRPr="00DB6134">
        <w:t>E.</w:t>
      </w:r>
      <w:r w:rsidRPr="00DB6134">
        <w:tab/>
        <w:t>mając na uwadze, że AI pozostaje szybko rozwijającą się technologią; mając na uwadze, że przedwczesna lub nadmierna interwencja regulacyjna może zagrozić innowacyjności, inwestycjom i konkurencyjności; mając na uwadze, że niezbędne jest proporcjonalne podejście oparte na ryzyku i sprzyjające innowacjom;</w:t>
      </w:r>
    </w:p>
    <w:p w14:paraId="726D8FC8" w14:textId="77777777" w:rsidR="00E366AA" w:rsidRPr="00DB6134" w:rsidRDefault="00E366AA" w:rsidP="00E366AA">
      <w:pPr>
        <w:pStyle w:val="NormalHanging"/>
      </w:pPr>
      <w:r w:rsidRPr="00DB6134">
        <w:t>F.</w:t>
      </w:r>
      <w:r w:rsidRPr="00DB6134">
        <w:tab/>
        <w:t xml:space="preserve">mając na uwadze, że łańcuch dostaw AI jest wysoce skoncentrowany w niewielkiej liczbie krajów i regionów, co stwarza ryzyko uzależnienia od dostępu do krytycznej mocy obliczeniowej, surowców i półprzewodników; mając na uwadze, że krytyczna infrastruktura AI, będąca własnością podmiotów zagranicznych, zwiększa ryzyko obcej manipulacji informacjami i ingerencji; mając na uwadze, że niewłaściwe stosowanie algorytmów może mieć negatywny wpływ na demokrację i pogłębiać obecne napięcia geopolityczne w handlu; mając na uwadze, że nasilająca się globalna konkurencja technologiczna, charakteryzująca się rozbieżnymi modelami zarządzania AI, eskalacją taryfową i kontrolą wywozu technologii krytycznych, zwiększa ryzyko, że dostęp do kluczowych czynników produkcji AI będzie wykorzystywany jako geopolityczny środek wywierania wpływu; mając na uwadze, że niektóre zewnętrzne ingerencje mogą osłabić wysokie standardy UE w zakresie przejrzystości, odpowiedzialności i ochrony praw podstawowych, zagrażając w ten sposób zdolności Unii do przestrzegania jej wartości, zapewnienia równych warunków działania dla przedsiębiorstw oraz ochrony </w:t>
      </w:r>
      <w:r w:rsidRPr="00DB6134">
        <w:lastRenderedPageBreak/>
        <w:t>obywateli przed zagrożeniami związanymi z nieuregulowaną sztuczną inteligencją i technologiami cyfrowymi; mając na uwadze, że UE powinna nadal bronić tych standardów; mając na uwadze, że UE powinna zwiększyć strategiczną autonomię poprzez dywersyfikację łańcuchów dostaw i zacieśnienie współpracy z zaufanymi partnerami, którzy podzielają jej wartości demokratyczne i zaangażowanie na rzecz otwartego handlu opartego na zasadach;</w:t>
      </w:r>
    </w:p>
    <w:p w14:paraId="7031EA95" w14:textId="77777777" w:rsidR="00E366AA" w:rsidRPr="00DB6134" w:rsidRDefault="00E366AA" w:rsidP="00E366AA">
      <w:pPr>
        <w:pStyle w:val="NormalHanging"/>
      </w:pPr>
      <w:r w:rsidRPr="00DB6134">
        <w:t>G.</w:t>
      </w:r>
      <w:r w:rsidRPr="00DB6134">
        <w:tab/>
        <w:t>mając na uwadze, że rozwój i wdrażanie AI zależy od dostępu do światowych rynków i technologii, na które mają wpływ ramy polityki handlowej; mając na uwadze, że WTO wspiera rozwój i wdrażanie AI, umożliwiając bardziej otwarty, przejrzysty i przewidywalny handel towarami i usługami opartymi na AI; mając na uwadze, że istniejące porozumienia WTO wnoszą już znaczący wkład w rozwój i wdrażanie AI, w tym Umowa o technologii informacyjnej, która obniża koszty wdrażania sprzętu AI, Porozumienie w sprawie barier technicznych w handlu (TBT), które promuje przejrzystość regulacyjną i normy międzynarodowe, Układ ogólny w sprawie handlu usługami, który ułatwia handel usługami związanymi z AI, oraz Porozumienie w sprawie handlowych aspektów praw własności intelektualnej, które wspiera rozwój i upowszechnianie AI;</w:t>
      </w:r>
    </w:p>
    <w:p w14:paraId="46014AF1" w14:textId="77777777" w:rsidR="00E366AA" w:rsidRPr="00DB6134" w:rsidRDefault="00E366AA" w:rsidP="00E366AA">
      <w:pPr>
        <w:pStyle w:val="NormalHanging"/>
      </w:pPr>
      <w:r w:rsidRPr="00DB6134">
        <w:t>H.</w:t>
      </w:r>
      <w:r w:rsidRPr="00DB6134">
        <w:tab/>
        <w:t xml:space="preserve">mając na uwadze, że podwójne zastosowanie i rosnąca militaryzacja AI, w tym jej wykorzystanie we współczesnych konfliktach, takich jak rosyjska wojna napastnicza przeciwko Ukrainie, przyspieszają przejście od współpracy ukierunkowanej na bezpieczeństwo do konkurencji </w:t>
      </w:r>
      <w:proofErr w:type="spellStart"/>
      <w:r w:rsidRPr="00DB6134">
        <w:t>geoekonomicznej</w:t>
      </w:r>
      <w:proofErr w:type="spellEnd"/>
      <w:r w:rsidRPr="00DB6134">
        <w:t xml:space="preserve"> i w zakresie bezpieczeństwa opartej na AI; mając na uwadze, że zarządzanie AI, kontrola eksportu i normy są coraz częściej wykorzystywane jako narzędzia strategicznego wpływu i projekcji siły;</w:t>
      </w:r>
    </w:p>
    <w:p w14:paraId="3AA4E049" w14:textId="77777777" w:rsidR="00E366AA" w:rsidRPr="00DB6134" w:rsidRDefault="00E366AA" w:rsidP="00E366AA">
      <w:pPr>
        <w:pStyle w:val="NormalHanging"/>
      </w:pPr>
      <w:r w:rsidRPr="00DB6134">
        <w:t>I.</w:t>
      </w:r>
      <w:r w:rsidRPr="00DB6134">
        <w:tab/>
        <w:t>mając na uwadze, że AI może być wykorzystywana w systemach uzbrojenia i narzędziach masowej inwigilacji; mając na uwadze, że takie praktyki będą budzić poważne obawy dotyczące kwestii etycznych i praw człowieka; mając na uwadze, że sekretarz generalny Organizacji Narodów Zjednoczonych wezwał do wprowadzenia globalnego zakazu stosowania śmiercionośnych autonomicznych systemów uzbrojenia, czyli maszyn zdolnych do odbierania życia ludzkiego bez nadzoru człowieka;</w:t>
      </w:r>
    </w:p>
    <w:p w14:paraId="623D171A" w14:textId="77777777" w:rsidR="00E366AA" w:rsidRPr="00DB6134" w:rsidRDefault="00E366AA" w:rsidP="00E366AA">
      <w:pPr>
        <w:pStyle w:val="Normal12a"/>
      </w:pPr>
      <w:r w:rsidRPr="00DB6134">
        <w:rPr>
          <w:b/>
          <w:i/>
        </w:rPr>
        <w:t>AI na rzecz ułatwień w handlu i egzekwowania przepisów</w:t>
      </w:r>
    </w:p>
    <w:p w14:paraId="5CAC1E54" w14:textId="77777777" w:rsidR="00E366AA" w:rsidRPr="00DB6134" w:rsidRDefault="00E366AA" w:rsidP="00E366AA">
      <w:pPr>
        <w:pStyle w:val="NormalHanging12a"/>
      </w:pPr>
      <w:r w:rsidRPr="00DB6134">
        <w:t>1.</w:t>
      </w:r>
      <w:r w:rsidRPr="00DB6134">
        <w:tab/>
        <w:t>zauważa, że AI może przyspieszyć wywóz z UE i przywóz do UE, zwłaszcza dla MŚP, dzięki zmniejszeniu barier utrudniających wejście na rynek i kosztów przestrzegania przepisów, co umożliwi przedsiębiorstwom dotarcie na rynki, które wcześniej były poza ich zasięgiem, pod warunkiem że MŚP mają sprawiedliwy dostęp do infrastruktury AI; wzywa Komisję do włączenia wiarygodnych usług doradczych w zakresie AI do portalu Access2Markets i pojedynczego punktu kontaktowego, co ułatwi poruszanie się wśród taryf, zasad pochodzenia i wymogów regulacyjnych; wzywa Komisję do priorytetowego traktowania narzędzi AI przyjaznych dla MŚP oraz do zapewnienia, aby cyfrowe rozwiązania w zakresie zgodności pozostały proste, przystępne cenowo i dostępne;</w:t>
      </w:r>
    </w:p>
    <w:p w14:paraId="52146D35" w14:textId="77777777" w:rsidR="00E366AA" w:rsidRPr="00DB6134" w:rsidRDefault="00E366AA" w:rsidP="00E366AA">
      <w:pPr>
        <w:pStyle w:val="NormalHanging12a"/>
      </w:pPr>
      <w:r w:rsidRPr="00DB6134">
        <w:t>2.</w:t>
      </w:r>
      <w:r w:rsidRPr="00DB6134">
        <w:tab/>
        <w:t xml:space="preserve">zauważa, że AI może przyczynić się do ograniczenia opóźnień i kosztów w łańcuchach dostaw UE poprzez poprawę planowania i koordynacji; wzywa Komisję, aby uczyniła handel elektroniczny normą i promowała wymianę wiarygodnych informacji między podmiotami a organami; apeluje o inwestycje w rozwiązania oparte na AI, które pomagają zmniejszyć zatory w portach i korytarzach transportowych, a także o wsparcie </w:t>
      </w:r>
      <w:r w:rsidRPr="00DB6134">
        <w:lastRenderedPageBreak/>
        <w:t>dla bardziej ekologicznej logistyki poprzez inteligentniejsze wyznaczanie tras i konserwację; wzywa Komisję do zachęcania do stosowania rozwiązań AI opartych na otwartym oprogramowaniu, które przyczyniają się do zwiększenia konkurencji i zmniejszenia zależności od dostawców spoza UE; podkreśla, że cyfryzacja i logistyka oparta na AI powinny prowadzić do większej wydajności, efektywności i lepszego zarządzania łańcuchem dostaw, niższych kosztów handlu i zmniejszenia obciążeń administracyjnych;</w:t>
      </w:r>
    </w:p>
    <w:p w14:paraId="74AE6B48" w14:textId="77777777" w:rsidR="00E366AA" w:rsidRPr="00DB6134" w:rsidRDefault="00E366AA" w:rsidP="00E366AA">
      <w:pPr>
        <w:pStyle w:val="NormalHanging12a"/>
      </w:pPr>
      <w:r w:rsidRPr="00DB6134">
        <w:t>3.</w:t>
      </w:r>
      <w:r w:rsidRPr="00DB6134">
        <w:tab/>
        <w:t>zwraca uwagę na rolę, jaką AI może odegrać w umacnianiu kontroli celnych w kontekście nadwyżki zdolności produkcyjnych na rynku i ograniczeń dotyczących inspekcji przeprowadzanych przez człowieka, w obliczu wyzwań związanymi z napływem towarów, zwłaszcza małych paczek z Chin; wzywa Komisję do zapewnienia zasobów i umiejętności organom nadzoru rynku i organom celnym, również w drodze ściślejszej współpracy między państwami członkowskimi w ramach centrum danych celnych Unii Europejskiej, aby zagwarantować, że wykorzystanie AI zwiększy zdolności do egzekwowania przepisów i wymiany danych między organami; wzywa Komisję do zbadania potencjału AI w zakresie utrzymania zgodności przywożonych towarów z prawem UE, poprawy identyfikowalności w czasie rzeczywistym i kontroli celnej przywożonych produktów oraz nadzoru rynku, wdrożenia bezpiecznych i specjalnych narzędzi AI do systematycznej analizy danych dotyczących małych paczek lub do zapewnienia identyfikowalności produktów w całym łańcuchu dostaw w celu zwalczania towarów podrobionych, oszustw celnych, nieuczciwych praktyk handlowych i obchodzenia sankcji nałożonych przez UE; podkreśla, że takie systemy AI stanowiłyby infrastrukturę krytyczną i dlatego powinny pozostać niezależne i suwerenne; wzywa Komisję do dopilnowania, aby narzędzia te były ściśle zgodne z odpowiednimi przepisami UE;</w:t>
      </w:r>
    </w:p>
    <w:p w14:paraId="6256B1F9" w14:textId="1E06F475" w:rsidR="00E366AA" w:rsidRPr="00DB6134" w:rsidRDefault="00E366AA" w:rsidP="00E366AA">
      <w:pPr>
        <w:pStyle w:val="NormalHanging12a"/>
      </w:pPr>
      <w:r w:rsidRPr="00DB6134">
        <w:t>4.</w:t>
      </w:r>
      <w:r w:rsidRPr="00DB6134">
        <w:tab/>
        <w:t>zauważa, że sztuczna inteligencja może być użytecznym narzędziem dla przedsiębiorstw, organów celnych i organów nadzoru rynku służącym ochronie praw człowieka przez ułatwianie skutecznego wdrażania i przestrzegania przepisów UE, takich jak dyrektywa w sprawie należytej staranności przedsiębiorstw w zakresie zrównoważonego rozwoju</w:t>
      </w:r>
      <w:r w:rsidR="00247725">
        <w:rPr>
          <w:rStyle w:val="FootnoteReference"/>
        </w:rPr>
        <w:footnoteReference w:id="10"/>
      </w:r>
      <w:r w:rsidRPr="00DB6134">
        <w:t>, rozporządzenie w sprawie wylesiania</w:t>
      </w:r>
      <w:r w:rsidR="00247725">
        <w:rPr>
          <w:rStyle w:val="FootnoteReference"/>
        </w:rPr>
        <w:footnoteReference w:id="11"/>
      </w:r>
      <w:r w:rsidRPr="00DB6134">
        <w:t xml:space="preserve"> lub unijne rozporządzenie w sprawie pracy przymusowej</w:t>
      </w:r>
      <w:r w:rsidR="00247725">
        <w:rPr>
          <w:rStyle w:val="FootnoteReference"/>
        </w:rPr>
        <w:footnoteReference w:id="12"/>
      </w:r>
      <w:r w:rsidRPr="00DB6134">
        <w:t xml:space="preserve">, oraz instrumentem służącym ochronie konsumentów przez ułatwianie skutecznego wdrażania i przestrzegania przepisów UE, takich jak rejestracja, ocena, udzielanie zezwoleń i stosowane ograniczenia w zakresie </w:t>
      </w:r>
      <w:r w:rsidRPr="00DB6134">
        <w:lastRenderedPageBreak/>
        <w:t>chemikaliów (REACH), oznakowanie CE i rozporządzenie w sprawie ogólnego bezpieczeństwa produktów</w:t>
      </w:r>
      <w:r w:rsidR="00247725">
        <w:rPr>
          <w:rStyle w:val="FootnoteReference"/>
        </w:rPr>
        <w:footnoteReference w:id="13"/>
      </w:r>
      <w:r w:rsidRPr="00DB6134">
        <w:t>;</w:t>
      </w:r>
    </w:p>
    <w:p w14:paraId="32F6915F" w14:textId="77777777" w:rsidR="00E366AA" w:rsidRPr="00DB6134" w:rsidRDefault="00E366AA" w:rsidP="00E366AA">
      <w:pPr>
        <w:pStyle w:val="Normal12a"/>
      </w:pPr>
      <w:r w:rsidRPr="00DB6134">
        <w:rPr>
          <w:b/>
          <w:i/>
        </w:rPr>
        <w:t>AI a zmiany strukturalne w handlu towarami i usługami oraz handel i zrównoważony rozwój</w:t>
      </w:r>
    </w:p>
    <w:p w14:paraId="3833C347" w14:textId="77777777" w:rsidR="00E366AA" w:rsidRPr="00DB6134" w:rsidRDefault="00E366AA" w:rsidP="00E366AA">
      <w:pPr>
        <w:pStyle w:val="NormalHanging12a"/>
      </w:pPr>
      <w:r w:rsidRPr="00DB6134">
        <w:t>5.</w:t>
      </w:r>
      <w:r w:rsidRPr="00DB6134">
        <w:tab/>
        <w:t>zwraca uwagę, że konkurencyjność Europy w handlu towarami będzie w coraz większym stopniu zależeć od stymulowanej przez AI poprawy wydajności i jakości w strategicznych przemysłowych łańcuchach wartości, w tym w zakresie technologii produkcyjnych, motoryzacyjnych, farmaceutycznych i energetycznych; wzywa Komisję do systematycznego uwzględniania tych interesów w negocjacjach handlowych poprzez zapewnienie skutecznego dostępu do rynku, solidnych zasad dotyczących barier pozataryfowych oraz egzekwowalnych przepisów, które utrzymują równe warunki działania i zapobiegają nieuczciwej konkurencji oraz zakłóceniom związanym z technologią, uznając jednocześnie pełne prawo UE do wprowadzania regulacji;</w:t>
      </w:r>
    </w:p>
    <w:p w14:paraId="34D7457F" w14:textId="77777777" w:rsidR="00E366AA" w:rsidRPr="00DB6134" w:rsidRDefault="00E366AA" w:rsidP="00E366AA">
      <w:pPr>
        <w:pStyle w:val="NormalHanging12a"/>
      </w:pPr>
      <w:r w:rsidRPr="00DB6134">
        <w:t>6.</w:t>
      </w:r>
      <w:r w:rsidRPr="00DB6134">
        <w:tab/>
        <w:t xml:space="preserve">uznaje fakt, że AI przekształca handel usługami świadczonymi cyfrowo poprzez komercjalizację wiedzy fachowej, co wymaga dodatkowych wysiłków w celu utrzymania historycznej przewagi komparatywnej Europy w zakresie usług profesjonalnych, technicznych i biznesowych o wysokiej wartości; podkreśla, że pobudzenie inwestycji przewidziane w sprawozdaniach </w:t>
      </w:r>
      <w:proofErr w:type="spellStart"/>
      <w:r w:rsidRPr="00DB6134">
        <w:t>Draghiego</w:t>
      </w:r>
      <w:proofErr w:type="spellEnd"/>
      <w:r w:rsidRPr="00DB6134">
        <w:t xml:space="preserve"> i </w:t>
      </w:r>
      <w:proofErr w:type="spellStart"/>
      <w:r w:rsidRPr="00DB6134">
        <w:t>Letty</w:t>
      </w:r>
      <w:proofErr w:type="spellEnd"/>
      <w:r w:rsidRPr="00DB6134">
        <w:t xml:space="preserve"> jest konieczne, aby sprostać zwiększonej globalnej konkurencji w handlu usługami; wzywa Komisję do zmobilizowania partnerstw handlowych i inwestycyjnych w celu przyciągnięcia kapitału i talentów oraz zwiększenia skali działalności europejskich przedsiębiorstw;</w:t>
      </w:r>
    </w:p>
    <w:p w14:paraId="4191F6A6" w14:textId="77777777" w:rsidR="00E366AA" w:rsidRPr="00DB6134" w:rsidRDefault="00E366AA" w:rsidP="00E366AA">
      <w:pPr>
        <w:pStyle w:val="NormalHanging12a"/>
      </w:pPr>
      <w:r w:rsidRPr="00DB6134">
        <w:t>7.</w:t>
      </w:r>
      <w:r w:rsidRPr="00DB6134">
        <w:tab/>
        <w:t>uznaje potencjał AI w zakresie przekształcania rynków pracy na całym świecie; ostrzega przed ryzykiem utraty miejsc pracy w wyniku automatyzacji, handlu usługami opartego na AI i pogłębiającej się luki kompetencyjnej wśród siły roboczej w UE; podkreśla zatem potrzebę przyjęcia strategii mających na celu przewidywanie tych zmian i odpowiednie dostosowanie siły roboczej; zauważa, że opracowywanie i wdrażanie modeli i systemów AI ma negatywne skutki dla środowiska, w tym poprzez wzrost zapotrzebowania na energię elektryczną i zużycia wody; wzywa Komisję, aby w ramach ocen skutków umów o wolnym handlu przeanalizowała, które sektory mogą zostać dotknięte AI, oraz oceniła wpływ stosowania AI na prawa pracownicze oraz na środowisko;</w:t>
      </w:r>
    </w:p>
    <w:p w14:paraId="17B00C28" w14:textId="77777777" w:rsidR="00E366AA" w:rsidRPr="00DB6134" w:rsidRDefault="00E366AA" w:rsidP="00E366AA">
      <w:pPr>
        <w:pStyle w:val="NormalHanging12a"/>
      </w:pPr>
      <w:r w:rsidRPr="00DB6134">
        <w:t>8.</w:t>
      </w:r>
      <w:r w:rsidRPr="00DB6134">
        <w:tab/>
        <w:t xml:space="preserve">ostrzega, że przepaść cyfrowa grozi wykluczeniem partnerów z globalnego Południa z możliwości wzrostu opartych na AI, co zwiększy zależność od modeli importowanych; zaznacza, że współpraca wspierająca wykorzystanie narzędzi AI w krajach rozwijających się powinna wzmacniać wielostronny system handlu i być promowana w ramach WTO; wzywa Komisję do wykorzystania przepisów dotyczących włączenia cyfrowego w rozdziałach dotyczących handlu i zrównoważonego rozwoju oraz w umowach o handlu cyfrowym, aby wspierać wdrażanie AI i wzrost wydajności, a także </w:t>
      </w:r>
      <w:r w:rsidRPr="00DB6134">
        <w:lastRenderedPageBreak/>
        <w:t xml:space="preserve">promować </w:t>
      </w:r>
      <w:proofErr w:type="spellStart"/>
      <w:r w:rsidRPr="00DB6134">
        <w:t>inkluzywną</w:t>
      </w:r>
      <w:proofErr w:type="spellEnd"/>
      <w:r w:rsidRPr="00DB6134">
        <w:t xml:space="preserve"> i godną zaufania AI poprzez specjalne międzynarodowe programy współpracy i inicjatywy na rzecz budowania zdolności w ramach istniejących instrumentów zewnętrznych UE, takich jak programy szkoleniowe czy dostęp do infrastruktury cyfrowej i infrastruktury AI; wzywa Komisję do skoncentrowania się na budowaniu zdolności w ramach strategii Global Gateway na podstawie etycznych ekosystemów AI opartych na otwartym oprogramowaniu i zdolnościach lokalnych, w celu wspierania odpornych i obustronnie korzystnych stosunków handlowych i inwestycyjnych;</w:t>
      </w:r>
    </w:p>
    <w:p w14:paraId="57CF29CE" w14:textId="77777777" w:rsidR="00E366AA" w:rsidRPr="00DB6134" w:rsidRDefault="00E366AA" w:rsidP="00E366AA">
      <w:pPr>
        <w:pStyle w:val="NormalHanging12a"/>
      </w:pPr>
      <w:r w:rsidRPr="00DB6134">
        <w:t>9.</w:t>
      </w:r>
      <w:r w:rsidRPr="00DB6134">
        <w:tab/>
        <w:t>zauważa, że rozwiązania w zakresie AI oparte na otwartym oprogramowaniu, umożliwiające przejrzyste ponowne wykorzystanie i niezależne testowanie, oferują znaczne korzyści, w tym niższe koszty i lepszą ochronę prywatności danych dzięki wdrożeniu na szczeblu lokalnym, przyczyniając się do wzrostu zdrowej konkurencji w dziedzinie AI oraz do zmniejszenia zależności od dostawców spoza UE, a jednocześnie wspierają możliwe do skontrolowania i dostosowane do warunków lokalnych rozwiązania AI opracowane wspólnie z partnerami z globalnego Południa; podkreśla, że włączenie takiej współpracy do polityki handlowej UE i partnerstw cyfrowych może zdywersyfikować partnerstwa, zmniejszyć zależność od kilku zastrzeżonych ekosystemów i wzmocnić długoterminowe więzi geopolityczne; wzywa Komisję do zachęcania do stosowania rozwiązań AI opartych na otwartym oprogramowaniu, które przyczyniają się do zmniejszenia zależności od dostawców spoza UE; podkreśla, że współpraca oparta na otwartym oprogramowaniu powinna obejmować projekty związane z AI leżące w interesie publicznym, takie jak przeciwdziałanie zmianie klimatu, wspieranie czystej transformacji oraz poprawa opieki zdrowotnej i bezpieczeństwa żywnościowego;</w:t>
      </w:r>
    </w:p>
    <w:p w14:paraId="4183A46B" w14:textId="77777777" w:rsidR="00E366AA" w:rsidRPr="00DB6134" w:rsidRDefault="00E366AA" w:rsidP="00E366AA">
      <w:pPr>
        <w:pStyle w:val="Normal12a"/>
      </w:pPr>
      <w:r w:rsidRPr="00DB6134">
        <w:rPr>
          <w:b/>
          <w:i/>
        </w:rPr>
        <w:t>Zarządzanie handlem cyfrowym, współpraca regulacyjna i zasady wielostronne</w:t>
      </w:r>
    </w:p>
    <w:p w14:paraId="72477BE1" w14:textId="77777777" w:rsidR="00E366AA" w:rsidRPr="00DB6134" w:rsidRDefault="00E366AA" w:rsidP="00E366AA">
      <w:pPr>
        <w:pStyle w:val="NormalHanging12a"/>
      </w:pPr>
      <w:r w:rsidRPr="00DB6134">
        <w:t>10.</w:t>
      </w:r>
      <w:r w:rsidRPr="00DB6134">
        <w:tab/>
        <w:t>podkreśla strategiczną rolę partnerstw cyfrowych oraz rad ds. handlu i technologii z partnerami o podobnych poglądach, którzy podzielają wartości demokratyczne, wysokie standardy zarządzania i zaangażowanie na rzecz otwartego handlu opartego na zasadach w promowaniu opartego na wartościach i ukierunkowanego na człowieka podejścia UE do AI w oparciu o analizę ryzyka; wzywa do większego włączenia Parlamentu w prace rad ds. handlu i technologii; wzywa Komisję do wdrożenia międzynarodowej strategii cyfrowej poprzez skoordynowane stanowiska na forum grupy G-7, grupy G-20, Organizacji Współpracy Gospodarczej i Rozwoju (OECD) oraz Organizacji Narodów Zjednoczonych, a także zorganizowaną współpracę między organami regulacyjnymi w celu osiągnięcia globalnej konwergencji w zakresie wysokich standardów bezpieczeństwa AI i ochrony praw podstawowych;</w:t>
      </w:r>
    </w:p>
    <w:p w14:paraId="3B684CDE" w14:textId="77777777" w:rsidR="00E366AA" w:rsidRPr="00DB6134" w:rsidRDefault="00E366AA" w:rsidP="00E366AA">
      <w:pPr>
        <w:pStyle w:val="NormalHanging12a"/>
      </w:pPr>
      <w:r w:rsidRPr="00DB6134">
        <w:t>11.</w:t>
      </w:r>
      <w:r w:rsidRPr="00DB6134">
        <w:tab/>
        <w:t xml:space="preserve">podkreśla potrzebę obrony i promowania, zwłaszcza na forach wielostronnych, unijnego modelu AI ukierunkowanego na człowieka jako normy międzynarodowej oraz aktu w sprawie sztucznej inteligencji jako punktu odniesienia, który może pomóc w dostosowaniu standardów przejrzystości i bezpieczeństwa, utrzymując jednocześnie otwartość i przewidywalność handlu; wzywa Komisję do zacieśnienia współpracy w zakresie norm AI, innowacji technologicznych i bezpiecznych łańcuchów dostaw z zaufanymi partnerami i krajami o podobnych poglądach, w tym za pośrednictwem partnerstw dwustronnych i forów wielostronnych, przy priorytetowym traktowaniu partnerów, którzy stoją na straży wartości demokratycznych i międzynarodowego porządku opartego na zasadach; zauważa, że zaawansowane systemy AI stwarzają wyzwania transgraniczne, i wzywa Komisję do działania na rzecz globalnego </w:t>
      </w:r>
      <w:r w:rsidRPr="00DB6134">
        <w:lastRenderedPageBreak/>
        <w:t xml:space="preserve">minimalnego poziomu ochrony przed najpoważniejszymi zagrożeniami jako podstawy </w:t>
      </w:r>
      <w:proofErr w:type="spellStart"/>
      <w:r w:rsidRPr="00DB6134">
        <w:t>interoperacyjnego</w:t>
      </w:r>
      <w:proofErr w:type="spellEnd"/>
      <w:r w:rsidRPr="00DB6134">
        <w:t xml:space="preserve"> i wiarygodnego zarządzania, w szczególności poprzez inicjatywy międzynarodowe, takie jak globalne partnerstwo w sprawie AI, zasady OECD dotyczące AI oraz ramy etyczne UNESCO dotyczące AI;</w:t>
      </w:r>
    </w:p>
    <w:p w14:paraId="2B59AA4E" w14:textId="77777777" w:rsidR="00E366AA" w:rsidRPr="00DB6134" w:rsidRDefault="00E366AA" w:rsidP="00E366AA">
      <w:pPr>
        <w:pStyle w:val="NormalHanging12a"/>
      </w:pPr>
      <w:r w:rsidRPr="00DB6134">
        <w:t>12.</w:t>
      </w:r>
      <w:r w:rsidRPr="00DB6134">
        <w:tab/>
        <w:t>podkreśla, że oprócz globalnego minimalnego poziomu ochrony potrzebna jest koalicja partnerów o podobnych poglądach, którzy podzielają podejście UE ukierunkowane na człowieka, aby przyspieszyć wdrażanie wysokich standardów bezpieczeństwa AI, przejrzystości, rozliczalności i praw podstawowych, w szczególności w drodze zorganizowanego dialogu regulacyjnego w celu rozwiązywania sporów, wymiany najlepszych praktyk i dostosowania zobowiązań wraz z rozwojem technologicznym; wzywa ponadto Komisję do połączenia konwergencji regulacyjnej w zakresie wysokich standardów bezpieczeństwa i praw podstawowych z konkretnym budowaniem zdolności, w tym ze wspólnymi inwestycjami w bezpieczne i przystępne cenowo zdolności obliczeniowe i testowe, partnerstwami w zakresie talentów i umiejętności w celu zmniejszenia zależności strategicznej i stworzenia wiarygodnych modeli wdrażania, do których kraje partnerskie mogą się dostosować, wzmacniając godną zaufania AI jako podstawę otwartego i odpornego handlu cyfrowego;</w:t>
      </w:r>
    </w:p>
    <w:p w14:paraId="29E73B05" w14:textId="77777777" w:rsidR="00E366AA" w:rsidRPr="00DB6134" w:rsidRDefault="00E366AA" w:rsidP="00E366AA">
      <w:pPr>
        <w:pStyle w:val="NormalHanging12a"/>
      </w:pPr>
      <w:r w:rsidRPr="00DB6134">
        <w:t>13.</w:t>
      </w:r>
      <w:r w:rsidRPr="00DB6134">
        <w:tab/>
        <w:t>podkreśla, że legalne i bezpieczne przepływy danych mają zasadnicze znaczenie dla handlu opartego na AI; przypomina, że unijne umowy o handlu cyfrowym muszą być zgodne z przepisami horyzontalnymi Komisji dotyczącymi transgranicznych przepływów danych oraz ochrony danych osobowych i prywatności w tytułach umów handlowych UE dotyczącym handlu cyfrowego; umożliwi to Unii uwzględnienie w umowach handlowych środków ułatwiających transgraniczny przepływ danych, przy jednoczesnym zachowaniu podstawowych praw osób fizycznych do ochrony danych i prywatności; podkreśla także, że umowy te powinny zawierać specjalne przepisy dotyczące współpracy regulacyjnej w zakresie AI, ułatwiające wzajemne zrozumienie podejść regulacyjnych, oraz zwraca się do Komisji o włączenie takich przepisów do wszystkich przyszłych rozdziałów i umów dotyczących handlu cyfrowego; potwierdza, że zabezpieczenia zgodne z RODO lub równoważnymi normami stanowią minimalne wymagania dotyczące przekazywania danych osobowych w UE; wzywa do zawierania umów o handlu cyfrowym w celu ochrony autonomii regulacyjnej i zachowania dostępu technicznego potrzebnego organom regulacyjnym do egzekwowania aktu w sprawie AI oraz do zapewnienia przejrzystości, możliwości kontroli, sprawiedliwości, bezpieczeństwa i rozliczalności systemów AI, tak aby jednocześnie zapewniały one społeczeństwu obywatelskiemu i niezależnym naukowcom dostęp do kodu źródłowego i algorytmów systemów;</w:t>
      </w:r>
    </w:p>
    <w:p w14:paraId="26CFE9A3" w14:textId="77777777" w:rsidR="00E366AA" w:rsidRPr="00DB6134" w:rsidRDefault="00E366AA" w:rsidP="00E366AA">
      <w:pPr>
        <w:pStyle w:val="NormalHanging12a"/>
      </w:pPr>
      <w:r w:rsidRPr="00DB6134">
        <w:t>14.</w:t>
      </w:r>
      <w:r w:rsidRPr="00DB6134">
        <w:tab/>
        <w:t xml:space="preserve">przypomina o zaangażowaniu UE na rzecz wielostronnego systemu handlowego opartego na zasadach; podkreśla, że WTO powinna w znaczący sposób przyczynić się do opracowania solidnych, bezpiecznych, </w:t>
      </w:r>
      <w:proofErr w:type="spellStart"/>
      <w:r w:rsidRPr="00DB6134">
        <w:t>inkluzywnych</w:t>
      </w:r>
      <w:proofErr w:type="spellEnd"/>
      <w:r w:rsidRPr="00DB6134">
        <w:t xml:space="preserve"> i zaufanych ram zarządzania AI dla handlu, w tym poprzez ustanowienie specjalnej grupy roboczej WTO ds. sztucznej inteligencji w celu ułatwienia dialogu, wymiany wiedzy i współpracy między członkami w zakresie regulacji i polityki dotyczących sztucznej inteligencji; podkreśla, że zrównoważone przepisy dotyczące handlu elektronicznego mają zasadnicze znaczenie dla odblokowania handlu opartego na AI; wzywa Komisję do dopilnowania, aby wszelkie teksty WTO dotyczące handlu elektronicznego zapewniały przestrzeń polityczną dla demokratycznego zarządzania AI, w tym egzekwowalne zabezpieczenia dla pracowników i konsumentów; wzywa Komisję do przyspieszenia dyskusji na temat AI i handlu w ramach WTO oraz do promowania globalnej współpracy, która ułatwi </w:t>
      </w:r>
      <w:r w:rsidRPr="00DB6134">
        <w:lastRenderedPageBreak/>
        <w:t>zaufany przepływ danych i handel cyfrowy, a także dostęp do usług i narzędzi opartych na AI, zwłaszcza w krajach rozwijających się;</w:t>
      </w:r>
    </w:p>
    <w:p w14:paraId="1142DC3F" w14:textId="77777777" w:rsidR="00E366AA" w:rsidRPr="00DB6134" w:rsidRDefault="00E366AA" w:rsidP="00E366AA">
      <w:pPr>
        <w:pStyle w:val="NormalHanging12a"/>
      </w:pPr>
      <w:r w:rsidRPr="00DB6134">
        <w:t>15.</w:t>
      </w:r>
      <w:r w:rsidRPr="00DB6134">
        <w:tab/>
        <w:t>ostrzega, że rozbieżne systemy zgodności w obszarze AI mogą prowadzić do fragmentacji rynków i wzrostu kosztów handlu; podkreśla rolę współpracy międzynarodowej w zapobieganiu fragmentacji regulacyjnej; wzywa Komisję do stosowania norm międzynarodowych i barier technicznych WTO w handlu (TBT) oraz zasad przejrzystości jako narzędzi na rzecz zapobiegania temu, by rozbieżności regulacyjne stały się bezzasadnymi barierami handlowymi, przy jednoczesnym zachowaniu unijnych ram zarządzania AI i wykorzystaniu ich do ułatwienia handlu cyfrowego opartego na zaufaniu oraz do umocnienia równych warunków działania na całym świecie dla godnej zaufania AI;</w:t>
      </w:r>
    </w:p>
    <w:p w14:paraId="4D08220C" w14:textId="77777777" w:rsidR="00E366AA" w:rsidRPr="00DB6134" w:rsidRDefault="00E366AA" w:rsidP="00E366AA">
      <w:pPr>
        <w:pStyle w:val="Normal12a"/>
      </w:pPr>
      <w:r w:rsidRPr="00DB6134">
        <w:rPr>
          <w:b/>
          <w:i/>
        </w:rPr>
        <w:t>Bezpieczeństwo gospodarcze i strategiczne zależności w łańcuchu wartości AI</w:t>
      </w:r>
    </w:p>
    <w:p w14:paraId="4C0EF2F0" w14:textId="77777777" w:rsidR="00E366AA" w:rsidRPr="00DB6134" w:rsidRDefault="00E366AA" w:rsidP="00E366AA">
      <w:pPr>
        <w:pStyle w:val="NormalHanging12a"/>
      </w:pPr>
      <w:r w:rsidRPr="00DB6134">
        <w:t>16.</w:t>
      </w:r>
      <w:r w:rsidRPr="00DB6134">
        <w:tab/>
        <w:t xml:space="preserve">podkreśla, że bezpieczny dostęp do zaawansowanych półprzewodników i przystępnej cenowo mocy obliczeniowej ma zasadnicze znaczenie dla suwerenności technologicznej i konkurencyjności UE; zauważa, że akt w sprawie </w:t>
      </w:r>
      <w:proofErr w:type="spellStart"/>
      <w:r w:rsidRPr="00DB6134">
        <w:t>czipów</w:t>
      </w:r>
      <w:proofErr w:type="spellEnd"/>
      <w:r w:rsidRPr="00DB6134">
        <w:t xml:space="preserve"> i program fabryk AI mogą okazać się niewystarczające ze względu na fragmentaryczną realizację i ograniczony zakres; wzywa Komisję, aby przyspieszyła ich wdrażanie, kontynuowała dyplomację surowcową i wykorzystała umowy handlowe, umowy ramowe i umowy o partnerstwie z zaufanymi partnerami w celu dywersyfikacji łańcuchów dostaw i zmniejszenia strategicznych zależności; w tym kontekście uznaje kluczową rolę zaawansowanych ekosystemów produkcji </w:t>
      </w:r>
      <w:proofErr w:type="spellStart"/>
      <w:r w:rsidRPr="00DB6134">
        <w:t>czipów</w:t>
      </w:r>
      <w:proofErr w:type="spellEnd"/>
      <w:r w:rsidRPr="00DB6134">
        <w:t xml:space="preserve"> w gospodarkach partnerskich o podobnych poglądach we wzmacnianiu globalnych zdolności obliczeniowych w zakresie AI, i zachęca do pogłębienia współpracy z takimi partnerami w zakresie odporności łańcucha dostaw półprzewodników; podkreśla ponadto pilną potrzebę wzmocnienia europejskiej produkcji zaawansowanych półprzewodników, w szczególności poprzez wspieranie inicjatyw europejskich, takich jak proponowany przegląd aktu w sprawie </w:t>
      </w:r>
      <w:proofErr w:type="spellStart"/>
      <w:r w:rsidRPr="00DB6134">
        <w:t>czipów</w:t>
      </w:r>
      <w:proofErr w:type="spellEnd"/>
      <w:r w:rsidRPr="00DB6134">
        <w:t xml:space="preserve"> (akt w sprawie </w:t>
      </w:r>
      <w:proofErr w:type="spellStart"/>
      <w:r w:rsidRPr="00DB6134">
        <w:t>czipów</w:t>
      </w:r>
      <w:proofErr w:type="spellEnd"/>
      <w:r w:rsidRPr="00DB6134">
        <w:t xml:space="preserve"> 2.0); wzywa Komisję do opracowania jaśniejszej strategii dotyczącej sposobu, w jaki UE mogłaby rozwijać się jako kluczowy podmiot w ekosystemie AI, oraz do włączenia solidnych postanowień do umów handlowych w celu zapewnienia sprawiedliwego dostępu do technologii krytycznych i surowców;</w:t>
      </w:r>
    </w:p>
    <w:p w14:paraId="748AAD16" w14:textId="77777777" w:rsidR="00E366AA" w:rsidRPr="00DB6134" w:rsidRDefault="00E366AA" w:rsidP="00E366AA">
      <w:pPr>
        <w:pStyle w:val="NormalHanging12a"/>
      </w:pPr>
      <w:r w:rsidRPr="00DB6134">
        <w:t>17.</w:t>
      </w:r>
      <w:r w:rsidRPr="00DB6134">
        <w:tab/>
        <w:t>uważa partnerstwo strategiczne w sprawie odporności łańcucha dostaw minerałów krytycznych za potencjalnie znaczący instrument usprawnienia koordynacji działań z sojusznikami w zakresie dostępu do surowców krytycznych dla AI, w tym metali ziem rzadkich i zaawansowanych materiałów półprzewodnikowych; podkreśla, że zaangażowanie UE musi być uzależnione od spójności ze wskaźnikami referencyjnymi określonymi w akcie w sprawie surowców krytycznych i celami otwartej strategicznej autonomii UE, zmniejszając podatność na zagrożenia, a nie przenosząc zależności; wzywa Komisję do dopilnowania, aby wszelkie wielostronne instrumenty handlowe wynikające z takich partnerstw, w tym ceny minimalne lub mechanizmy odbioru, były zgodne ze zobowiązaniami w ramach WTO i służyły interesom UE; wzywa do zacieśnienia dialogu i współpracy między zaufanymi partnerami w celu ochrony międzynarodowych przepływów handlowych oraz wzmocnienia integralności i odporności ekosystemów przemysłowych związanych z AI;</w:t>
      </w:r>
    </w:p>
    <w:p w14:paraId="071F2546" w14:textId="4A5F4E4A" w:rsidR="00E366AA" w:rsidRPr="00DB6134" w:rsidRDefault="00E366AA" w:rsidP="00E366AA">
      <w:pPr>
        <w:pStyle w:val="NormalHanging12a"/>
      </w:pPr>
      <w:r w:rsidRPr="00DB6134">
        <w:t>18.</w:t>
      </w:r>
      <w:r w:rsidRPr="00DB6134">
        <w:tab/>
        <w:t xml:space="preserve">ostrzega, że koncentracja infrastruktury chmury obliczeniowej w państwach trzecich naraża UE na ryzyko wynikające z podlegania zewnętrznym jurysdykcjom; wzywa Komisję, aby za pośrednictwem proponowanego aktu w sprawie rozwoju chmury i AI </w:t>
      </w:r>
      <w:r w:rsidRPr="00DB6134">
        <w:lastRenderedPageBreak/>
        <w:t>oraz aktu w sprawie przyspieszenia rozwoju przemysłu (</w:t>
      </w:r>
      <w:r w:rsidRPr="00247725">
        <w:t>COM(2026)0100</w:t>
      </w:r>
      <w:r w:rsidRPr="00DB6134">
        <w:t>) ustanowiła ramy stopniowej suwerenności, zgodnie z którymi przy zamówieniach publicznych priorytetowo traktuje się dostawców usług krytycznych z siedzibą w UE, oraz by jednocześnie zagwarantowała otwartą strategiczną autonomię, utrzymując niedyskryminacyjny dostęp dla dostawców z krajów o zbieżnych poglądach, którzy spełniają wymogi UE w zakresie certyfikacji i interoperacyjności;</w:t>
      </w:r>
    </w:p>
    <w:p w14:paraId="50E5A0B5" w14:textId="77777777" w:rsidR="00E366AA" w:rsidRPr="00DB6134" w:rsidRDefault="00E366AA" w:rsidP="00E366AA">
      <w:pPr>
        <w:pStyle w:val="NormalHanging12a"/>
      </w:pPr>
      <w:r w:rsidRPr="00DB6134">
        <w:t>19.</w:t>
      </w:r>
      <w:r w:rsidRPr="00DB6134">
        <w:tab/>
        <w:t>wzywa Komisję do dopilnowania, aby jej doktryna bezpieczeństwa gospodarczego koordynowała monitorowanie bezpośrednich inwestycji zagranicznych, ze szczególnym uwzględnieniem strategicznych sektorów cyfrowych, takich jak platformy AI, usługi w chmurze i centra danych, kontrolę wywozu, instrument chroniący przed wymuszaniem i ochronę handlu jako spójny system zapobiegający wykorzystywaniu zależności od AI jako broni; ostrzega, że ograniczenia wywozowe dotyczące surowców krytycznych i rosnąca niestabilność geopolityczna wymagają wzmocnionej koordynacji i egzekwowania w celu ochrony europejskiego ekosystemu AI; wzywa Komisję do zaproponowania ukierunkowanego przeglądu rozporządzenia w sprawie produktów podwójnego zastosowania, aby bardziej kompleksowo zająć się zaawansowaną AI z uwagi na jej potencjalne wykorzystanie przez państwa trzecie w zastosowaniach związanych z bezpieczeństwem, nadzorem lub obronnością;</w:t>
      </w:r>
    </w:p>
    <w:p w14:paraId="14531506" w14:textId="77777777" w:rsidR="00E366AA" w:rsidRPr="00DB6134" w:rsidRDefault="00E366AA" w:rsidP="00E366AA">
      <w:pPr>
        <w:pStyle w:val="NormalHanging12a"/>
      </w:pPr>
      <w:r w:rsidRPr="00DB6134">
        <w:t>20.</w:t>
      </w:r>
      <w:r w:rsidRPr="00DB6134">
        <w:tab/>
        <w:t>wyraża zaniepokojenie powtarzającymi się chińskimi ograniczeniami wywozowymi dotyczącymi pierwiastków ziem rzadkich (REE), które znacząco zakłócają łańcuchy dostaw mające kluczowe znaczenie dla przedsiębiorstw z branży półprzewodników, a także dla szerszego łańcucha wartości sztucznej inteligencji; uważa, że działania Chin są nieuzasadnione, i wzywa Komisję do ścisłego monitorowania sytuacji i odpowiedniego reagowania w celu zapewnienia, aby nie miały one wpływu na światową gospodarkę i odporność handlu międzynarodowego;</w:t>
      </w:r>
    </w:p>
    <w:p w14:paraId="525A55C7" w14:textId="77777777" w:rsidR="00E366AA" w:rsidRPr="00DB6134" w:rsidRDefault="00E366AA" w:rsidP="00E366AA">
      <w:pPr>
        <w:pStyle w:val="NormalHanging12a"/>
      </w:pPr>
      <w:r w:rsidRPr="00DB6134">
        <w:t>21.</w:t>
      </w:r>
      <w:r w:rsidRPr="00DB6134">
        <w:tab/>
        <w:t>podkreśla, że UE musi przyspieszyć wdrażanie europejskiego aktu w sprawie surowców krytycznych i zdywersyfikować łańcuchy dostaw w celu wzmocnienia odporności gospodarczej; podkreśla pilną potrzebę zabezpieczenia inwestycji w projekty strategiczne zatwierdzone w ramach europejskiego aktu w sprawie surowców krytycznych oraz w inne projekty mające na celu zwiększenie wydobycia, rafinacji, przetwarzania i recyklingu, które przyczyniają się do zmniejszenia ryzyka związanego z Chinami;</w:t>
      </w:r>
    </w:p>
    <w:p w14:paraId="6E99A1E2" w14:textId="77777777" w:rsidR="00E366AA" w:rsidRPr="00DB6134" w:rsidRDefault="00E366AA" w:rsidP="00E366AA">
      <w:pPr>
        <w:pStyle w:val="NormalCenter12a"/>
      </w:pPr>
      <w:r w:rsidRPr="00DB6134">
        <w:t>°</w:t>
      </w:r>
    </w:p>
    <w:p w14:paraId="16E45F34" w14:textId="77777777" w:rsidR="00E366AA" w:rsidRPr="00DB6134" w:rsidRDefault="00E366AA" w:rsidP="00E366AA">
      <w:pPr>
        <w:pStyle w:val="NormalCenter12a"/>
      </w:pPr>
      <w:r w:rsidRPr="00DB6134">
        <w:t>°</w:t>
      </w:r>
      <w:r w:rsidRPr="00DB6134">
        <w:tab/>
        <w:t>°</w:t>
      </w:r>
    </w:p>
    <w:p w14:paraId="52250A5B" w14:textId="0BF99E26" w:rsidR="00DB6134" w:rsidRPr="00DB6134" w:rsidRDefault="00E366AA" w:rsidP="00DB6134">
      <w:pPr>
        <w:pStyle w:val="NormalHanging12a"/>
      </w:pPr>
      <w:r w:rsidRPr="00DB6134">
        <w:t>22.</w:t>
      </w:r>
      <w:r w:rsidRPr="00DB6134">
        <w:tab/>
        <w:t>zobowiązuje swoją przewodniczącą do przekazania niniejszej rezolucji Radzie i Komisji oraz rządom i parlamentom państw członkowskich.</w:t>
      </w:r>
    </w:p>
    <w:p w14:paraId="18625D81" w14:textId="01F31E94" w:rsidR="00E365E1" w:rsidRPr="00DB6134" w:rsidRDefault="00E365E1" w:rsidP="00A41EB0"/>
    <w:sectPr w:rsidR="00E365E1" w:rsidRPr="00DB6134" w:rsidSect="00DB6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0CC4" w14:textId="77777777" w:rsidR="00A41EB0" w:rsidRPr="00DB6134" w:rsidRDefault="00A41EB0">
      <w:r w:rsidRPr="00DB6134">
        <w:separator/>
      </w:r>
    </w:p>
  </w:endnote>
  <w:endnote w:type="continuationSeparator" w:id="0">
    <w:p w14:paraId="2617EF94" w14:textId="77777777" w:rsidR="00A41EB0" w:rsidRPr="00DB6134" w:rsidRDefault="00A41EB0">
      <w:r w:rsidRPr="00DB61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E00F" w14:textId="77777777" w:rsidR="00064002" w:rsidRPr="00DB61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4D75" w14:textId="77777777" w:rsidR="00064002" w:rsidRPr="00DB61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44F3" w14:textId="77777777" w:rsidR="00064002" w:rsidRPr="00DB61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A1A87" w14:textId="77777777" w:rsidR="00A41EB0" w:rsidRPr="00DB6134" w:rsidRDefault="00A41EB0">
      <w:r w:rsidRPr="00DB6134">
        <w:separator/>
      </w:r>
    </w:p>
  </w:footnote>
  <w:footnote w:type="continuationSeparator" w:id="0">
    <w:p w14:paraId="5103F2FB" w14:textId="77777777" w:rsidR="00A41EB0" w:rsidRPr="00DB6134" w:rsidRDefault="00A41EB0">
      <w:r w:rsidRPr="00DB6134">
        <w:continuationSeparator/>
      </w:r>
    </w:p>
  </w:footnote>
  <w:footnote w:id="1">
    <w:p w14:paraId="60A4EFD4" w14:textId="23CC9613" w:rsidR="00247725" w:rsidRPr="00247725" w:rsidRDefault="00247725" w:rsidP="00DB613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47725">
        <w:rPr>
          <w:sz w:val="24"/>
          <w:vertAlign w:val="superscript"/>
          <w:lang w:val="fi-FI"/>
        </w:rPr>
        <w:t xml:space="preserve"> </w:t>
      </w:r>
      <w:r w:rsidRPr="00247725">
        <w:rPr>
          <w:sz w:val="24"/>
          <w:vertAlign w:val="superscript"/>
          <w:lang w:val="fi-FI"/>
        </w:rPr>
        <w:tab/>
      </w:r>
      <w:proofErr w:type="spellStart"/>
      <w:r w:rsidRPr="00247725">
        <w:rPr>
          <w:sz w:val="24"/>
          <w:lang w:val="fi-FI"/>
        </w:rPr>
        <w:t>Dz.U</w:t>
      </w:r>
      <w:proofErr w:type="spellEnd"/>
      <w:r w:rsidRPr="00247725">
        <w:rPr>
          <w:sz w:val="24"/>
          <w:lang w:val="fi-FI"/>
        </w:rPr>
        <w:t xml:space="preserve">. L, 2024/1689, 12.7.2024, ELI: </w:t>
      </w:r>
      <w:hyperlink r:id="rId1" w:tgtFrame="http://data.europa.eu/eli/reg/2024/1689/oj" w:history="1">
        <w:r w:rsidRPr="00247725">
          <w:rPr>
            <w:rStyle w:val="Hyperlink"/>
            <w:sz w:val="24"/>
            <w:lang w:val="fi-FI"/>
          </w:rPr>
          <w:t>http://data.europa.eu/eli/reg/2024/1689/oj</w:t>
        </w:r>
      </w:hyperlink>
      <w:r w:rsidRPr="00247725">
        <w:rPr>
          <w:sz w:val="24"/>
          <w:lang w:val="fi-FI"/>
        </w:rPr>
        <w:t>.</w:t>
      </w:r>
    </w:p>
  </w:footnote>
  <w:footnote w:id="2">
    <w:p w14:paraId="4E7CB230" w14:textId="2E67AC15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Dz.U. L 119 z </w:t>
      </w:r>
      <w:proofErr w:type="gramStart"/>
      <w:r w:rsidRPr="00DB6134">
        <w:rPr>
          <w:sz w:val="24"/>
          <w:lang w:val="pl-PL"/>
        </w:rPr>
        <w:t>4.5.2016</w:t>
      </w:r>
      <w:proofErr w:type="gramEnd"/>
      <w:r w:rsidRPr="00DB6134">
        <w:rPr>
          <w:sz w:val="24"/>
          <w:lang w:val="pl-PL"/>
        </w:rPr>
        <w:t xml:space="preserve">, s. 1, ELI: </w:t>
      </w:r>
      <w:hyperlink r:id="rId2" w:tgtFrame="http://data.europa.eu/eli/reg/2016/679/oj" w:history="1">
        <w:r w:rsidRPr="00DB6134">
          <w:rPr>
            <w:rStyle w:val="Hyperlink"/>
            <w:sz w:val="24"/>
            <w:lang w:val="pl-PL"/>
          </w:rPr>
          <w:t>http://data.europa.eu/eli/reg/2016/679/oj</w:t>
        </w:r>
      </w:hyperlink>
      <w:r w:rsidRPr="00DB6134">
        <w:rPr>
          <w:sz w:val="24"/>
          <w:lang w:val="pl-PL"/>
        </w:rPr>
        <w:t>.</w:t>
      </w:r>
    </w:p>
  </w:footnote>
  <w:footnote w:id="3">
    <w:p w14:paraId="608FD0AF" w14:textId="4B743D9C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Dz.U. L 229 z </w:t>
      </w:r>
      <w:proofErr w:type="gramStart"/>
      <w:r w:rsidRPr="00DB6134">
        <w:rPr>
          <w:sz w:val="24"/>
          <w:lang w:val="pl-PL"/>
        </w:rPr>
        <w:t>18.9.2023</w:t>
      </w:r>
      <w:proofErr w:type="gramEnd"/>
      <w:r w:rsidRPr="00DB6134">
        <w:rPr>
          <w:sz w:val="24"/>
          <w:lang w:val="pl-PL"/>
        </w:rPr>
        <w:t xml:space="preserve">, s. 1, ELI: </w:t>
      </w:r>
      <w:hyperlink r:id="rId3" w:tgtFrame="http://data.europa.eu/eli/reg/2023/1781/oj" w:history="1">
        <w:r w:rsidRPr="00DB6134">
          <w:rPr>
            <w:rStyle w:val="Hyperlink"/>
            <w:sz w:val="24"/>
            <w:lang w:val="pl-PL"/>
          </w:rPr>
          <w:t>http://data.europa.eu/eli/reg/2023/1781/oj</w:t>
        </w:r>
      </w:hyperlink>
      <w:r w:rsidRPr="00DB6134">
        <w:rPr>
          <w:sz w:val="24"/>
          <w:lang w:val="pl-PL"/>
        </w:rPr>
        <w:t>.</w:t>
      </w:r>
    </w:p>
  </w:footnote>
  <w:footnote w:id="4">
    <w:p w14:paraId="681C9A5B" w14:textId="15DB28B6" w:rsidR="00247725" w:rsidRPr="00247725" w:rsidRDefault="00247725" w:rsidP="00DB613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47725">
        <w:rPr>
          <w:sz w:val="24"/>
          <w:vertAlign w:val="superscript"/>
          <w:lang w:val="fi-FI"/>
        </w:rPr>
        <w:t xml:space="preserve"> </w:t>
      </w:r>
      <w:r w:rsidRPr="00247725">
        <w:rPr>
          <w:sz w:val="24"/>
          <w:vertAlign w:val="superscript"/>
          <w:lang w:val="fi-FI"/>
        </w:rPr>
        <w:tab/>
      </w:r>
      <w:proofErr w:type="spellStart"/>
      <w:r w:rsidRPr="00247725">
        <w:rPr>
          <w:sz w:val="24"/>
          <w:lang w:val="fi-FI"/>
        </w:rPr>
        <w:t>Dz.U</w:t>
      </w:r>
      <w:proofErr w:type="spellEnd"/>
      <w:r w:rsidRPr="00247725">
        <w:rPr>
          <w:sz w:val="24"/>
          <w:lang w:val="fi-FI"/>
        </w:rPr>
        <w:t xml:space="preserve">. L, 2024/1252, 3.5.2024, ELI: </w:t>
      </w:r>
      <w:hyperlink r:id="rId4" w:tgtFrame="http://data.europa.eu/eli/reg/2024/1252/oj" w:history="1">
        <w:r w:rsidRPr="00247725">
          <w:rPr>
            <w:rStyle w:val="Hyperlink"/>
            <w:sz w:val="24"/>
            <w:lang w:val="fi-FI"/>
          </w:rPr>
          <w:t>http://data.europa.eu/eli/reg/2024/1252/oj</w:t>
        </w:r>
      </w:hyperlink>
      <w:r w:rsidRPr="00247725">
        <w:rPr>
          <w:sz w:val="24"/>
          <w:lang w:val="fi-FI"/>
        </w:rPr>
        <w:t>.</w:t>
      </w:r>
    </w:p>
  </w:footnote>
  <w:footnote w:id="5">
    <w:p w14:paraId="5CF23919" w14:textId="6DACAE46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>Dz.U. L 79</w:t>
      </w:r>
      <w:r w:rsidR="00174260">
        <w:rPr>
          <w:sz w:val="24"/>
          <w:lang w:val="pl-PL"/>
        </w:rPr>
        <w:t xml:space="preserve"> </w:t>
      </w:r>
      <w:r w:rsidRPr="00DB6134">
        <w:rPr>
          <w:sz w:val="24"/>
          <w:lang w:val="pl-PL"/>
        </w:rPr>
        <w:t xml:space="preserve">I z </w:t>
      </w:r>
      <w:proofErr w:type="gramStart"/>
      <w:r w:rsidRPr="00DB6134">
        <w:rPr>
          <w:sz w:val="24"/>
          <w:lang w:val="pl-PL"/>
        </w:rPr>
        <w:t>21.3.2019</w:t>
      </w:r>
      <w:proofErr w:type="gramEnd"/>
      <w:r w:rsidRPr="00DB6134">
        <w:rPr>
          <w:sz w:val="24"/>
          <w:lang w:val="pl-PL"/>
        </w:rPr>
        <w:t xml:space="preserve">, s. 1, ELI: </w:t>
      </w:r>
      <w:hyperlink r:id="rId5" w:tgtFrame="http://data.europa.eu/eli/reg/2019/452/oj" w:history="1">
        <w:r w:rsidRPr="00DB6134">
          <w:rPr>
            <w:rStyle w:val="Hyperlink"/>
            <w:sz w:val="24"/>
            <w:lang w:val="pl-PL"/>
          </w:rPr>
          <w:t>http://data.europa.eu/eli/reg/2019/452/oj</w:t>
        </w:r>
      </w:hyperlink>
      <w:r w:rsidRPr="00DB6134">
        <w:rPr>
          <w:sz w:val="24"/>
          <w:lang w:val="pl-PL"/>
        </w:rPr>
        <w:t>.</w:t>
      </w:r>
    </w:p>
  </w:footnote>
  <w:footnote w:id="6">
    <w:p w14:paraId="434C83CD" w14:textId="05C471E6" w:rsidR="00247725" w:rsidRPr="00247725" w:rsidRDefault="00247725" w:rsidP="00DB613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47725">
        <w:rPr>
          <w:sz w:val="24"/>
          <w:vertAlign w:val="superscript"/>
          <w:lang w:val="fi-FI"/>
        </w:rPr>
        <w:t xml:space="preserve"> </w:t>
      </w:r>
      <w:r w:rsidRPr="00247725">
        <w:rPr>
          <w:sz w:val="24"/>
          <w:vertAlign w:val="superscript"/>
          <w:lang w:val="fi-FI"/>
        </w:rPr>
        <w:tab/>
      </w:r>
      <w:proofErr w:type="spellStart"/>
      <w:r w:rsidRPr="00247725">
        <w:rPr>
          <w:sz w:val="24"/>
          <w:lang w:val="fi-FI"/>
        </w:rPr>
        <w:t>Dz.U</w:t>
      </w:r>
      <w:proofErr w:type="spellEnd"/>
      <w:r w:rsidRPr="00247725">
        <w:rPr>
          <w:sz w:val="24"/>
          <w:lang w:val="fi-FI"/>
        </w:rPr>
        <w:t xml:space="preserve">. L, 2023/2675, 7.12.2023, ELI: </w:t>
      </w:r>
      <w:hyperlink r:id="rId6" w:tgtFrame="http://data.europa.eu/eli/reg/2023/2675/oj" w:history="1">
        <w:r w:rsidRPr="00247725">
          <w:rPr>
            <w:rStyle w:val="Hyperlink"/>
            <w:sz w:val="24"/>
            <w:lang w:val="fi-FI"/>
          </w:rPr>
          <w:t>http://data.europa.eu/eli/reg/2023/2675/oj</w:t>
        </w:r>
      </w:hyperlink>
      <w:r w:rsidRPr="00247725">
        <w:rPr>
          <w:sz w:val="24"/>
          <w:lang w:val="fi-FI"/>
        </w:rPr>
        <w:t>.</w:t>
      </w:r>
    </w:p>
  </w:footnote>
  <w:footnote w:id="7">
    <w:p w14:paraId="5FB4E321" w14:textId="0CE3745D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Dz.U. L 206 z </w:t>
      </w:r>
      <w:proofErr w:type="gramStart"/>
      <w:r w:rsidRPr="00DB6134">
        <w:rPr>
          <w:sz w:val="24"/>
          <w:lang w:val="pl-PL"/>
        </w:rPr>
        <w:t>11.6.2021</w:t>
      </w:r>
      <w:proofErr w:type="gramEnd"/>
      <w:r w:rsidRPr="00DB6134">
        <w:rPr>
          <w:sz w:val="24"/>
          <w:lang w:val="pl-PL"/>
        </w:rPr>
        <w:t xml:space="preserve">, s. 1, ELI: </w:t>
      </w:r>
      <w:hyperlink r:id="rId7" w:tgtFrame="http://data.europa.eu/eli/reg/2021/821/oj" w:history="1">
        <w:r w:rsidRPr="00DB6134">
          <w:rPr>
            <w:rStyle w:val="Hyperlink"/>
            <w:sz w:val="24"/>
            <w:lang w:val="pl-PL"/>
          </w:rPr>
          <w:t>http://data.europa.eu/eli/reg/2021/821/oj</w:t>
        </w:r>
      </w:hyperlink>
      <w:r w:rsidRPr="00DB6134">
        <w:rPr>
          <w:sz w:val="24"/>
          <w:lang w:val="pl-PL"/>
        </w:rPr>
        <w:t>.</w:t>
      </w:r>
    </w:p>
  </w:footnote>
  <w:footnote w:id="8">
    <w:p w14:paraId="33D95B9E" w14:textId="4373519C" w:rsidR="00247725" w:rsidRPr="00247725" w:rsidRDefault="00247725" w:rsidP="00DB613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47725">
        <w:rPr>
          <w:sz w:val="24"/>
          <w:vertAlign w:val="superscript"/>
          <w:lang w:val="fi-FI"/>
        </w:rPr>
        <w:t xml:space="preserve"> </w:t>
      </w:r>
      <w:r w:rsidRPr="00247725">
        <w:rPr>
          <w:sz w:val="24"/>
          <w:vertAlign w:val="superscript"/>
          <w:lang w:val="fi-FI"/>
        </w:rPr>
        <w:tab/>
      </w:r>
      <w:proofErr w:type="spellStart"/>
      <w:r w:rsidRPr="00247725">
        <w:rPr>
          <w:sz w:val="24"/>
          <w:lang w:val="fi-FI"/>
        </w:rPr>
        <w:t>Dz.U</w:t>
      </w:r>
      <w:proofErr w:type="spellEnd"/>
      <w:r w:rsidRPr="00247725">
        <w:rPr>
          <w:sz w:val="24"/>
          <w:lang w:val="fi-FI"/>
        </w:rPr>
        <w:t xml:space="preserve">. C, C/2026/1436, 31.3.2026, ELI: </w:t>
      </w:r>
      <w:hyperlink r:id="rId8" w:tgtFrame="http://data.europa.eu/eli/C/2026/1436/oj" w:history="1">
        <w:r w:rsidRPr="00247725">
          <w:rPr>
            <w:rStyle w:val="Hyperlink"/>
            <w:sz w:val="24"/>
            <w:lang w:val="fi-FI"/>
          </w:rPr>
          <w:t>http://data.europa.eu/eli/C/2026/1436/oj</w:t>
        </w:r>
      </w:hyperlink>
      <w:r w:rsidRPr="00247725">
        <w:rPr>
          <w:sz w:val="24"/>
          <w:lang w:val="fi-FI"/>
        </w:rPr>
        <w:t>.</w:t>
      </w:r>
    </w:p>
  </w:footnote>
  <w:footnote w:id="9">
    <w:p w14:paraId="70E10680" w14:textId="6EF8A5B2" w:rsidR="00247725" w:rsidRPr="00247725" w:rsidRDefault="00247725" w:rsidP="00DB6134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47725">
        <w:rPr>
          <w:sz w:val="24"/>
          <w:vertAlign w:val="superscript"/>
          <w:lang w:val="fi-FI"/>
        </w:rPr>
        <w:t xml:space="preserve"> </w:t>
      </w:r>
      <w:r w:rsidRPr="00247725">
        <w:rPr>
          <w:sz w:val="24"/>
          <w:vertAlign w:val="superscript"/>
          <w:lang w:val="fi-FI"/>
        </w:rPr>
        <w:tab/>
      </w:r>
      <w:proofErr w:type="spellStart"/>
      <w:r w:rsidRPr="00247725">
        <w:rPr>
          <w:sz w:val="24"/>
          <w:lang w:val="fi-FI"/>
        </w:rPr>
        <w:t>Dz.U</w:t>
      </w:r>
      <w:proofErr w:type="spellEnd"/>
      <w:r w:rsidRPr="00247725">
        <w:rPr>
          <w:sz w:val="24"/>
          <w:lang w:val="fi-FI"/>
        </w:rPr>
        <w:t xml:space="preserve">. C, C/2026/1674, 22.4.2026, ELI: </w:t>
      </w:r>
      <w:hyperlink r:id="rId9" w:tgtFrame="http://data.europa.eu/eli/C/2026/1674/oj" w:history="1">
        <w:r w:rsidRPr="00247725">
          <w:rPr>
            <w:rStyle w:val="Hyperlink"/>
            <w:sz w:val="24"/>
            <w:lang w:val="fi-FI"/>
          </w:rPr>
          <w:t>http://data.europa.eu/eli/C/2026/1674/oj</w:t>
        </w:r>
      </w:hyperlink>
      <w:r w:rsidRPr="00247725">
        <w:rPr>
          <w:sz w:val="24"/>
          <w:lang w:val="fi-FI"/>
        </w:rPr>
        <w:t>.</w:t>
      </w:r>
    </w:p>
  </w:footnote>
  <w:footnote w:id="10">
    <w:p w14:paraId="5740A934" w14:textId="0B8E1499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Dyrektywa Parlamentu Europejskiego i Rady (UE) 2024/1760 z dnia 13 czerwca 2024 r. w sprawie należytej staranności przedsiębiorstw w zakresie zrównoważonego rozwoju oraz zmieniająca dyrektywę (UE) 2019/1937 i rozporządzenie (UE) 2023/2859 (Dz.U. L, 2024/1760, </w:t>
      </w:r>
      <w:proofErr w:type="gramStart"/>
      <w:r w:rsidRPr="00DB6134">
        <w:rPr>
          <w:sz w:val="24"/>
          <w:lang w:val="pl-PL"/>
        </w:rPr>
        <w:t>5.7.2024</w:t>
      </w:r>
      <w:proofErr w:type="gramEnd"/>
      <w:r w:rsidRPr="00DB6134">
        <w:rPr>
          <w:sz w:val="24"/>
          <w:lang w:val="pl-PL"/>
        </w:rPr>
        <w:t xml:space="preserve">, ELI: </w:t>
      </w:r>
      <w:hyperlink r:id="rId10" w:tgtFrame="http://data.europa.eu/eli/dir/2024/1760/oj" w:history="1">
        <w:r w:rsidRPr="00DB6134">
          <w:rPr>
            <w:rStyle w:val="Hyperlink"/>
            <w:sz w:val="24"/>
            <w:lang w:val="pl-PL"/>
          </w:rPr>
          <w:t>http://data.europa.eu/eli/dir/2024/1760/oj</w:t>
        </w:r>
      </w:hyperlink>
      <w:r w:rsidRPr="00DB6134">
        <w:rPr>
          <w:sz w:val="24"/>
          <w:lang w:val="pl-PL"/>
        </w:rPr>
        <w:t>).</w:t>
      </w:r>
    </w:p>
  </w:footnote>
  <w:footnote w:id="11">
    <w:p w14:paraId="16EFC952" w14:textId="537D1885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>Rozporządzenie Parlamentu Europejskiego i Rady (UE) 2023/1115 z dnia 31 maja 2023 r. w sprawie udostępniania na rynku unijnym i wywozu z Unii niektórych towarów i produktów związanych z wylesianiem i degradacją lasów oraz uchylenia rozporządzenia (UE) nr 995/2010 (Dz.U. L 150 z </w:t>
      </w:r>
      <w:proofErr w:type="gramStart"/>
      <w:r w:rsidRPr="00DB6134">
        <w:rPr>
          <w:sz w:val="24"/>
          <w:lang w:val="pl-PL"/>
        </w:rPr>
        <w:t>9.6.2023</w:t>
      </w:r>
      <w:proofErr w:type="gramEnd"/>
      <w:r w:rsidRPr="00DB6134">
        <w:rPr>
          <w:sz w:val="24"/>
          <w:lang w:val="pl-PL"/>
        </w:rPr>
        <w:t xml:space="preserve">, s. 206, ELI: </w:t>
      </w:r>
      <w:hyperlink r:id="rId11" w:tgtFrame="http://data.europa.eu/eli/reg/2023/1115/oj" w:history="1">
        <w:r w:rsidRPr="00DB6134">
          <w:rPr>
            <w:rStyle w:val="Hyperlink"/>
            <w:sz w:val="24"/>
            <w:lang w:val="pl-PL"/>
          </w:rPr>
          <w:t>http://data.europa.eu/eli/reg/2023/1115/oj</w:t>
        </w:r>
      </w:hyperlink>
      <w:r w:rsidRPr="00DB6134">
        <w:rPr>
          <w:sz w:val="24"/>
          <w:lang w:val="pl-PL"/>
        </w:rPr>
        <w:t>).</w:t>
      </w:r>
    </w:p>
  </w:footnote>
  <w:footnote w:id="12">
    <w:p w14:paraId="7FBDA2A0" w14:textId="20146A2C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Rozporządzenie Parlamentu Europejskiego i Rady (UE) 2024/3015 z dnia 27 listopada 2024 r. w sprawie zakazu produktów wytwarzanych z wykorzystaniem pracy przymusowej na rynku unijnym i zmiany dyrektywy (UE) 2019/1937 (Dz.U. L, 2024/3015, 12.12.2024, ELI: </w:t>
      </w:r>
      <w:hyperlink r:id="rId12" w:tgtFrame="http://data.europa.eu/eli/reg/2024/3015/oj" w:history="1">
        <w:r w:rsidRPr="00DB6134">
          <w:rPr>
            <w:rStyle w:val="Hyperlink"/>
            <w:sz w:val="24"/>
            <w:lang w:val="pl-PL"/>
          </w:rPr>
          <w:t>http://data.europa.eu/eli/reg/2024/3015/oj</w:t>
        </w:r>
      </w:hyperlink>
      <w:r w:rsidRPr="00DB6134">
        <w:rPr>
          <w:sz w:val="24"/>
          <w:lang w:val="pl-PL"/>
        </w:rPr>
        <w:t>).</w:t>
      </w:r>
    </w:p>
  </w:footnote>
  <w:footnote w:id="13">
    <w:p w14:paraId="23BCD368" w14:textId="334D1493" w:rsidR="00247725" w:rsidRPr="00DB6134" w:rsidRDefault="00247725" w:rsidP="00DB6134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DB6134">
        <w:rPr>
          <w:sz w:val="24"/>
          <w:vertAlign w:val="superscript"/>
          <w:lang w:val="pl-PL"/>
        </w:rPr>
        <w:t xml:space="preserve"> </w:t>
      </w:r>
      <w:r w:rsidRPr="00DB6134">
        <w:rPr>
          <w:sz w:val="24"/>
          <w:vertAlign w:val="superscript"/>
          <w:lang w:val="pl-PL"/>
        </w:rPr>
        <w:tab/>
      </w:r>
      <w:r w:rsidRPr="00DB6134">
        <w:rPr>
          <w:sz w:val="24"/>
          <w:lang w:val="pl-PL"/>
        </w:rPr>
        <w:t xml:space="preserve">Rozporządzenie Parlamentu Europejskiego i Rady (UE) 2023/988 z dnia 10 maja 2023 r. w sprawie ogólnego bezpieczeństwa produktów, zmieniające rozporządzenie Parlamentu Europejskiego i Rady (UE) nr 1025/2012 i dyrektywę Parlamentu Europejskiego i Rady (UE) 2020/1828 oraz uchylające dyrektywę 2001/95/WE Parlamentu Europejskiego i Rady i dyrektywę Rady 87/357/EWG (Dz.U. L 135 z 23.5.2023, s. 1; ELI: </w:t>
      </w:r>
      <w:hyperlink r:id="rId13" w:tgtFrame="http://data.europa.eu/eli/reg/2023/988/oj" w:history="1">
        <w:r w:rsidRPr="00DB6134">
          <w:rPr>
            <w:rStyle w:val="Hyperlink"/>
            <w:sz w:val="24"/>
            <w:lang w:val="pl-PL"/>
          </w:rPr>
          <w:t>http://data.europa.eu/eli/reg/2023/988/oj</w:t>
        </w:r>
      </w:hyperlink>
      <w:r w:rsidRPr="00DB6134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348F" w14:textId="77777777" w:rsidR="00064002" w:rsidRPr="00DB61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630F" w14:textId="77777777" w:rsidR="00064002" w:rsidRPr="00DB61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E141" w14:textId="77777777" w:rsidR="00064002" w:rsidRPr="00DB61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1903651">
    <w:abstractNumId w:val="9"/>
  </w:num>
  <w:num w:numId="2" w16cid:durableId="2024159217">
    <w:abstractNumId w:val="9"/>
  </w:num>
  <w:num w:numId="3" w16cid:durableId="974676867">
    <w:abstractNumId w:val="7"/>
  </w:num>
  <w:num w:numId="4" w16cid:durableId="332492072">
    <w:abstractNumId w:val="7"/>
  </w:num>
  <w:num w:numId="5" w16cid:durableId="299851454">
    <w:abstractNumId w:val="6"/>
  </w:num>
  <w:num w:numId="6" w16cid:durableId="1482428854">
    <w:abstractNumId w:val="6"/>
  </w:num>
  <w:num w:numId="7" w16cid:durableId="1570263300">
    <w:abstractNumId w:val="5"/>
  </w:num>
  <w:num w:numId="8" w16cid:durableId="961962120">
    <w:abstractNumId w:val="5"/>
  </w:num>
  <w:num w:numId="9" w16cid:durableId="1928073944">
    <w:abstractNumId w:val="4"/>
  </w:num>
  <w:num w:numId="10" w16cid:durableId="405230567">
    <w:abstractNumId w:val="4"/>
  </w:num>
  <w:num w:numId="11" w16cid:durableId="1171676566">
    <w:abstractNumId w:val="8"/>
  </w:num>
  <w:num w:numId="12" w16cid:durableId="262343256">
    <w:abstractNumId w:val="8"/>
  </w:num>
  <w:num w:numId="13" w16cid:durableId="1027829321">
    <w:abstractNumId w:val="3"/>
  </w:num>
  <w:num w:numId="14" w16cid:durableId="1301377819">
    <w:abstractNumId w:val="3"/>
  </w:num>
  <w:num w:numId="15" w16cid:durableId="2108308129">
    <w:abstractNumId w:val="2"/>
  </w:num>
  <w:num w:numId="16" w16cid:durableId="1321422521">
    <w:abstractNumId w:val="2"/>
  </w:num>
  <w:num w:numId="17" w16cid:durableId="455564583">
    <w:abstractNumId w:val="1"/>
  </w:num>
  <w:num w:numId="18" w16cid:durableId="1609043274">
    <w:abstractNumId w:val="1"/>
  </w:num>
  <w:num w:numId="19" w16cid:durableId="954946926">
    <w:abstractNumId w:val="0"/>
  </w:num>
  <w:num w:numId="20" w16cid:durableId="1486123272">
    <w:abstractNumId w:val="0"/>
  </w:num>
  <w:num w:numId="21" w16cid:durableId="1235701408">
    <w:abstractNumId w:val="9"/>
  </w:num>
  <w:num w:numId="22" w16cid:durableId="1964338488">
    <w:abstractNumId w:val="7"/>
  </w:num>
  <w:num w:numId="23" w16cid:durableId="252590205">
    <w:abstractNumId w:val="6"/>
  </w:num>
  <w:num w:numId="24" w16cid:durableId="1695769836">
    <w:abstractNumId w:val="5"/>
  </w:num>
  <w:num w:numId="25" w16cid:durableId="684941008">
    <w:abstractNumId w:val="4"/>
  </w:num>
  <w:num w:numId="26" w16cid:durableId="132913297">
    <w:abstractNumId w:val="8"/>
  </w:num>
  <w:num w:numId="27" w16cid:durableId="1178277327">
    <w:abstractNumId w:val="3"/>
  </w:num>
  <w:num w:numId="28" w16cid:durableId="1819613402">
    <w:abstractNumId w:val="2"/>
  </w:num>
  <w:num w:numId="29" w16cid:durableId="323895749">
    <w:abstractNumId w:val="1"/>
  </w:num>
  <w:num w:numId="30" w16cid:durableId="1595817696">
    <w:abstractNumId w:val="0"/>
  </w:num>
  <w:num w:numId="31" w16cid:durableId="1942178307">
    <w:abstractNumId w:val="9"/>
  </w:num>
  <w:num w:numId="32" w16cid:durableId="476847770">
    <w:abstractNumId w:val="7"/>
  </w:num>
  <w:num w:numId="33" w16cid:durableId="218790632">
    <w:abstractNumId w:val="6"/>
  </w:num>
  <w:num w:numId="34" w16cid:durableId="1655254697">
    <w:abstractNumId w:val="5"/>
  </w:num>
  <w:num w:numId="35" w16cid:durableId="299575634">
    <w:abstractNumId w:val="4"/>
  </w:num>
  <w:num w:numId="36" w16cid:durableId="1037193126">
    <w:abstractNumId w:val="8"/>
  </w:num>
  <w:num w:numId="37" w16cid:durableId="175077634">
    <w:abstractNumId w:val="3"/>
  </w:num>
  <w:num w:numId="38" w16cid:durableId="1205949753">
    <w:abstractNumId w:val="2"/>
  </w:num>
  <w:num w:numId="39" w16cid:durableId="937443375">
    <w:abstractNumId w:val="1"/>
  </w:num>
  <w:num w:numId="40" w16cid:durableId="246235874">
    <w:abstractNumId w:val="0"/>
  </w:num>
  <w:num w:numId="41" w16cid:durableId="1569026526">
    <w:abstractNumId w:val="10"/>
  </w:num>
  <w:num w:numId="42" w16cid:durableId="158887921">
    <w:abstractNumId w:val="10"/>
  </w:num>
  <w:num w:numId="43" w16cid:durableId="807673412">
    <w:abstractNumId w:val="10"/>
  </w:num>
  <w:num w:numId="44" w16cid:durableId="1949746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6"/>
    <w:docVar w:name="dvlangue" w:val="PL"/>
    <w:docVar w:name="dvnumam" w:val="0"/>
    <w:docVar w:name="dvpe" w:val="784.156"/>
    <w:docVar w:name="dvrapporteur" w:val="Sprawozdawca: "/>
    <w:docVar w:name="dvstar" w:val="??"/>
    <w:docVar w:name="dvtitre" w:val="Rezolucja Parlamentu Europejskiego z dnia  2026 r. w sprawie szans i wyzwań związanych z kompleksową strategią w dziedzinie sztucznej inteligencji dla handlu UE(2025/2112(INI))"/>
  </w:docVars>
  <w:rsids>
    <w:rsidRoot w:val="00A41EB0"/>
    <w:rsid w:val="00002272"/>
    <w:rsid w:val="00064002"/>
    <w:rsid w:val="000677B9"/>
    <w:rsid w:val="000831BA"/>
    <w:rsid w:val="000A42CC"/>
    <w:rsid w:val="000E7DD9"/>
    <w:rsid w:val="0010095E"/>
    <w:rsid w:val="00125B37"/>
    <w:rsid w:val="00174260"/>
    <w:rsid w:val="00187494"/>
    <w:rsid w:val="001F32AE"/>
    <w:rsid w:val="0024772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E2F"/>
    <w:rsid w:val="00545827"/>
    <w:rsid w:val="00560270"/>
    <w:rsid w:val="00581E2A"/>
    <w:rsid w:val="005C2568"/>
    <w:rsid w:val="005F1B17"/>
    <w:rsid w:val="006037C0"/>
    <w:rsid w:val="006631B6"/>
    <w:rsid w:val="00680577"/>
    <w:rsid w:val="00684810"/>
    <w:rsid w:val="006F74FA"/>
    <w:rsid w:val="00731ADD"/>
    <w:rsid w:val="00734777"/>
    <w:rsid w:val="00747932"/>
    <w:rsid w:val="00751A4A"/>
    <w:rsid w:val="00756632"/>
    <w:rsid w:val="00762C74"/>
    <w:rsid w:val="007745F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EB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6F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84B"/>
    <w:rsid w:val="00D834A0"/>
    <w:rsid w:val="00D872DF"/>
    <w:rsid w:val="00D91E21"/>
    <w:rsid w:val="00DA7FCD"/>
    <w:rsid w:val="00DB6134"/>
    <w:rsid w:val="00E00CEA"/>
    <w:rsid w:val="00E365E1"/>
    <w:rsid w:val="00E366A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0ADDB"/>
  <w15:chartTrackingRefBased/>
  <w15:docId w15:val="{6987F611-6345-4010-A50C-096CF764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366A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366A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366A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366A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366A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366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6/1436/oj" TargetMode="External"/><Relationship Id="rId13" Type="http://schemas.openxmlformats.org/officeDocument/2006/relationships/hyperlink" Target="http://data.europa.eu/eli/reg/2023/988/oj" TargetMode="External"/><Relationship Id="rId3" Type="http://schemas.openxmlformats.org/officeDocument/2006/relationships/hyperlink" Target="http://data.europa.eu/eli/reg/2023/1781/oj" TargetMode="External"/><Relationship Id="rId7" Type="http://schemas.openxmlformats.org/officeDocument/2006/relationships/hyperlink" Target="http://data.europa.eu/eli/reg/2021/821/oj" TargetMode="External"/><Relationship Id="rId12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/2016/679/oj" TargetMode="External"/><Relationship Id="rId1" Type="http://schemas.openxmlformats.org/officeDocument/2006/relationships/hyperlink" Target="http://data.europa.eu/eli/reg/2024/1689/oj" TargetMode="External"/><Relationship Id="rId6" Type="http://schemas.openxmlformats.org/officeDocument/2006/relationships/hyperlink" Target="http://data.europa.eu/eli/reg/2023/2675/oj" TargetMode="External"/><Relationship Id="rId11" Type="http://schemas.openxmlformats.org/officeDocument/2006/relationships/hyperlink" Target="http://data.europa.eu/eli/reg/2023/1115/oj" TargetMode="External"/><Relationship Id="rId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dir/2024/1760/oj" TargetMode="External"/><Relationship Id="rId4" Type="http://schemas.openxmlformats.org/officeDocument/2006/relationships/hyperlink" Target="http://data.europa.eu/eli/reg/2024/1252/oj" TargetMode="External"/><Relationship Id="rId9" Type="http://schemas.openxmlformats.org/officeDocument/2006/relationships/hyperlink" Target="http://data.europa.eu/eli/C/2026/16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4267</Words>
  <Characters>29006</Characters>
  <Application>Microsoft Office Word</Application>
  <DocSecurity>0</DocSecurity>
  <Lines>241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2026-06-29T08:05:00Z</dcterms:created>
  <dcterms:modified xsi:type="dcterms:W3CDTF">2026-06-29T08:05:00Z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A10-0122/2026</vt:lpwstr>
  </property>
  <property fmtid="{D5CDD505-2E9C-101B-9397-08002B2CF9AE}" pid="4" name="&lt;Type&gt;">
    <vt:lpwstr>RR</vt:lpwstr>
  </property>
</Properties>
</file>