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4F8D" w14:paraId="6C5CC8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23216C" w14:textId="77777777" w:rsidR="00751A4A" w:rsidRPr="00AD4F8D" w:rsidRDefault="009D78CA" w:rsidP="0010095E">
            <w:pPr>
              <w:pStyle w:val="EPName"/>
            </w:pPr>
            <w:r w:rsidRPr="00AD4F8D">
              <w:t>Parlamento Europeu</w:t>
            </w:r>
          </w:p>
          <w:p w14:paraId="21C5FB49" w14:textId="77777777" w:rsidR="00751A4A" w:rsidRPr="00AD4F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4F8D">
              <w:t>2024</w:t>
            </w:r>
            <w:r w:rsidR="00817416" w:rsidRPr="00AD4F8D">
              <w:t>-202</w:t>
            </w:r>
            <w:r w:rsidRPr="00AD4F8D">
              <w:t>9</w:t>
            </w:r>
          </w:p>
        </w:tc>
        <w:tc>
          <w:tcPr>
            <w:tcW w:w="2268" w:type="dxa"/>
            <w:shd w:val="clear" w:color="auto" w:fill="auto"/>
          </w:tcPr>
          <w:p w14:paraId="4345EB32" w14:textId="77777777" w:rsidR="00751A4A" w:rsidRPr="00AD4F8D" w:rsidRDefault="00187494" w:rsidP="0010095E">
            <w:pPr>
              <w:pStyle w:val="EPLogo"/>
            </w:pPr>
            <w:r w:rsidRPr="00AD4F8D">
              <w:rPr>
                <w:noProof/>
                <w:lang w:eastAsia="ja-JP"/>
              </w:rPr>
              <w:drawing>
                <wp:inline distT="0" distB="0" distL="0" distR="0" wp14:anchorId="5D26A3DC" wp14:editId="2E6910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8614C6" w14:textId="77777777" w:rsidR="00D058B8" w:rsidRPr="00AD4F8D" w:rsidRDefault="00D058B8" w:rsidP="004C5D52">
      <w:pPr>
        <w:pStyle w:val="LineTop"/>
      </w:pPr>
    </w:p>
    <w:p w14:paraId="38D7C413" w14:textId="77777777" w:rsidR="00680577" w:rsidRPr="00AD4F8D" w:rsidRDefault="009D78CA" w:rsidP="00680577">
      <w:pPr>
        <w:pStyle w:val="EPBodyTA1"/>
      </w:pPr>
      <w:r w:rsidRPr="00AD4F8D">
        <w:t>TEXTOS APROVADOS</w:t>
      </w:r>
    </w:p>
    <w:p w14:paraId="4889E611" w14:textId="77777777" w:rsidR="00D058B8" w:rsidRPr="00AD4F8D" w:rsidRDefault="00D058B8" w:rsidP="00D058B8">
      <w:pPr>
        <w:pStyle w:val="LineBottom"/>
      </w:pPr>
    </w:p>
    <w:p w14:paraId="6D4BF9DB" w14:textId="2CC25505" w:rsidR="009D78CA" w:rsidRPr="00AD4F8D" w:rsidRDefault="009D78CA" w:rsidP="009D78CA">
      <w:pPr>
        <w:pStyle w:val="ATHeading1"/>
      </w:pPr>
      <w:bookmarkStart w:id="0" w:name="TANumber"/>
      <w:r w:rsidRPr="00AD4F8D">
        <w:t>P10_TA(2026)</w:t>
      </w:r>
      <w:bookmarkEnd w:id="0"/>
      <w:r w:rsidR="0014351A" w:rsidRPr="00AD4F8D">
        <w:t>0183</w:t>
      </w:r>
    </w:p>
    <w:p w14:paraId="16BD450A" w14:textId="77777777" w:rsidR="009D78CA" w:rsidRPr="00AD4F8D" w:rsidRDefault="009D78CA" w:rsidP="009D78CA">
      <w:pPr>
        <w:pStyle w:val="ATHeading2"/>
      </w:pPr>
      <w:bookmarkStart w:id="1" w:name="title"/>
      <w:r w:rsidRPr="00AD4F8D">
        <w:t>Oportunidades e desafios decorrentes de uma estratégia global em matéria de inteligência artificial para o comércio da UE</w:t>
      </w:r>
      <w:bookmarkEnd w:id="1"/>
    </w:p>
    <w:p w14:paraId="760E5B7C" w14:textId="77777777" w:rsidR="009D78CA" w:rsidRPr="00AD4F8D" w:rsidRDefault="009D78CA" w:rsidP="009D78CA">
      <w:pPr>
        <w:rPr>
          <w:i/>
          <w:vanish/>
        </w:rPr>
      </w:pPr>
      <w:r w:rsidRPr="00AD4F8D">
        <w:rPr>
          <w:i/>
        </w:rPr>
        <w:fldChar w:fldCharType="begin"/>
      </w:r>
      <w:r w:rsidRPr="00AD4F8D">
        <w:rPr>
          <w:i/>
        </w:rPr>
        <w:instrText xml:space="preserve"> TC"(</w:instrText>
      </w:r>
      <w:bookmarkStart w:id="2" w:name="DocNumber"/>
      <w:r w:rsidRPr="00AD4F8D">
        <w:rPr>
          <w:i/>
        </w:rPr>
        <w:instrText>A10-0122/2026</w:instrText>
      </w:r>
      <w:bookmarkEnd w:id="2"/>
      <w:r w:rsidRPr="00AD4F8D">
        <w:rPr>
          <w:i/>
        </w:rPr>
        <w:instrText xml:space="preserve"> - Relator: Brando Benifei)"\l3 \n&gt; \* MERGEFORMAT </w:instrText>
      </w:r>
      <w:r w:rsidRPr="00AD4F8D">
        <w:rPr>
          <w:i/>
        </w:rPr>
        <w:fldChar w:fldCharType="end"/>
      </w:r>
    </w:p>
    <w:p w14:paraId="1FD88F7F" w14:textId="77777777" w:rsidR="009D78CA" w:rsidRPr="00AD4F8D" w:rsidRDefault="009D78CA" w:rsidP="009D78CA">
      <w:pPr>
        <w:rPr>
          <w:vanish/>
        </w:rPr>
      </w:pPr>
      <w:bookmarkStart w:id="3" w:name="Commission"/>
      <w:r w:rsidRPr="00AD4F8D">
        <w:rPr>
          <w:vanish/>
        </w:rPr>
        <w:t>Comissão do Comércio Internacional</w:t>
      </w:r>
      <w:bookmarkEnd w:id="3"/>
    </w:p>
    <w:p w14:paraId="5205C0E5" w14:textId="77777777" w:rsidR="009D78CA" w:rsidRPr="00AD4F8D" w:rsidRDefault="009D78CA" w:rsidP="009D78CA">
      <w:pPr>
        <w:rPr>
          <w:vanish/>
        </w:rPr>
      </w:pPr>
      <w:bookmarkStart w:id="4" w:name="PE"/>
      <w:r w:rsidRPr="00AD4F8D">
        <w:rPr>
          <w:vanish/>
        </w:rPr>
        <w:t>PE784.156</w:t>
      </w:r>
      <w:bookmarkEnd w:id="4"/>
    </w:p>
    <w:p w14:paraId="61747C77" w14:textId="7C7B6CB1" w:rsidR="009D78CA" w:rsidRPr="00AD4F8D" w:rsidRDefault="009D78CA" w:rsidP="009D78CA">
      <w:pPr>
        <w:pStyle w:val="ATHeading3"/>
      </w:pPr>
      <w:bookmarkStart w:id="5" w:name="Sujet"/>
      <w:r w:rsidRPr="00AD4F8D">
        <w:t xml:space="preserve">Resolução do Parlamento Europeu, de </w:t>
      </w:r>
      <w:r w:rsidR="002B12B3" w:rsidRPr="00AD4F8D">
        <w:t xml:space="preserve">20 </w:t>
      </w:r>
      <w:r w:rsidRPr="00AD4F8D">
        <w:t xml:space="preserve">de </w:t>
      </w:r>
      <w:r w:rsidR="002B12B3" w:rsidRPr="00AD4F8D">
        <w:t xml:space="preserve">maio </w:t>
      </w:r>
      <w:r w:rsidRPr="00AD4F8D">
        <w:t>de 2026, sobre as oportunidades e desafios decorrentes de uma estratégia global em matéria de inteligência artificial para o comércio da UE</w:t>
      </w:r>
      <w:bookmarkEnd w:id="5"/>
      <w:r w:rsidRPr="00AD4F8D">
        <w:t xml:space="preserve"> </w:t>
      </w:r>
      <w:bookmarkStart w:id="6" w:name="References"/>
      <w:r w:rsidRPr="00AD4F8D">
        <w:t>(2025/2112(INI))</w:t>
      </w:r>
      <w:bookmarkEnd w:id="6"/>
    </w:p>
    <w:p w14:paraId="0866C4EC" w14:textId="77777777" w:rsidR="005675AC" w:rsidRPr="00AD4F8D" w:rsidRDefault="005675AC" w:rsidP="005675AC">
      <w:pPr>
        <w:pStyle w:val="Normal12"/>
      </w:pPr>
      <w:r w:rsidRPr="00AD4F8D">
        <w:t>O Parlamento Europeu,</w:t>
      </w:r>
    </w:p>
    <w:p w14:paraId="699D3CE4" w14:textId="7E3DDBA9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o Regulamento (UE) 2024/1689 do Parlamento Europeu e do Conselho, de 13 de junho de 2024, que cria regras harmonizadas em matéria de inteligência artificial e que altera os Regulamentos (CE) n.º 300/2008, (UE) n.º 167/2013, (UE) n.º 168/2013, (UE) 2018/858, (UE) 2018/1139 e (UE) 2019/2144 e as Diretivas 2014/90/UE, (UE) 2016/797 e (UE) 2020/1828 (Regulamento da Inteligência Artificial)</w:t>
      </w:r>
      <w:r w:rsidR="00685CDC" w:rsidRPr="00AD4F8D">
        <w:rPr>
          <w:rStyle w:val="FootnoteReference"/>
        </w:rPr>
        <w:footnoteReference w:id="1"/>
      </w:r>
      <w:r w:rsidRPr="00AD4F8D">
        <w:t>,</w:t>
      </w:r>
    </w:p>
    <w:p w14:paraId="5035E8A5" w14:textId="4F5CA5DA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o Regulamento (UE) 2016/679 do Parlamento Europeu e do Conselho, de 27 de abril de 2016, relativo à proteção das pessoas singulares no que diz respeito ao tratamento de dados pessoais e à livre circulação desses dados e que revoga a Diretiva 95/46/CE (Regulamento Geral sobre a Proteção de Dados)</w:t>
      </w:r>
      <w:r w:rsidR="00685CDC" w:rsidRPr="00AD4F8D">
        <w:rPr>
          <w:rStyle w:val="FootnoteReference"/>
        </w:rPr>
        <w:footnoteReference w:id="2"/>
      </w:r>
      <w:r w:rsidRPr="00AD4F8D">
        <w:t>,</w:t>
      </w:r>
    </w:p>
    <w:p w14:paraId="3F2AD869" w14:textId="1EE0DFBF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o Regulamento (UE) 2023/1781 do Parlamento Europeu e do Conselho, de 13 de setembro de 2023, que estabelece um regime de medidas para reforçar o ecossistema europeu dos semicondutores e que altera o Regulamento (UE) 2021/694 (Regulamento dos Circuitos Integrados)</w:t>
      </w:r>
      <w:r w:rsidR="00685CDC" w:rsidRPr="00AD4F8D">
        <w:rPr>
          <w:rStyle w:val="FootnoteReference"/>
        </w:rPr>
        <w:footnoteReference w:id="3"/>
      </w:r>
      <w:r w:rsidRPr="00AD4F8D">
        <w:t>,</w:t>
      </w:r>
    </w:p>
    <w:p w14:paraId="69BCFF25" w14:textId="2A9826BA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o Regulamento (UE) 2024/1252 do Parlamento Europeu e do Conselho, de 11 de abril de 2024, que estabelece um regime para garantir um aprovisionamento seguro e sustentável de matérias-primas críticas e que altera os Regulamentos (UE) n.º 168/2013, (UE) 2018/858, (UE) 2018/1724 e (UE) 2019/1020 (Regulamento Matérias-Primas Críticas)</w:t>
      </w:r>
      <w:r w:rsidR="00685CDC" w:rsidRPr="00AD4F8D">
        <w:rPr>
          <w:rStyle w:val="FootnoteReference"/>
        </w:rPr>
        <w:footnoteReference w:id="4"/>
      </w:r>
      <w:r w:rsidRPr="00AD4F8D">
        <w:t>,</w:t>
      </w:r>
    </w:p>
    <w:p w14:paraId="129527D4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 xml:space="preserve">Tendo em conta os resultados da reunião ministerial no domínio dos minerais críticos, realizada em Washington DC, em 4 de fevereiro de 2026, e a cooperação em curso entre a UE e os EUA para diversificar e reforçar cadeias de abastecimento seguras e </w:t>
      </w:r>
      <w:r w:rsidRPr="00AD4F8D">
        <w:lastRenderedPageBreak/>
        <w:t>sustentáveis em matérias-primas críticas, essenciais para a competitividade, as tecnologias avançadas e a resiliência da UE nos mercados mundiais,</w:t>
      </w:r>
    </w:p>
    <w:p w14:paraId="7F25AD61" w14:textId="4C3BC9EE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o Regulamento (UE) 2019/452 do Parlamento Europeu e do Conselho, de 19 de março de 2019, que estabelece um regime de análise dos investimentos diretos estrangeiros na União</w:t>
      </w:r>
      <w:r w:rsidR="00685CDC" w:rsidRPr="00AD4F8D">
        <w:rPr>
          <w:rStyle w:val="FootnoteReference"/>
        </w:rPr>
        <w:footnoteReference w:id="5"/>
      </w:r>
      <w:r w:rsidRPr="00AD4F8D">
        <w:t>,</w:t>
      </w:r>
    </w:p>
    <w:p w14:paraId="6379595F" w14:textId="15951C93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o Regulamento (UE) 2023/2675 do Parlamento Europeu e do Conselho, de 22 de novembro de 2023, relativo à proteção da União e dos seus Estados-Membros contra a coerção económica exercida por países terceiros</w:t>
      </w:r>
      <w:r w:rsidR="00685CDC" w:rsidRPr="00AD4F8D">
        <w:rPr>
          <w:rStyle w:val="FootnoteReference"/>
        </w:rPr>
        <w:footnoteReference w:id="6"/>
      </w:r>
      <w:r w:rsidRPr="00AD4F8D">
        <w:t>,</w:t>
      </w:r>
    </w:p>
    <w:p w14:paraId="41668A85" w14:textId="3F5657DD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o Regulamento (UE) 2021/821 do Parlamento Europeu e do Conselho, de 20 de maio de 2021, que cria um regime da União de controlo das exportações, corretagem, assistência técnica, trânsito e transferências de produtos de dupla utilização</w:t>
      </w:r>
      <w:r w:rsidR="00685CDC" w:rsidRPr="00AD4F8D">
        <w:rPr>
          <w:rStyle w:val="FootnoteReference"/>
        </w:rPr>
        <w:footnoteReference w:id="7"/>
      </w:r>
      <w:r w:rsidRPr="00AD4F8D">
        <w:t xml:space="preserve"> (Regulamento Dupla Utilização),</w:t>
      </w:r>
    </w:p>
    <w:p w14:paraId="15DCF792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a Comunicação da Comissão, de 19 de novembro de 2025, intitulada «Estratégia para uma União dos dados – Desbloquear dados para a IA» (COM(2025)0835),</w:t>
      </w:r>
    </w:p>
    <w:p w14:paraId="59125B0D" w14:textId="45C5DC23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a Comunicação da Comissão, de 24 de janeiro de 2024, intitulada «Promover a segurança económica europeia: introdução a cinco novas iniciativas» (COM(2024)</w:t>
      </w:r>
      <w:r w:rsidR="00BE0379">
        <w:t>00</w:t>
      </w:r>
      <w:r w:rsidRPr="00AD4F8D">
        <w:t>22</w:t>
      </w:r>
      <w:r w:rsidR="00685CDC" w:rsidRPr="00AD4F8D">
        <w:t xml:space="preserve"> final</w:t>
      </w:r>
      <w:r w:rsidRPr="00AD4F8D">
        <w:t>),</w:t>
      </w:r>
    </w:p>
    <w:p w14:paraId="303BF8B6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a Comunicação Conjunta da Comissão e da alta representante da União para os Negócios Estrangeiros e a Política de Segurança, de 3 de dezembro de 2025, intitulada «Reforçar a segurança económica da UE» (JOIN(2025)0977),</w:t>
      </w:r>
    </w:p>
    <w:p w14:paraId="07C122AE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a Comunicação Conjunta da Comissão e da alta representante da União para os Negócios Estrangeiros e a Política de Segurança, de 5 de junho de 2025, intitulada «Uma Estratégia Digital Internacional para a União Europeia» (JOIN(2025)0140),</w:t>
      </w:r>
    </w:p>
    <w:p w14:paraId="175C2868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a Comunicação da Comissão, de 9 de abril de 2025, intitulada «Plano de Ação para um Continente da IA» (COM(2025)0165),</w:t>
      </w:r>
    </w:p>
    <w:p w14:paraId="4586E44A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a Comunicação da Comissão, de 8 de outubro de 2025, intitulada «Estratégia de Aplicação da IA» (COM(2025)0723),</w:t>
      </w:r>
    </w:p>
    <w:p w14:paraId="62F0C1CC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 xml:space="preserve">Tendo em conta o Relatório de Mario </w:t>
      </w:r>
      <w:proofErr w:type="spellStart"/>
      <w:r w:rsidRPr="00AD4F8D">
        <w:t>Draghi</w:t>
      </w:r>
      <w:proofErr w:type="spellEnd"/>
      <w:r w:rsidRPr="00AD4F8D">
        <w:t xml:space="preserve">, de 9 de setembro de 2024, intitulado «The future </w:t>
      </w:r>
      <w:proofErr w:type="spellStart"/>
      <w:r w:rsidRPr="00AD4F8D">
        <w:t>of</w:t>
      </w:r>
      <w:proofErr w:type="spellEnd"/>
      <w:r w:rsidRPr="00AD4F8D">
        <w:t xml:space="preserve"> </w:t>
      </w:r>
      <w:proofErr w:type="spellStart"/>
      <w:r w:rsidRPr="00AD4F8D">
        <w:t>European</w:t>
      </w:r>
      <w:proofErr w:type="spellEnd"/>
      <w:r w:rsidRPr="00AD4F8D">
        <w:t xml:space="preserve"> </w:t>
      </w:r>
      <w:proofErr w:type="spellStart"/>
      <w:r w:rsidRPr="00AD4F8D">
        <w:t>competitiveness</w:t>
      </w:r>
      <w:proofErr w:type="spellEnd"/>
      <w:r w:rsidRPr="00AD4F8D">
        <w:t xml:space="preserve">» [O futuro da competitividade europeia] (Relatório </w:t>
      </w:r>
      <w:proofErr w:type="spellStart"/>
      <w:r w:rsidRPr="00AD4F8D">
        <w:t>Draghi</w:t>
      </w:r>
      <w:proofErr w:type="spellEnd"/>
      <w:r w:rsidRPr="00AD4F8D">
        <w:t>),</w:t>
      </w:r>
    </w:p>
    <w:p w14:paraId="4947A3EC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 xml:space="preserve">Tendo em conta o Relatório de Enrico </w:t>
      </w:r>
      <w:proofErr w:type="spellStart"/>
      <w:r w:rsidRPr="00AD4F8D">
        <w:t>Letta</w:t>
      </w:r>
      <w:proofErr w:type="spellEnd"/>
      <w:r w:rsidRPr="00AD4F8D">
        <w:t>, de 10 de abril de 2024, intitulado «</w:t>
      </w:r>
      <w:proofErr w:type="spellStart"/>
      <w:r w:rsidRPr="00AD4F8D">
        <w:t>Much</w:t>
      </w:r>
      <w:proofErr w:type="spellEnd"/>
      <w:r w:rsidRPr="00AD4F8D">
        <w:t xml:space="preserve"> more </w:t>
      </w:r>
      <w:proofErr w:type="spellStart"/>
      <w:r w:rsidRPr="00AD4F8D">
        <w:t>than</w:t>
      </w:r>
      <w:proofErr w:type="spellEnd"/>
      <w:r w:rsidRPr="00AD4F8D">
        <w:t xml:space="preserve"> a </w:t>
      </w:r>
      <w:proofErr w:type="spellStart"/>
      <w:r w:rsidRPr="00AD4F8D">
        <w:t>market</w:t>
      </w:r>
      <w:proofErr w:type="spellEnd"/>
      <w:r w:rsidRPr="00AD4F8D">
        <w:t xml:space="preserve">» [Muito mais do que um mercado] (Relatório </w:t>
      </w:r>
      <w:proofErr w:type="spellStart"/>
      <w:r w:rsidRPr="00AD4F8D">
        <w:t>Letta</w:t>
      </w:r>
      <w:proofErr w:type="spellEnd"/>
      <w:r w:rsidRPr="00AD4F8D">
        <w:t>),</w:t>
      </w:r>
    </w:p>
    <w:p w14:paraId="5C687564" w14:textId="14ABDC89" w:rsidR="005675AC" w:rsidRPr="00AD4F8D" w:rsidRDefault="005675AC" w:rsidP="005675AC">
      <w:pPr>
        <w:pStyle w:val="NormalHanging"/>
      </w:pPr>
      <w:r w:rsidRPr="00AD4F8D">
        <w:lastRenderedPageBreak/>
        <w:t>–</w:t>
      </w:r>
      <w:r w:rsidRPr="00AD4F8D">
        <w:tab/>
        <w:t>Tendo em conta a sua Resolução, de 9 de julho de 2025, sobre a segurança dos produtos e a conformidade regulamentar no comércio eletrónico e nas importações provenientes de países terceiros</w:t>
      </w:r>
      <w:r w:rsidR="00685CDC" w:rsidRPr="00AD4F8D">
        <w:rPr>
          <w:rStyle w:val="FootnoteReference"/>
        </w:rPr>
        <w:footnoteReference w:id="8"/>
      </w:r>
      <w:r w:rsidRPr="00AD4F8D">
        <w:t>,</w:t>
      </w:r>
    </w:p>
    <w:p w14:paraId="2E6C634F" w14:textId="7A2B4DDC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a sua Resolução, de 13 de novembro de 2025, sobre o projeto de decisão do Conselho relativa à celebração do Acordo sobre Comércio Digital entre a União Europeia e a República de Singapura</w:t>
      </w:r>
      <w:r w:rsidR="00685CDC" w:rsidRPr="00AD4F8D">
        <w:rPr>
          <w:rStyle w:val="FootnoteReference"/>
        </w:rPr>
        <w:footnoteReference w:id="9"/>
      </w:r>
      <w:r w:rsidRPr="00AD4F8D">
        <w:t>,</w:t>
      </w:r>
    </w:p>
    <w:p w14:paraId="0F2A8958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o papel fundamental desempenhado pela Organização Mundial do Comércio (OMC) na defesa de um sistema comercial multilateral baseado em regras e a sua importância para a implantação de tecnologias emergentes, incluindo a inteligência artificial, no comércio internacional,</w:t>
      </w:r>
    </w:p>
    <w:p w14:paraId="6DE3BEEC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as regras da OMC, nomeadamente os princípios da não discriminação e da transparência em matéria de restrições à exportação,</w:t>
      </w:r>
    </w:p>
    <w:p w14:paraId="5520484A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o artigo 55.º do seu Regimento,</w:t>
      </w:r>
    </w:p>
    <w:p w14:paraId="52820FBB" w14:textId="77777777" w:rsidR="005675AC" w:rsidRPr="00AD4F8D" w:rsidRDefault="005675AC" w:rsidP="005675AC">
      <w:pPr>
        <w:pStyle w:val="NormalHanging"/>
      </w:pPr>
      <w:r w:rsidRPr="00AD4F8D">
        <w:t>–</w:t>
      </w:r>
      <w:r w:rsidRPr="00AD4F8D">
        <w:tab/>
        <w:t>Tendo em conta o relatório da Comissão do Comércio Internacional (A10-0122/2026),</w:t>
      </w:r>
    </w:p>
    <w:p w14:paraId="62A25265" w14:textId="44DBDAF3" w:rsidR="005675AC" w:rsidRPr="00AD4F8D" w:rsidRDefault="005675AC" w:rsidP="005675AC">
      <w:pPr>
        <w:pStyle w:val="NormalHanging"/>
      </w:pPr>
      <w:r w:rsidRPr="00AD4F8D">
        <w:t>A.</w:t>
      </w:r>
      <w:r w:rsidRPr="00AD4F8D">
        <w:tab/>
        <w:t>Considerando que a inteligência artificial (IA) é uma tecnologia de finalidade geral que reformula o comércio de bens, serviços e fluxos de dados da UE</w:t>
      </w:r>
      <w:r w:rsidR="00E330B7" w:rsidRPr="00AD4F8D">
        <w:t>; considerando que</w:t>
      </w:r>
      <w:r w:rsidRPr="00AD4F8D">
        <w:t xml:space="preserve"> a IA tem potencial para reduzir os custos de informação e de conformidade, transformar a gestão das cadeias de abastecimento e desenvolver os serviços prestados por via digital</w:t>
      </w:r>
      <w:r w:rsidR="00E330B7" w:rsidRPr="00AD4F8D">
        <w:t>; considerando que</w:t>
      </w:r>
      <w:r w:rsidRPr="00AD4F8D">
        <w:t xml:space="preserve"> a IA e as dinâmicas de poder relacionadas com a propriedade da tecnologia apresentam desafios e oportunidades de transformação significativos para a competitividade comercial da UE</w:t>
      </w:r>
      <w:r w:rsidR="00E330B7" w:rsidRPr="00AD4F8D">
        <w:t>; considerando que</w:t>
      </w:r>
      <w:r w:rsidRPr="00AD4F8D">
        <w:t xml:space="preserve"> a política comercial da UE é fundamental para garantir uma estratégia externa global em matéria de IA que combine abertura, transparência, segurança e resiliência, respeite os direitos fundamentais e apoie operações transfronteiriças previsíveis</w:t>
      </w:r>
      <w:r w:rsidR="00E330B7" w:rsidRPr="00AD4F8D">
        <w:t>; considerando que</w:t>
      </w:r>
      <w:r w:rsidRPr="00AD4F8D">
        <w:t xml:space="preserve"> a IA oferece oportunidades consideráveis para reforçar a eficácia e a segurança dos controlos aduaneiros e da fiscalização do mercado na União Europeia, combatendo a fraude, a contrafação e as práticas comerciais desleais;</w:t>
      </w:r>
    </w:p>
    <w:p w14:paraId="083FE840" w14:textId="08E1C4C5" w:rsidR="005675AC" w:rsidRPr="00AD4F8D" w:rsidRDefault="005675AC" w:rsidP="005675AC">
      <w:pPr>
        <w:pStyle w:val="NormalHanging"/>
      </w:pPr>
      <w:r w:rsidRPr="00AD4F8D">
        <w:t>B.</w:t>
      </w:r>
      <w:r w:rsidRPr="00AD4F8D">
        <w:tab/>
        <w:t>Considerando que a rápida difusão e implantação da IA está a contribuir para mudanças estruturais na organização, geografia e governação do comércio internacional de serviços, com consequências para a competitividade, o emprego e o desenvolvimento</w:t>
      </w:r>
      <w:r w:rsidR="00E330B7" w:rsidRPr="00AD4F8D">
        <w:t>; considerando que</w:t>
      </w:r>
      <w:r w:rsidRPr="00AD4F8D">
        <w:t xml:space="preserve"> as soluções de IA de fonte aberta oferecem vantagens consideráveis, tais como a redução dos custos e o reforço da privacidade dos dados graças à implantação local, contribuindo assim para um aumento da concorrência sã no domínio da IA e para uma menor dependência de fornecedores de países terceiros</w:t>
      </w:r>
      <w:r w:rsidR="00E330B7" w:rsidRPr="00AD4F8D">
        <w:t>; considerando que</w:t>
      </w:r>
      <w:r w:rsidRPr="00AD4F8D">
        <w:t xml:space="preserve"> estas alterações interagem com as lacunas existentes em matéria de capacidade de produção, infraestruturas e competências dentro e fora da UE</w:t>
      </w:r>
      <w:r w:rsidR="00E330B7" w:rsidRPr="00AD4F8D">
        <w:t>; considerando que</w:t>
      </w:r>
      <w:r w:rsidRPr="00AD4F8D">
        <w:t xml:space="preserve"> a manutenção de um modelo de comércio sustentável aberto, resiliente e inclusivo requer uma estratégia coerente e global para gerir as mudanças impulsionadas pela IA</w:t>
      </w:r>
      <w:r w:rsidR="00E330B7" w:rsidRPr="00AD4F8D">
        <w:t>; considerando que</w:t>
      </w:r>
      <w:r w:rsidRPr="00AD4F8D">
        <w:t xml:space="preserve"> as relações económicas externas da UE, nomeadamente com parceiros do Sul Global, devem favorecer a adoção inclusiva da IA e a criação de valor </w:t>
      </w:r>
      <w:r w:rsidRPr="00AD4F8D">
        <w:lastRenderedPageBreak/>
        <w:t>partilhado, promovendo paralelamente um modelo centrado no ser humano, baseado no princípio da «ética por definição» e centrado na proteção da dignidade humana;</w:t>
      </w:r>
    </w:p>
    <w:p w14:paraId="16BDA6E2" w14:textId="1BE5919D" w:rsidR="005675AC" w:rsidRPr="00AD4F8D" w:rsidRDefault="005675AC" w:rsidP="005675AC">
      <w:pPr>
        <w:pStyle w:val="NormalHanging"/>
      </w:pPr>
      <w:r w:rsidRPr="00AD4F8D">
        <w:t>C.</w:t>
      </w:r>
      <w:r w:rsidRPr="00AD4F8D">
        <w:tab/>
        <w:t>Considerando que os fluxos de dados transfronteiriços e o acesso aos dados são fundamentais para o desenvolvimento, a formação e a implantação da IA, mas devem ser cuidadosamente analisados para garantir a manutenção de um elevado nível de proteção de dados, nomeadamente no que diz respeito aos dados pessoais sensíveis, como os dados de saúde</w:t>
      </w:r>
      <w:r w:rsidR="00E330B7" w:rsidRPr="00AD4F8D">
        <w:t>; considerando que</w:t>
      </w:r>
      <w:r w:rsidRPr="00AD4F8D">
        <w:t xml:space="preserve"> as regras do comércio digital moldam cada vez mais a competitividade da IA, o que vem sublinhar a necessidade de definir disposições relativas à cooperação normativa em futuros acordos comerciais e à modernização dos acordos existentes</w:t>
      </w:r>
      <w:r w:rsidR="00E330B7" w:rsidRPr="00AD4F8D">
        <w:t>; considerando que</w:t>
      </w:r>
      <w:r w:rsidRPr="00AD4F8D">
        <w:t xml:space="preserve"> o quadro da UE centrado no ser humano, assente no Regulamento Geral sobre a Proteção de Dados (RGPD) e no Regulamento da Inteligência Artificial, proporciona um modelo credível para uma IA fiável que, se promovido a nível internacional, se pode tornar uma vantagem competitiva nos mercados que valorizem a transparência e uma governação respeitadora dos direitos</w:t>
      </w:r>
      <w:r w:rsidR="00E330B7" w:rsidRPr="00AD4F8D">
        <w:t>; considerando que</w:t>
      </w:r>
      <w:r w:rsidRPr="00AD4F8D">
        <w:t xml:space="preserve"> a OMC poderá ser o fórum adequado para levar a cabo debates multilaterais sobre a IA e o comércio, a fim de combater as distorções da concorrência, os obstáculos ao comércio e os riscos de fragmentação normativa, garantindo assim um comércio digital previsível, justo e respeitador dos direitos;</w:t>
      </w:r>
    </w:p>
    <w:p w14:paraId="04B7F875" w14:textId="2FD08D29" w:rsidR="005675AC" w:rsidRPr="00AD4F8D" w:rsidRDefault="005675AC" w:rsidP="005675AC">
      <w:pPr>
        <w:pStyle w:val="NormalHanging"/>
      </w:pPr>
      <w:r w:rsidRPr="00AD4F8D">
        <w:t>D.</w:t>
      </w:r>
      <w:r w:rsidRPr="00AD4F8D">
        <w:tab/>
        <w:t>Considerando que a utilização da IA continua a ser desigual em função dos setores, das regiões e das dimensões das empresas, com vantagens para os intervenientes que controlam os dados, a capacidade computacional e as competências, e que se corre o risco de ampliar o fosso em termos de produtividade e de exportações para as pequenas e médias empresas (PME) e para as empresas que adotam a IA numa fase posterior</w:t>
      </w:r>
      <w:r w:rsidR="00E330B7" w:rsidRPr="00AD4F8D">
        <w:t>; considerando que</w:t>
      </w:r>
      <w:r w:rsidRPr="00AD4F8D">
        <w:t xml:space="preserve"> a competitividade comercial viabilizada pela IA depende do acesso aos dados, da capacidade computacional, da energia, da conectividade, do capital e das competências, e que muitos destes fatores são influenciados pelas relações comerciais e de investimento</w:t>
      </w:r>
      <w:r w:rsidR="00E330B7" w:rsidRPr="00AD4F8D">
        <w:t>; considerando que</w:t>
      </w:r>
      <w:r w:rsidRPr="00AD4F8D">
        <w:t xml:space="preserve"> a UE atraiu apenas 6 % do investimento mundial em empresas em fase de arranque no domínio da IA no primeiro semestre de 2024, o que cria dependências estruturais com impacto nas relações comerciais e na autonomia estratégica europeia</w:t>
      </w:r>
      <w:r w:rsidR="00E330B7" w:rsidRPr="00AD4F8D">
        <w:t>; considerando que</w:t>
      </w:r>
      <w:r w:rsidRPr="00AD4F8D">
        <w:t xml:space="preserve"> um acesso equitativo às infraestruturas de IA é essencial para que as PME se mantenham competitivas, uma vez que estas enfrentam obstáculos importantes em comparação com as grandes empresas, incluindo os elevados custos dos recursos de computação, o acesso limitado aos dados e a escassez de talento técnico;</w:t>
      </w:r>
    </w:p>
    <w:p w14:paraId="20C35781" w14:textId="7902744F" w:rsidR="005675AC" w:rsidRPr="00AD4F8D" w:rsidRDefault="005675AC" w:rsidP="005675AC">
      <w:pPr>
        <w:pStyle w:val="NormalHanging"/>
      </w:pPr>
      <w:r w:rsidRPr="00AD4F8D">
        <w:t>E.</w:t>
      </w:r>
      <w:r w:rsidRPr="00AD4F8D">
        <w:tab/>
        <w:t>Considerando que a IA continua a ser uma tecnologia em rápida evolução</w:t>
      </w:r>
      <w:r w:rsidR="00E330B7" w:rsidRPr="00AD4F8D">
        <w:t>; considerando que</w:t>
      </w:r>
      <w:r w:rsidRPr="00AD4F8D">
        <w:t xml:space="preserve"> uma intervenção normativa prematura ou excessiva comporta o risco de comprometer a inovação, o investimento e a competitividade</w:t>
      </w:r>
      <w:r w:rsidR="00E330B7" w:rsidRPr="00AD4F8D">
        <w:t>; considerando que</w:t>
      </w:r>
      <w:r w:rsidRPr="00AD4F8D">
        <w:t xml:space="preserve"> é essencial adotar uma abordagem proporcionada, baseada no risco e propícia à inovação;</w:t>
      </w:r>
    </w:p>
    <w:p w14:paraId="0100AFC8" w14:textId="239C3ABE" w:rsidR="005675AC" w:rsidRPr="00AD4F8D" w:rsidRDefault="005675AC" w:rsidP="005675AC">
      <w:pPr>
        <w:pStyle w:val="NormalHanging"/>
      </w:pPr>
      <w:r w:rsidRPr="00AD4F8D">
        <w:t>F.</w:t>
      </w:r>
      <w:r w:rsidRPr="00AD4F8D">
        <w:tab/>
        <w:t>Considerando que a cadeia de abastecimento da IA está fortemente concentrada num pequeno número de países e de regiões, criando um risco de dependência para aceder à capacidade computacional crítica, às matérias-primas e aos semicondutores</w:t>
      </w:r>
      <w:r w:rsidR="00E330B7" w:rsidRPr="00AD4F8D">
        <w:t>; considerando que</w:t>
      </w:r>
      <w:r w:rsidRPr="00AD4F8D">
        <w:t xml:space="preserve"> a propriedade estrangeira de infraestruturas críticas de IA aumenta o risco de manipulação da informação e ingerência por parte de agentes estrangeiros</w:t>
      </w:r>
      <w:r w:rsidR="00E330B7" w:rsidRPr="00AD4F8D">
        <w:t>; considerando que</w:t>
      </w:r>
      <w:r w:rsidRPr="00AD4F8D">
        <w:t xml:space="preserve"> a utilização abusiva de algoritmos pode comprometer a democracia e agravar as atuais tensões comerciais geopolíticas</w:t>
      </w:r>
      <w:r w:rsidR="00E330B7" w:rsidRPr="00AD4F8D">
        <w:t>; considerando que</w:t>
      </w:r>
      <w:r w:rsidRPr="00AD4F8D">
        <w:t xml:space="preserve"> a intensificação da concorrência tecnológica mundial, marcada por modelos divergentes de governação da IA, uma escalada pautal e controlos das exportações de tecnologias críticas, aumenta o </w:t>
      </w:r>
      <w:r w:rsidRPr="00AD4F8D">
        <w:lastRenderedPageBreak/>
        <w:t>risco de o acesso aos insumos essenciais da IA ser utilizado como vantagem geopolítica</w:t>
      </w:r>
      <w:r w:rsidR="00E330B7" w:rsidRPr="00AD4F8D">
        <w:t>; considerando que</w:t>
      </w:r>
      <w:r w:rsidRPr="00AD4F8D">
        <w:t xml:space="preserve"> algumas interferências externas podem diluir as elevadas normas da UE em matéria de transparência, responsabilização e proteção dos direitos fundamentais, comprometendo assim a capacidade da União para defender os seus valores, assegurar condições de concorrência equitativas para as empresas e proteger os cidadãos dos riscos da IA e das tecnologias digitais não regulamentadas</w:t>
      </w:r>
      <w:r w:rsidR="00E330B7" w:rsidRPr="00AD4F8D">
        <w:t>; considerando que</w:t>
      </w:r>
      <w:r w:rsidRPr="00AD4F8D">
        <w:t xml:space="preserve"> a UE deve continuar a defender estas normas</w:t>
      </w:r>
      <w:r w:rsidR="00E330B7" w:rsidRPr="00AD4F8D">
        <w:t>; considerando que</w:t>
      </w:r>
      <w:r w:rsidRPr="00AD4F8D">
        <w:t xml:space="preserve"> a UE deve reforçar a sua autonomia estratégica, diversificando as cadeias de abastecimento e estreitando a cooperação com parceiros de confiança que partilhem de valores democráticos e se empenhem a favor do comércio aberto e assente em regras;</w:t>
      </w:r>
    </w:p>
    <w:p w14:paraId="12643CD0" w14:textId="2C23579E" w:rsidR="005675AC" w:rsidRPr="00AD4F8D" w:rsidRDefault="005675AC" w:rsidP="005675AC">
      <w:pPr>
        <w:pStyle w:val="NormalHanging"/>
      </w:pPr>
      <w:r w:rsidRPr="00AD4F8D">
        <w:t>G.</w:t>
      </w:r>
      <w:r w:rsidRPr="00AD4F8D">
        <w:tab/>
        <w:t>Considerando que o desenvolvimento e a adoção da IA dependem do acesso a mercados e tecnologias mundiais, que são afetados pelos quadros da política comercial</w:t>
      </w:r>
      <w:r w:rsidR="00E330B7" w:rsidRPr="00AD4F8D">
        <w:t>; considerando que</w:t>
      </w:r>
      <w:r w:rsidRPr="00AD4F8D">
        <w:t xml:space="preserve"> a OMC apoia o desenvolvimento e a adoção da IA ao favorecer um comércio mais aberto, transparente e previsível de bens e serviços assentes na IA</w:t>
      </w:r>
      <w:r w:rsidR="00E330B7" w:rsidRPr="00AD4F8D">
        <w:t>; considerando que</w:t>
      </w:r>
      <w:r w:rsidRPr="00AD4F8D">
        <w:t xml:space="preserve"> os acordos da OMC em vigor já contribuem de forma notável para o desenvolvimento e a adoção da IA, nomeadamente o Acordo sobre as Tecnologias da Informação, que reduz os custos da implantação de </w:t>
      </w:r>
      <w:r w:rsidRPr="00AD4F8D">
        <w:rPr>
          <w:i/>
        </w:rPr>
        <w:t>hardware</w:t>
      </w:r>
      <w:r w:rsidRPr="00AD4F8D">
        <w:t xml:space="preserve"> de IA, o Acordo sobre os Obstáculos Técnicos ao Comércio, que promove a transparência normativa e as normas internacionais, o Acordo Geral sobre o Comércio de Serviços, que facilita o comércio de serviços relacionados com a IA, e o Acordo sobre os Aspetos dos Direitos de Propriedade Intelectual relacionados com o Comércio, que apoia o desenvolvimento e a difusão da IA;</w:t>
      </w:r>
    </w:p>
    <w:p w14:paraId="2A7DB109" w14:textId="62E50803" w:rsidR="005675AC" w:rsidRPr="00AD4F8D" w:rsidRDefault="005675AC" w:rsidP="005675AC">
      <w:pPr>
        <w:pStyle w:val="NormalHanging"/>
      </w:pPr>
      <w:r w:rsidRPr="00AD4F8D">
        <w:t>H.</w:t>
      </w:r>
      <w:r w:rsidRPr="00AD4F8D">
        <w:tab/>
        <w:t>Considerando que a natureza de dupla utilização da IA e a sua crescente militarização, incluindo a sua implantação em conflitos atuais, como a guerra de agressão da Rússia contra a Ucrânia, estão a acelerar a transição de uma cooperação centrada na segurança para uma concorrência geoeconómica e de segurança baseada na IA</w:t>
      </w:r>
      <w:r w:rsidR="00E330B7" w:rsidRPr="00AD4F8D">
        <w:t>; considerando que</w:t>
      </w:r>
      <w:r w:rsidRPr="00AD4F8D">
        <w:t xml:space="preserve"> a governação, os controlos das exportações e as normas em matéria de IA são cada vez mais utilizados como instrumentos de influência estratégica e de projeção de poder;</w:t>
      </w:r>
    </w:p>
    <w:p w14:paraId="32FD7176" w14:textId="1E41B20A" w:rsidR="005675AC" w:rsidRPr="00AD4F8D" w:rsidRDefault="005675AC" w:rsidP="005675AC">
      <w:pPr>
        <w:pStyle w:val="NormalHanging"/>
      </w:pPr>
      <w:r w:rsidRPr="00AD4F8D">
        <w:t>I.</w:t>
      </w:r>
      <w:r w:rsidRPr="00AD4F8D">
        <w:tab/>
        <w:t>Considerando que a IA pode ser utilizada em sistemas de armamento e instrumentos de vigilância em larga escala</w:t>
      </w:r>
      <w:r w:rsidR="00E330B7" w:rsidRPr="00AD4F8D">
        <w:t>; considerando que</w:t>
      </w:r>
      <w:r w:rsidRPr="00AD4F8D">
        <w:t xml:space="preserve"> tais práticas concitarão profundas preocupações de natureza ética e relativas aos direitos humanos</w:t>
      </w:r>
      <w:r w:rsidR="00E330B7" w:rsidRPr="00AD4F8D">
        <w:t>; considerando que</w:t>
      </w:r>
      <w:r w:rsidRPr="00AD4F8D">
        <w:t xml:space="preserve"> o secretário-geral das Nações Unidas pugnou por uma proibição mundial dos sistemas de armas letais autónomos, máquinas capazes de tirar vidas humanas sem supervisão humana;</w:t>
      </w:r>
    </w:p>
    <w:p w14:paraId="3FF68D21" w14:textId="77777777" w:rsidR="005675AC" w:rsidRPr="00AD4F8D" w:rsidRDefault="005675AC" w:rsidP="005675AC">
      <w:pPr>
        <w:pStyle w:val="Normal12a"/>
      </w:pPr>
      <w:r w:rsidRPr="00AD4F8D">
        <w:rPr>
          <w:b/>
          <w:i/>
        </w:rPr>
        <w:t>A IA ao serviço da facilitação do comércio e da aplicação das normas</w:t>
      </w:r>
    </w:p>
    <w:p w14:paraId="7090F13B" w14:textId="77777777" w:rsidR="005675AC" w:rsidRPr="00AD4F8D" w:rsidRDefault="005675AC" w:rsidP="005675AC">
      <w:pPr>
        <w:pStyle w:val="NormalHanging12a"/>
      </w:pPr>
      <w:r w:rsidRPr="00AD4F8D">
        <w:t>1.</w:t>
      </w:r>
      <w:r w:rsidRPr="00AD4F8D">
        <w:tab/>
        <w:t>Reconhece que a IA pode acelerar as exportações e importações da UE, em particular para as PME, ao reduzir os obstáculos à entrada no mercado e os custos de conformidade, o que permite que as empresas acedam a mercados que anteriormente estavam fora do seu alcance, desde que as PME tenham um acesso equitativo às infraestruturas de IA; insta a Comissão a integrar serviços de aconselhamento fiáveis em matéria de IA no portal Access2Markets e no ponto único de contacto, a fim de facilitar a gestão dos direitos aduaneiros, das regras de origem e dos requisitos normativos; exorta a Comissão a dar prioridade a ferramentas de IA adaptadas às PME e a velar por que as soluções de conformidade digital permaneçam simples, acessíveis e a preços comportáveis;</w:t>
      </w:r>
    </w:p>
    <w:p w14:paraId="03835C79" w14:textId="77777777" w:rsidR="005675AC" w:rsidRPr="00AD4F8D" w:rsidRDefault="005675AC" w:rsidP="005675AC">
      <w:pPr>
        <w:pStyle w:val="NormalHanging12a"/>
      </w:pPr>
      <w:r w:rsidRPr="00AD4F8D">
        <w:lastRenderedPageBreak/>
        <w:t>2.</w:t>
      </w:r>
      <w:r w:rsidRPr="00AD4F8D">
        <w:tab/>
        <w:t>Observa que a IA pode contribuir para reduzir os atrasos e os custos nas cadeias de abastecimento da UE ao melhorar o planeamento e a coordenação; insta a Comissão a generalizar a desmaterialização do comércio e a promover a partilha de informações fiáveis entre os operadores e as autoridades; preconiza o investimento numa logística assente na IA que reduza os estrangulamentos nos portos e corredores e apoie uma logística mais ecológica através de itinerários e de uma manutenção mais inteligentes; apela à Comissão para que promova soluções de IA de fonte aberta que contribuam para aumentar a concorrência e reduzir a dependência de fornecedores de países terceiros; salienta que a digitalização e a logística baseada na IA devem permitir o aumento da produtividade, eficiência e gestão da cadeia de abastecimento, bem como a redução dos custos comerciais e dos encargos administrativos;</w:t>
      </w:r>
    </w:p>
    <w:p w14:paraId="617F4122" w14:textId="77777777" w:rsidR="005675AC" w:rsidRPr="00AD4F8D" w:rsidRDefault="005675AC" w:rsidP="005675AC">
      <w:pPr>
        <w:pStyle w:val="NormalHanging12a"/>
      </w:pPr>
      <w:r w:rsidRPr="00AD4F8D">
        <w:t>3.</w:t>
      </w:r>
      <w:r w:rsidRPr="00AD4F8D">
        <w:tab/>
        <w:t>Regista o potencial papel da IA no reforço dos controlos aduaneiros, num contexto de sobrecapacidade do mercado e de limitações das inspeções humanas ante os desafios decorrentes do afluxo de mercadorias, nomeadamente de pequenas encomendas provenientes da China; solicita à Comissão que disponibilize recursos e competências às autoridades aduaneiras e de fiscalização do mercado, nomeadamente através do reforço da cooperação entre os Estados-Membros no seio da Plataforma de Dados Aduaneiros da UE, a fim de garantir que a utilização da IA reforce a capacidade para fazer cumprir a legislação e a partilha de dados entre as autoridades; exorta a Comissão a estudar o potencial da IA para garantir a conformidade das mercadorias importadas com a legislação da UE, reforçar a rastreabilidade em tempo real e o controlo aduaneiro dos produtos importados, bem como a fiscalização do mercado, implantar ferramentas de IA seguras e específicas para analisar sistematicamente os dados relativos a pequenas encomendas ou garantir a rastreabilidade dos produtos ao longo de toda a cadeia de abastecimento, a fim de combater as mercadorias de contrafação, a fraude aduaneira, as práticas comerciais desleais e a evasão às sanções impostas pela UE; salienta que esses sistemas de IA constituiriam infraestruturas críticas, pelo que devem continuar a ser independentes e soberanos; insta a Comissão a velar por que estes instrumentos cumpram rigorosamente a legislação aplicável da UE;</w:t>
      </w:r>
    </w:p>
    <w:p w14:paraId="69F29183" w14:textId="73BEE5ED" w:rsidR="005675AC" w:rsidRPr="00AD4F8D" w:rsidRDefault="005675AC" w:rsidP="005675AC">
      <w:pPr>
        <w:pStyle w:val="NormalHanging12a"/>
      </w:pPr>
      <w:r w:rsidRPr="00AD4F8D">
        <w:t>4.</w:t>
      </w:r>
      <w:r w:rsidRPr="00AD4F8D">
        <w:tab/>
        <w:t>Assinala que a IA pode ser um instrumento útil para permitir às empresas, às autoridades aduaneiras e às autoridades de fiscalização do mercado defender a proteção dos direitos humanos, ao facilitar a aplicação efetiva e o cumprimento das regras da UE, tais como a Diretiva Dever de Diligência das Empresas sobre Sustentabilidade</w:t>
      </w:r>
      <w:r w:rsidR="00685CDC" w:rsidRPr="00AD4F8D">
        <w:rPr>
          <w:rStyle w:val="FootnoteReference"/>
        </w:rPr>
        <w:footnoteReference w:id="10"/>
      </w:r>
      <w:r w:rsidRPr="00AD4F8D">
        <w:t>, o Regulamento Desflorestação</w:t>
      </w:r>
      <w:r w:rsidR="00685CDC" w:rsidRPr="00AD4F8D">
        <w:rPr>
          <w:rStyle w:val="FootnoteReference"/>
        </w:rPr>
        <w:footnoteReference w:id="11"/>
      </w:r>
      <w:r w:rsidRPr="00AD4F8D">
        <w:t xml:space="preserve"> ou o Regulamento Trabalho Forçado</w:t>
      </w:r>
      <w:r w:rsidR="00685CDC" w:rsidRPr="00AD4F8D">
        <w:rPr>
          <w:rStyle w:val="FootnoteReference"/>
        </w:rPr>
        <w:footnoteReference w:id="12"/>
      </w:r>
      <w:r w:rsidRPr="00AD4F8D">
        <w:t xml:space="preserve">, e salvaguardar a proteção dos consumidores ao facilitar a aplicação efetiva e o cumprimento das regras </w:t>
      </w:r>
      <w:r w:rsidRPr="00AD4F8D">
        <w:lastRenderedPageBreak/>
        <w:t>da UE, como sejam o registo, a avaliação, a autorização e a restrição de produtos químicos (REACH), a marcação CE e o Regulamento Segurança Geral dos Produtos</w:t>
      </w:r>
      <w:r w:rsidR="00685CDC" w:rsidRPr="00AD4F8D">
        <w:rPr>
          <w:rStyle w:val="FootnoteReference"/>
        </w:rPr>
        <w:footnoteReference w:id="13"/>
      </w:r>
      <w:r w:rsidRPr="00AD4F8D">
        <w:t>;</w:t>
      </w:r>
    </w:p>
    <w:p w14:paraId="19C53877" w14:textId="77777777" w:rsidR="005675AC" w:rsidRPr="00AD4F8D" w:rsidRDefault="005675AC" w:rsidP="005675AC">
      <w:pPr>
        <w:pStyle w:val="Normal12a"/>
      </w:pPr>
      <w:r w:rsidRPr="00AD4F8D">
        <w:rPr>
          <w:b/>
          <w:i/>
        </w:rPr>
        <w:t>A IA e as mudanças estruturais no comércio de bens e serviços, no comércio e no desenvolvimento</w:t>
      </w:r>
    </w:p>
    <w:p w14:paraId="3E13F9F5" w14:textId="77777777" w:rsidR="005675AC" w:rsidRPr="00AD4F8D" w:rsidRDefault="005675AC" w:rsidP="005675AC">
      <w:pPr>
        <w:pStyle w:val="NormalHanging12a"/>
      </w:pPr>
      <w:r w:rsidRPr="00AD4F8D">
        <w:t>5.</w:t>
      </w:r>
      <w:r w:rsidRPr="00AD4F8D">
        <w:tab/>
        <w:t>Reconhece que a competitividade da Europa no comércio de mercadorias dependerá cada vez mais dos ganhos de produtividade e de qualidade viabilizados pela IA nas cadeias de valor industriais estratégicas, notadamente as tecnologias transformadoras, automóveis, farmacêuticas e energéticas; insta a Comissão a integrar sistematicamente estes interesses nas negociações comerciais e garantir um acesso efetivo ao mercado, uma sólida disciplina relativa às barreiras não pautais e disposições executórias que mantenham condições de concorrência equitativas, evitando a concorrência desleal e as distorções relacionadas com a tecnologia, no respeito do direito que assiste à UE de legislar;</w:t>
      </w:r>
    </w:p>
    <w:p w14:paraId="1F6905D8" w14:textId="77777777" w:rsidR="005675AC" w:rsidRPr="00AD4F8D" w:rsidRDefault="005675AC" w:rsidP="005675AC">
      <w:pPr>
        <w:pStyle w:val="NormalHanging12a"/>
      </w:pPr>
      <w:r w:rsidRPr="00AD4F8D">
        <w:t>6.</w:t>
      </w:r>
      <w:r w:rsidRPr="00AD4F8D">
        <w:tab/>
        <w:t xml:space="preserve">Reconhece o facto de a IA estar a reconfigurar o comércio de serviços prestados por via digital mediante a mercantilização dos conhecimentos especializados, o que implica empreender esforços adicionais para preservar a vantagem comparativa histórica da Europa nos serviços profissionais, técnicos e empresariais de elevado valor; sublinha que, para dar resposta à intensificação da concorrência mundial no comércio de serviços, é necessário mobilizar investimentos e melhorar o acesso ao financiamento, como previsto nos relatórios </w:t>
      </w:r>
      <w:proofErr w:type="spellStart"/>
      <w:r w:rsidRPr="00AD4F8D">
        <w:t>Draghi</w:t>
      </w:r>
      <w:proofErr w:type="spellEnd"/>
      <w:r w:rsidRPr="00AD4F8D">
        <w:t xml:space="preserve"> e </w:t>
      </w:r>
      <w:proofErr w:type="spellStart"/>
      <w:r w:rsidRPr="00AD4F8D">
        <w:t>Letta</w:t>
      </w:r>
      <w:proofErr w:type="spellEnd"/>
      <w:r w:rsidRPr="00AD4F8D">
        <w:t>; exorta a Comissão a mobilizar as parcerias em matéria de comércio e de investimento para atrair capital e talentos e promover o desenvolvimento das empresas europeias;</w:t>
      </w:r>
    </w:p>
    <w:p w14:paraId="1B120125" w14:textId="77777777" w:rsidR="005675AC" w:rsidRPr="00AD4F8D" w:rsidRDefault="005675AC" w:rsidP="005675AC">
      <w:pPr>
        <w:pStyle w:val="NormalHanging12a"/>
      </w:pPr>
      <w:r w:rsidRPr="00AD4F8D">
        <w:t>7.</w:t>
      </w:r>
      <w:r w:rsidRPr="00AD4F8D">
        <w:tab/>
        <w:t>Reconhece o potencial da IA para reconfigurar o trabalho e os mercados de trabalho a nível mundial; alerta para os riscos de deslocalização decorrentes da automatização, do comércio de serviços assente na IA e do agravamento da escassez de competências na mão de obra da UE; salienta, por conseguinte, a necessidade de adotar estratégias para antecipar estas mudanças e adaptar a mão de obra em conformidade; constata que o desenvolvimento e a implantação de modelos e sistemas de IA têm consequências negativas no ambiente, notadamente um aumento da procura de eletricidade e do consumo de água; insta a Comissão a analisar, no âmbito das avaliações de impacto dos acordos de comércio livre, quais os setores suscetíveis de serem afetados pela IA e a avaliar o impacto da utilização da IA nos direitos dos trabalhadores e no ambiente;</w:t>
      </w:r>
    </w:p>
    <w:p w14:paraId="1CC29B78" w14:textId="77777777" w:rsidR="005675AC" w:rsidRPr="00AD4F8D" w:rsidRDefault="005675AC" w:rsidP="005675AC">
      <w:pPr>
        <w:pStyle w:val="NormalHanging12a"/>
      </w:pPr>
      <w:r w:rsidRPr="00AD4F8D">
        <w:t>8.</w:t>
      </w:r>
      <w:r w:rsidRPr="00AD4F8D">
        <w:tab/>
        <w:t xml:space="preserve">Alerta para o risco de o fosso digital excluir os parceiros do Sul Global das oportunidades de crescimento impulsionadas pela IA, aumentando assim a dependência de modelos importados; salienta que a cooperação a favor da utilização de ferramentas de IA nos países em desenvolvimento deve reforçar o sistema comercial multilateral e ser promovida no quadro da OMC; exorta a Comissão a lançar mão das disposições relativas à inclusão digital que figuram nos capítulos sobre o comércio e o desenvolvimento sustentável e nos acordos de comércio digital para apoiar a adoção de </w:t>
      </w:r>
      <w:r w:rsidRPr="00AD4F8D">
        <w:lastRenderedPageBreak/>
        <w:t>IA e os ganhos de produtividade, bem como a promover uma IA inclusiva e de confiança, por intermédio de programas específicos de cooperação internacional e de iniciativas de reforço de capacidades no âmbito dos instrumentos externos da União existentes, nomeadamente programas de formação e acesso a infraestruturas digitais e de IA; exorta a Comissão a centrar o reforço das capacidades da Estratégia Global Gateway nos ecossistemas de IA éticos de fonte aberta e nas capacidades locais, promovendo relações comerciais e de investimento resilientes e mutuamente benéficas;</w:t>
      </w:r>
    </w:p>
    <w:p w14:paraId="70D318D1" w14:textId="77777777" w:rsidR="005675AC" w:rsidRPr="00AD4F8D" w:rsidRDefault="005675AC" w:rsidP="005675AC">
      <w:pPr>
        <w:pStyle w:val="NormalHanging12a"/>
      </w:pPr>
      <w:r w:rsidRPr="00AD4F8D">
        <w:t>9.</w:t>
      </w:r>
      <w:r w:rsidRPr="00AD4F8D">
        <w:tab/>
        <w:t>Constata que as soluções de IA de código-fonte aberto, ao permitirem uma reutilização transparente e a realização de testes independentes, oferecem vantagens consideráveis, nomeadamente a redução dos custos e o reforço da proteção dos dados graças à implantação local, contribuindo, assim, para um aumento da concorrência leal no domínio da IA e para a redução da dependência em relação a fornecedores de países terceiros e promovendo ao mesmo tempo soluções de IA controláveis e adaptadas a nível local, desenvolvidas em conjunto com parceiros do Sul Global; salienta que a integração dessa cooperação na política comercial da UE e nas parcerias digitais permite diversificar as parcerias, reduzir a dependência de alguns ecossistemas proprietários e reforçar os laços geopolíticos a longo prazo; insta a Comissão a promover soluções de IA de fonte aberta, que contribuem para reduzir a dependência de fornecedores de países terceiros; sublinha que a colaboração de fonte aberta deve incluir projetos relacionados com a IA para o bem público, tais como a luta contra as alterações climáticas, o apoio à transição para energias limpas e a melhoria dos cuidados de saúde e da segurança alimentar;</w:t>
      </w:r>
    </w:p>
    <w:p w14:paraId="6D6BFC0A" w14:textId="77777777" w:rsidR="005675AC" w:rsidRPr="00AD4F8D" w:rsidRDefault="005675AC" w:rsidP="005675AC">
      <w:pPr>
        <w:pStyle w:val="Normal12a"/>
      </w:pPr>
      <w:r w:rsidRPr="00AD4F8D">
        <w:rPr>
          <w:b/>
          <w:i/>
        </w:rPr>
        <w:t>Governação do comércio digital, cooperação normativa e regras multilaterais</w:t>
      </w:r>
    </w:p>
    <w:p w14:paraId="62B0FE0C" w14:textId="77777777" w:rsidR="005675AC" w:rsidRPr="00AD4F8D" w:rsidRDefault="005675AC" w:rsidP="005675AC">
      <w:pPr>
        <w:pStyle w:val="NormalHanging12a"/>
      </w:pPr>
      <w:r w:rsidRPr="00AD4F8D">
        <w:t>10.</w:t>
      </w:r>
      <w:r w:rsidRPr="00AD4F8D">
        <w:tab/>
        <w:t>Destaca o papel estratégico das parcerias digitais e dos conselhos de comércio e tecnologia com parceiros que partilham de ideias afins, que partilham valores democráticos, padrões de governação elevados e um compromisso a favor do comércio aberto e alicerçado em regras na projeção da abordagem da UE em matéria de IA orientada para os valores, centrada no ser humano e baseada nos riscos; solicita uma maior participação do Parlamento nos Conselhos de Comércio e Tecnologia; insta a Comissão a aplicar a Estratégia Digital Internacional através de posições coordenadas no G7, no G20, na Organização de Cooperação e de Desenvolvimento Económicos (OCDE) e nas Nações Unidas, bem como de uma cooperação estruturada entre entidades reguladoras, a fim de impulsionar uma convergência mundial em matéria de normas elevadas de segurança da IA e de proteção dos direitos fundamentais;</w:t>
      </w:r>
    </w:p>
    <w:p w14:paraId="3B0EFA49" w14:textId="77777777" w:rsidR="005675AC" w:rsidRPr="00AD4F8D" w:rsidRDefault="005675AC" w:rsidP="005675AC">
      <w:pPr>
        <w:pStyle w:val="NormalHanging12a"/>
      </w:pPr>
      <w:r w:rsidRPr="00AD4F8D">
        <w:t>11.</w:t>
      </w:r>
      <w:r w:rsidRPr="00AD4F8D">
        <w:tab/>
        <w:t xml:space="preserve">Salienta a necessidade de defender e promover, em particular nos fóruns multilaterais, o modelo de IA da UE centrado no ser humano enquanto norma internacional e o Regulamento da Inteligência Artificial enquanto referência suscetível de contribuir para harmonizar as normas de transparência e segurança, preservando ao mesmo tempo a abertura e a previsibilidade do comércio; insta a Comissão a reforçar a cooperação em matéria de normas de IA, inovação tecnológica e cadeias de abastecimento seguras com parceiros de confiança e países que partilham das mesmas ideias, nomeadamente através de parcerias bilaterais e fóruns multilaterais, dando prioridade aos parceiros que defendem os valores democráticos e a ordem internacional assente em regras; faz notar que os sistemas avançados de IA criam desafios transfronteiriços e exorta a Comissão a envidar esforços tendo em vista alcançar um nível mínimo mundial de proteção contra os riscos mais graves como base para uma governação interoperável e fiável, nomeadamente através de iniciativas internacionais como a Parceria Global para a </w:t>
      </w:r>
      <w:r w:rsidRPr="00AD4F8D">
        <w:lastRenderedPageBreak/>
        <w:t>Inteligência Artificial, os princípios da OCDE em matéria de IA e o quadro deontológico da UNESCO em matéria de IA;</w:t>
      </w:r>
    </w:p>
    <w:p w14:paraId="48A499E3" w14:textId="77777777" w:rsidR="005675AC" w:rsidRPr="00AD4F8D" w:rsidRDefault="005675AC" w:rsidP="005675AC">
      <w:pPr>
        <w:pStyle w:val="NormalHanging12a"/>
      </w:pPr>
      <w:r w:rsidRPr="00AD4F8D">
        <w:t>12.</w:t>
      </w:r>
      <w:r w:rsidRPr="00AD4F8D">
        <w:tab/>
        <w:t>Sublinha que, além de um nível mínimo mundial de proteção, é necessária uma coligação de parceiros que partilhem de valores afins e da abordagem da UE centrada no ser humano, a fim de avançar mais rapidamente na aplicação de normas elevadas em matéria de segurança, transparência, responsabilização e direitos fundamentais no domínio da IA, nomeadamente através de um diálogo normativo estruturado para resolver litígios, trocar boas práticas e adaptar os compromissos à luz da evolução tecnológica; insta ainda a Comissão a associar a convergência regulamentar em matéria de normas elevadas de segurança e direitos fundamentais a um reforço concreto das capacidades, nomeadamente o investimento conjunto em capacidades de computação e de testes seguras e a preços comportáveis, parcerias de talentos e competências para reduzir a dependência estratégica e criar modelos de execução credíveis com os quais os países parceiros se possam alinhar, reforçando a IA fiável como base para um comércio digital aberto e resiliente;</w:t>
      </w:r>
    </w:p>
    <w:p w14:paraId="6DB06B5C" w14:textId="77777777" w:rsidR="005675AC" w:rsidRPr="00AD4F8D" w:rsidRDefault="005675AC" w:rsidP="005675AC">
      <w:pPr>
        <w:pStyle w:val="NormalHanging12a"/>
      </w:pPr>
      <w:r w:rsidRPr="00AD4F8D">
        <w:t>13.</w:t>
      </w:r>
      <w:r w:rsidRPr="00AD4F8D">
        <w:tab/>
        <w:t xml:space="preserve">Sublinha que os fluxos de dados legítimos e seguros são essenciais para o comércio assente na IA; recorda que os acordos de comércio digital da UE devem cumprir as disposições horizontais da Comissão relativas aos fluxos transfronteiriços de dados e à proteção dos dados pessoais e da privacidade que figuram nos capítulos relativos ao comércio digital dos acordos comerciais da UE, que lhe permitem incluir medidas destinadas a facilitar os fluxos transfronteiriços de dados nos acordos comerciais, preservando simultaneamente os direitos fundamentais das pessoas à proteção de dados e à privacidade, e salienta que devem incluir disposições específicas sobre a cooperação normativa em matéria de IA que facilitem a compreensão mútua das abordagens normativas; convida a Comissão a incluir essas disposições em todos os futuros capítulos e acordos sobre comércio digital; reafirma que as garantias consentâneas com o RGPD ou normas equivalentes constituem o requisito mínimo para as transferências de dados pessoais da UE; solicita que os acordos de comércio digital protejam a autonomia normativa e preservem o acesso técnico de que os reguladores necessitam para aplicar o Regulamento IA e assegurar a transparência, a </w:t>
      </w:r>
      <w:proofErr w:type="spellStart"/>
      <w:r w:rsidRPr="00AD4F8D">
        <w:t>auditabilidade</w:t>
      </w:r>
      <w:proofErr w:type="spellEnd"/>
      <w:r w:rsidRPr="00AD4F8D">
        <w:t>, a equidade, a segurança e a responsabilização dos sistemas de IA, velando paralelamente por que a sociedade civil e os investigadores independentes tenham acesso ao código-fonte e aos algoritmos dos sistemas;</w:t>
      </w:r>
    </w:p>
    <w:p w14:paraId="241396B8" w14:textId="77777777" w:rsidR="005675AC" w:rsidRPr="00AD4F8D" w:rsidRDefault="005675AC" w:rsidP="005675AC">
      <w:pPr>
        <w:pStyle w:val="NormalHanging12a"/>
      </w:pPr>
      <w:r w:rsidRPr="00AD4F8D">
        <w:t>14.</w:t>
      </w:r>
      <w:r w:rsidRPr="00AD4F8D">
        <w:tab/>
        <w:t>Recorda o compromisso da UE com um sistema comercial multilateral baseado em regras; sublinha que a OMC deve contribuir de forma considerável para o desenvolvimento de um quadro de governação da IA sólido, seguro, inclusivo e fiável para o comércio, nomeadamente através da criação de um grupo de trabalho específico da OMC sobre inteligência artificial, com vista a facilitar o diálogo, a partilha de conhecimentos e a cooperação entre os membros sobre normas e políticas em matéria de IA; realça que a existência de regras equilibradas em matéria de comércio eletrónico é essencial para desbloquear o comércio assente na IA; solicita à Comissão que vele por que qualquer texto da OMC sobre comércio eletrónico garanta margem de manobra política para a governação democrática da IA, incluindo garantias executórias para os trabalhadores e consumidores; exorta a Comissão a fomentar o debate sobre a IA e o comércio no âmbito da OMC e a promover uma cooperação mundial que facilite fluxos de dados fiáveis e o comércio digital, bem como o acesso a serviços e ferramentas baseados na IA, em especial nos países em desenvolvimento;</w:t>
      </w:r>
    </w:p>
    <w:p w14:paraId="1E89D2B5" w14:textId="77777777" w:rsidR="005675AC" w:rsidRPr="00AD4F8D" w:rsidRDefault="005675AC" w:rsidP="005675AC">
      <w:pPr>
        <w:pStyle w:val="NormalHanging12a"/>
      </w:pPr>
      <w:r w:rsidRPr="00AD4F8D">
        <w:lastRenderedPageBreak/>
        <w:t>15.</w:t>
      </w:r>
      <w:r w:rsidRPr="00AD4F8D">
        <w:tab/>
        <w:t>Alerta para o risco de a divergência dos regimes de conformidade em matéria de IA fragmentar os mercados e aumentar os custos comerciais; destaca o papel da cooperação internacional na prevenção da fragmentação normativa; exorta a Comissão a utilizar as normas internacionais e os obstáculos técnicos ao comércio (OTC) da OMC e as disciplinas em matéria de transparência como instrumentos para evitar que a divergência normativa se torne um obstáculo injustificado ao comércio, preservando e potencializando o quadro de governação da IA da União para facilitar um comércio digital de confiança e favorecer condições de concorrência equitativas a nível mundial em prol de uma IA de confiança;</w:t>
      </w:r>
    </w:p>
    <w:p w14:paraId="286536A2" w14:textId="77777777" w:rsidR="005675AC" w:rsidRPr="00AD4F8D" w:rsidRDefault="005675AC" w:rsidP="005675AC">
      <w:pPr>
        <w:pStyle w:val="Normal12a"/>
      </w:pPr>
      <w:r w:rsidRPr="00AD4F8D">
        <w:rPr>
          <w:b/>
          <w:i/>
        </w:rPr>
        <w:t>Segurança económica e dependências estratégicas na cadeia de valor da IA</w:t>
      </w:r>
    </w:p>
    <w:p w14:paraId="4DEDA643" w14:textId="77777777" w:rsidR="005675AC" w:rsidRPr="00AD4F8D" w:rsidRDefault="005675AC" w:rsidP="005675AC">
      <w:pPr>
        <w:pStyle w:val="NormalHanging12a"/>
      </w:pPr>
      <w:r w:rsidRPr="00AD4F8D">
        <w:t>16.</w:t>
      </w:r>
      <w:r w:rsidRPr="00AD4F8D">
        <w:tab/>
        <w:t>Sublinha que um acesso seguro a semicondutores avançados e a uma capacidade computacional a preços acessíveis é fundamental para a soberania tecnológica e a competitividade da UE; observa que o Regulamento dos Circuitos Integrados e o programa relativo às fábricas de IA correm o risco de ficar aquém do esperado devido a uma aplicação fragmentada e a uma escala limitada; solicita à Comissão que acelere a sua aplicação, prossiga a sua diplomacia no domínio das matérias-primas e tire partido dos acordos comerciais, dos acordos-quadro e dos acordos de parceria com parceiros de confiança para diversificar as cadeias de aprovisionamento e reduzir as dependências estratégicas; reconhece, neste contexto, o papel fundamental dos ecossistemas avançados de fabrico de circuitos integrados em economias parceiras que partilham das mesmas ideias, tendo em vista apoiar a capacidade mundial de computação de IA, e incentiva o aprofundamento da cooperação com esses parceiros em matéria de resiliência da cadeia de abastecimento de semicondutores; salienta, além disso, que é urgente reforçar a produção europeia de semicondutores avançados, em particular através do apoio a iniciativas europeias como a proposta de revisão do Regulamento Circuitos Integrados (Regulamento Circuitos Integrados 2.0); insta a Comissão a definir uma estratégia mais clara sobre a forma como a UE se pode posicionar enquanto interveniente fundamental no ecossistema da IA e a introduzir disposições sólidas nos acordos comerciais, a fim de garantir um acesso equitativo a tecnologias e matérias-primas críticas;</w:t>
      </w:r>
    </w:p>
    <w:p w14:paraId="31104822" w14:textId="77777777" w:rsidR="005675AC" w:rsidRPr="00AD4F8D" w:rsidRDefault="005675AC" w:rsidP="005675AC">
      <w:pPr>
        <w:pStyle w:val="NormalHanging12a"/>
      </w:pPr>
      <w:r w:rsidRPr="00AD4F8D">
        <w:t>17.</w:t>
      </w:r>
      <w:r w:rsidRPr="00AD4F8D">
        <w:tab/>
        <w:t>Considera que as parcerias estratégicas em matéria de resiliência da cadeia de abastecimento de minerais críticos constituem instrumentos potencialmente úteis para reforçar a coordenação com os aliados no que diz respeito ao acesso a insumos críticos para a IA, nomeadamente terras raras e materiais semicondutores avançados; insiste em que a participação da UE deve ficar subordinada à coerência com os parâmetros de referência do Regulamento Matérias-Primas Críticas e com os objetivos de autonomia estratégica aberta da UE, reduzindo as vulnerabilidades em vez de transferir as dependências; insta a Comissão a zelar por que quaisquer instrumentos comerciais plurilaterais decorrentes de tais parcerias, incluindo limites mínimos de preços ou mecanismos de compra, sejam compatíveis com os compromissos da OMC e sirvam os interesses da UE; advoga o reforço do diálogo e da cooperação entre parceiros de confiança para salvaguardar os fluxos comerciais internacionais e reforçar a integridade e a resiliência dos ecossistemas industriais relacionados com a IA;</w:t>
      </w:r>
    </w:p>
    <w:p w14:paraId="58AC1A7D" w14:textId="31143ECC" w:rsidR="005675AC" w:rsidRPr="00AD4F8D" w:rsidRDefault="005675AC" w:rsidP="005675AC">
      <w:pPr>
        <w:pStyle w:val="NormalHanging12a"/>
      </w:pPr>
      <w:r w:rsidRPr="00AD4F8D">
        <w:t>18.</w:t>
      </w:r>
      <w:r w:rsidRPr="00AD4F8D">
        <w:tab/>
        <w:t xml:space="preserve">Adverte de que a concentração de infraestruturas de computação em nuvem em países terceiros expõe a UE a vulnerabilidades jurisdicionais externas; exorta a Comissão a estabelecer, através da proposta de ato legislativo sobre o desenvolvimento da computação em nuvem e da IA e do ato sobre o acelerador industrial </w:t>
      </w:r>
      <w:r w:rsidRPr="00AD4F8D">
        <w:lastRenderedPageBreak/>
        <w:t>(COM(2026)0100), quadros de soberania graduados que deem prioridade aos prestadores de serviços críticos sediados na UE através de contratos públicos, assegurando simultaneamente uma autonomia estratégica aberta e mantendo um acesso não discriminatório para os prestadores de serviços que partilham das mesmas ideias e cumprem os requisitos da UE em matéria de certificação e de interoperabilidade;</w:t>
      </w:r>
    </w:p>
    <w:p w14:paraId="5D811AF4" w14:textId="77777777" w:rsidR="005675AC" w:rsidRPr="00AD4F8D" w:rsidRDefault="005675AC" w:rsidP="005675AC">
      <w:pPr>
        <w:pStyle w:val="NormalHanging12a"/>
      </w:pPr>
      <w:r w:rsidRPr="00AD4F8D">
        <w:t>19.</w:t>
      </w:r>
      <w:r w:rsidRPr="00AD4F8D">
        <w:tab/>
        <w:t xml:space="preserve">Solicita à Comissão que vele por que a sua doutrina de segurança económica coordene a análise dos investimentos diretos estrangeiros, dando especial atenção aos setores estratégicos digitais, tais como plataformas de IA, serviços na nuvem e centros de dados, os controlos das exportações, o instrumento </w:t>
      </w:r>
      <w:proofErr w:type="spellStart"/>
      <w:r w:rsidRPr="00AD4F8D">
        <w:t>anticoerção</w:t>
      </w:r>
      <w:proofErr w:type="spellEnd"/>
      <w:r w:rsidRPr="00AD4F8D">
        <w:t xml:space="preserve"> e a defesa comercial enquanto sistema coerente que impede a instrumentalização das dependências da IA; adverte de que as restrições à exportação de matérias-primas críticas e a crescente volatilidade geopolítica exigem um reforço da coordenação e da garantia da aplicação para proteger o ecossistema europeu de IA; solicita à Comissão que proponha uma revisão específica do Regulamento Dupla Utilização, a fim de abordar de forma mais exaustiva a inteligência artificial avançada, tendo em conta a sua potencial utilização por países terceiros em aplicações de segurança, vigilância ou defesa;</w:t>
      </w:r>
    </w:p>
    <w:p w14:paraId="3CF3F1E9" w14:textId="77777777" w:rsidR="005675AC" w:rsidRPr="00AD4F8D" w:rsidRDefault="005675AC" w:rsidP="005675AC">
      <w:pPr>
        <w:pStyle w:val="NormalHanging12a"/>
      </w:pPr>
      <w:r w:rsidRPr="00AD4F8D">
        <w:t>20.</w:t>
      </w:r>
      <w:r w:rsidRPr="00AD4F8D">
        <w:tab/>
        <w:t>Manifesta preocupação com as repetidas restrições da China à exportação de elementos de terras raras, que perturbam significativamente as cadeias de abastecimento vitais para as empresas de semicondutores, bem como a cadeia de valor da IA em geral; considera que a ação da China é injustificada e exorta a Comissão a acompanhar de perto a situação e a responder de forma adequada, a fim de velar por que a economia mundial e a resiliência do comércio internacional não sejam afetadas;</w:t>
      </w:r>
    </w:p>
    <w:p w14:paraId="7594475E" w14:textId="77777777" w:rsidR="005675AC" w:rsidRPr="00AD4F8D" w:rsidRDefault="005675AC" w:rsidP="005675AC">
      <w:pPr>
        <w:pStyle w:val="NormalHanging12a"/>
      </w:pPr>
      <w:r w:rsidRPr="00AD4F8D">
        <w:t>21.</w:t>
      </w:r>
      <w:r w:rsidRPr="00AD4F8D">
        <w:tab/>
        <w:t>Sublinha a necessidade de a UE acelerar a aplicação do Regulamento Matérias-Primas Críticas e diversificar as cadeias de abastecimento para reforçar a resiliência económica; salienta a necessidade urgente de garantir investimentos nos projetos estratégicos aprovados ao abrigo do Regulamento Matérias-Primas Críticas e noutros projetos para impulsionar a extração, a refinação, a transformação e a reciclagem que contribuem para a redução dos riscos que a China representa;</w:t>
      </w:r>
    </w:p>
    <w:p w14:paraId="22AE8107" w14:textId="1B98C0FD" w:rsidR="002B12B3" w:rsidRPr="00AD4F8D" w:rsidRDefault="002B12B3" w:rsidP="002B12B3">
      <w:pPr>
        <w:pStyle w:val="NormalCenter12a"/>
      </w:pPr>
      <w:r w:rsidRPr="00AD4F8D">
        <w:t>°</w:t>
      </w:r>
    </w:p>
    <w:p w14:paraId="30561252" w14:textId="71099606" w:rsidR="002B12B3" w:rsidRPr="00AD4F8D" w:rsidRDefault="002B12B3" w:rsidP="002B12B3">
      <w:pPr>
        <w:pStyle w:val="NormalCenter12a"/>
      </w:pPr>
      <w:r w:rsidRPr="00AD4F8D">
        <w:t>°     °</w:t>
      </w:r>
    </w:p>
    <w:p w14:paraId="3DB44785" w14:textId="680AA32E" w:rsidR="00F01C29" w:rsidRPr="00AD4F8D" w:rsidRDefault="005675AC" w:rsidP="00F01C29">
      <w:pPr>
        <w:pStyle w:val="NormalHanging12a"/>
      </w:pPr>
      <w:r w:rsidRPr="00AD4F8D">
        <w:t>22.</w:t>
      </w:r>
      <w:r w:rsidRPr="00AD4F8D">
        <w:tab/>
        <w:t>Encarrega a sua Presidente de transmitir a presente resolução ao Conselho, à Comissão, bem como aos governos e parlamentos dos Estados-Membros.</w:t>
      </w:r>
    </w:p>
    <w:p w14:paraId="0607AD87" w14:textId="426EEE99" w:rsidR="00E365E1" w:rsidRPr="00AD4F8D" w:rsidRDefault="00E365E1" w:rsidP="009D78CA"/>
    <w:sectPr w:rsidR="00E365E1" w:rsidRPr="00AD4F8D" w:rsidSect="00F01C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52381" w14:textId="77777777" w:rsidR="009D78CA" w:rsidRPr="00F01C29" w:rsidRDefault="009D78CA">
      <w:r w:rsidRPr="00F01C29">
        <w:separator/>
      </w:r>
    </w:p>
  </w:endnote>
  <w:endnote w:type="continuationSeparator" w:id="0">
    <w:p w14:paraId="64630FE8" w14:textId="77777777" w:rsidR="009D78CA" w:rsidRPr="00F01C29" w:rsidRDefault="009D78CA">
      <w:r w:rsidRPr="00F01C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C97EF" w14:textId="77777777" w:rsidR="00064002" w:rsidRPr="00F01C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01AE0" w14:textId="77777777" w:rsidR="00064002" w:rsidRPr="00F01C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0AE44" w14:textId="77777777" w:rsidR="00064002" w:rsidRPr="00F01C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2D37F" w14:textId="77777777" w:rsidR="009D78CA" w:rsidRPr="00F01C29" w:rsidRDefault="009D78CA">
      <w:r w:rsidRPr="00F01C29">
        <w:separator/>
      </w:r>
    </w:p>
  </w:footnote>
  <w:footnote w:type="continuationSeparator" w:id="0">
    <w:p w14:paraId="407340A4" w14:textId="77777777" w:rsidR="009D78CA" w:rsidRPr="00F01C29" w:rsidRDefault="009D78CA">
      <w:r w:rsidRPr="00F01C29">
        <w:continuationSeparator/>
      </w:r>
    </w:p>
  </w:footnote>
  <w:footnote w:id="1">
    <w:p w14:paraId="430ACB9C" w14:textId="5503EBF3" w:rsidR="00685CDC" w:rsidRPr="0014351A" w:rsidRDefault="00685CDC" w:rsidP="00F01C29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14351A">
        <w:rPr>
          <w:sz w:val="24"/>
          <w:vertAlign w:val="superscript"/>
          <w:lang w:val="fi-FI"/>
        </w:rPr>
        <w:t xml:space="preserve"> </w:t>
      </w:r>
      <w:r w:rsidRPr="0014351A">
        <w:rPr>
          <w:sz w:val="24"/>
          <w:vertAlign w:val="superscript"/>
          <w:lang w:val="fi-FI"/>
        </w:rPr>
        <w:tab/>
      </w:r>
      <w:r w:rsidRPr="0014351A">
        <w:rPr>
          <w:sz w:val="24"/>
          <w:lang w:val="fi-FI"/>
        </w:rPr>
        <w:t xml:space="preserve">JO L, 2024/1689, 12.7.2024, ELI: </w:t>
      </w:r>
      <w:hyperlink r:id="rId1" w:tgtFrame="http://data.europa.eu/eli/reg/2024/1689/oj" w:history="1">
        <w:r w:rsidRPr="0014351A">
          <w:rPr>
            <w:rStyle w:val="Hyperlink"/>
            <w:sz w:val="24"/>
            <w:lang w:val="fi-FI"/>
          </w:rPr>
          <w:t>http://data.europa.eu/eli/reg/2024/1689/oj</w:t>
        </w:r>
      </w:hyperlink>
      <w:r w:rsidRPr="0014351A">
        <w:rPr>
          <w:sz w:val="24"/>
          <w:lang w:val="fi-FI"/>
        </w:rPr>
        <w:t>.</w:t>
      </w:r>
    </w:p>
  </w:footnote>
  <w:footnote w:id="2">
    <w:p w14:paraId="7A4F4D7D" w14:textId="0CEF886D" w:rsidR="00685CDC" w:rsidRPr="0014351A" w:rsidRDefault="00685CDC" w:rsidP="00F01C29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14351A">
        <w:rPr>
          <w:sz w:val="24"/>
          <w:vertAlign w:val="superscript"/>
          <w:lang w:val="fi-FI"/>
        </w:rPr>
        <w:t xml:space="preserve"> </w:t>
      </w:r>
      <w:r w:rsidRPr="0014351A">
        <w:rPr>
          <w:sz w:val="24"/>
          <w:vertAlign w:val="superscript"/>
          <w:lang w:val="fi-FI"/>
        </w:rPr>
        <w:tab/>
      </w:r>
      <w:r w:rsidRPr="0014351A">
        <w:rPr>
          <w:sz w:val="24"/>
          <w:lang w:val="fi-FI"/>
        </w:rPr>
        <w:t xml:space="preserve">JO L 119 de 4.5.2016, p. 1, ELI: </w:t>
      </w:r>
      <w:hyperlink r:id="rId2" w:tgtFrame="http://data.europa.eu/eli/reg/2016/679/oj" w:history="1">
        <w:r w:rsidRPr="0014351A">
          <w:rPr>
            <w:rStyle w:val="Hyperlink"/>
            <w:sz w:val="24"/>
            <w:lang w:val="fi-FI"/>
          </w:rPr>
          <w:t>http://data.europa.eu/eli/reg/2016/679/oj</w:t>
        </w:r>
      </w:hyperlink>
      <w:r w:rsidRPr="0014351A">
        <w:rPr>
          <w:sz w:val="24"/>
          <w:lang w:val="fi-FI"/>
        </w:rPr>
        <w:t>.</w:t>
      </w:r>
    </w:p>
  </w:footnote>
  <w:footnote w:id="3">
    <w:p w14:paraId="0A05E2F7" w14:textId="3FB42F47" w:rsidR="00685CDC" w:rsidRPr="0014351A" w:rsidRDefault="00685CDC" w:rsidP="00F01C29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14351A">
        <w:rPr>
          <w:sz w:val="24"/>
          <w:vertAlign w:val="superscript"/>
          <w:lang w:val="fi-FI"/>
        </w:rPr>
        <w:t xml:space="preserve"> </w:t>
      </w:r>
      <w:r w:rsidRPr="0014351A">
        <w:rPr>
          <w:sz w:val="24"/>
          <w:vertAlign w:val="superscript"/>
          <w:lang w:val="fi-FI"/>
        </w:rPr>
        <w:tab/>
      </w:r>
      <w:r w:rsidRPr="0014351A">
        <w:rPr>
          <w:sz w:val="24"/>
          <w:lang w:val="fi-FI"/>
        </w:rPr>
        <w:t xml:space="preserve">JO L 229 de 18.9.2023, p. 1, ELI: </w:t>
      </w:r>
      <w:hyperlink r:id="rId3" w:tgtFrame="http://data.europa.eu/eli/reg/2023/1781/oj" w:history="1">
        <w:r w:rsidRPr="0014351A">
          <w:rPr>
            <w:rStyle w:val="Hyperlink"/>
            <w:sz w:val="24"/>
            <w:lang w:val="fi-FI"/>
          </w:rPr>
          <w:t>http://data.europa.eu/eli/reg/2023/1781/oj</w:t>
        </w:r>
      </w:hyperlink>
      <w:r w:rsidRPr="0014351A">
        <w:rPr>
          <w:sz w:val="24"/>
          <w:lang w:val="fi-FI"/>
        </w:rPr>
        <w:t>.</w:t>
      </w:r>
    </w:p>
  </w:footnote>
  <w:footnote w:id="4">
    <w:p w14:paraId="0C080443" w14:textId="2354BF28" w:rsidR="00685CDC" w:rsidRPr="0014351A" w:rsidRDefault="00685CDC" w:rsidP="00F01C29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14351A">
        <w:rPr>
          <w:sz w:val="24"/>
          <w:vertAlign w:val="superscript"/>
          <w:lang w:val="fi-FI"/>
        </w:rPr>
        <w:t xml:space="preserve"> </w:t>
      </w:r>
      <w:r w:rsidRPr="0014351A">
        <w:rPr>
          <w:sz w:val="24"/>
          <w:vertAlign w:val="superscript"/>
          <w:lang w:val="fi-FI"/>
        </w:rPr>
        <w:tab/>
      </w:r>
      <w:r w:rsidRPr="0014351A">
        <w:rPr>
          <w:sz w:val="24"/>
          <w:lang w:val="fi-FI"/>
        </w:rPr>
        <w:t xml:space="preserve">JO L, 2024/1252, 3.5.2024, ELI: </w:t>
      </w:r>
      <w:hyperlink r:id="rId4" w:tgtFrame="http://data.europa.eu/eli/reg/2024/1252/oj" w:history="1">
        <w:r w:rsidRPr="0014351A">
          <w:rPr>
            <w:rStyle w:val="Hyperlink"/>
            <w:sz w:val="24"/>
            <w:lang w:val="fi-FI"/>
          </w:rPr>
          <w:t>http://data.europa.eu/eli/reg/2024/1252/oj</w:t>
        </w:r>
      </w:hyperlink>
      <w:r w:rsidRPr="0014351A">
        <w:rPr>
          <w:sz w:val="24"/>
          <w:lang w:val="fi-FI"/>
        </w:rPr>
        <w:t>.</w:t>
      </w:r>
    </w:p>
  </w:footnote>
  <w:footnote w:id="5">
    <w:p w14:paraId="42BF9ECC" w14:textId="7D558B66" w:rsidR="00685CDC" w:rsidRPr="0014351A" w:rsidRDefault="00685CDC" w:rsidP="00F01C29">
      <w:pPr>
        <w:pStyle w:val="FootnoteText"/>
        <w:ind w:left="567" w:hanging="567"/>
        <w:rPr>
          <w:sz w:val="24"/>
          <w:lang w:val="da-DK"/>
        </w:rPr>
      </w:pPr>
      <w:r>
        <w:rPr>
          <w:rStyle w:val="FootnoteReference"/>
        </w:rPr>
        <w:footnoteRef/>
      </w:r>
      <w:r w:rsidRPr="0014351A">
        <w:rPr>
          <w:sz w:val="24"/>
          <w:vertAlign w:val="superscript"/>
          <w:lang w:val="da-DK"/>
        </w:rPr>
        <w:t xml:space="preserve"> </w:t>
      </w:r>
      <w:r w:rsidRPr="0014351A">
        <w:rPr>
          <w:sz w:val="24"/>
          <w:vertAlign w:val="superscript"/>
          <w:lang w:val="da-DK"/>
        </w:rPr>
        <w:tab/>
      </w:r>
      <w:r w:rsidRPr="0014351A">
        <w:rPr>
          <w:sz w:val="24"/>
          <w:lang w:val="da-DK"/>
        </w:rPr>
        <w:t>JO L 79</w:t>
      </w:r>
      <w:r w:rsidR="007C051E">
        <w:rPr>
          <w:sz w:val="24"/>
          <w:lang w:val="da-DK"/>
        </w:rPr>
        <w:t xml:space="preserve"> </w:t>
      </w:r>
      <w:r w:rsidRPr="0014351A">
        <w:rPr>
          <w:sz w:val="24"/>
          <w:lang w:val="da-DK"/>
        </w:rPr>
        <w:t xml:space="preserve">I de 21.3.2019, p. 1, ELI: </w:t>
      </w:r>
      <w:hyperlink r:id="rId5" w:tgtFrame="http://data.europa.eu/eli/reg/2019/452/oj" w:history="1">
        <w:r w:rsidRPr="0014351A">
          <w:rPr>
            <w:rStyle w:val="Hyperlink"/>
            <w:sz w:val="24"/>
            <w:lang w:val="da-DK"/>
          </w:rPr>
          <w:t>http://data.europa.eu/eli/reg/2019/452/oj</w:t>
        </w:r>
      </w:hyperlink>
      <w:r w:rsidRPr="0014351A">
        <w:rPr>
          <w:sz w:val="24"/>
          <w:lang w:val="da-DK"/>
        </w:rPr>
        <w:t>.</w:t>
      </w:r>
    </w:p>
  </w:footnote>
  <w:footnote w:id="6">
    <w:p w14:paraId="7DD2A872" w14:textId="094121C3" w:rsidR="00685CDC" w:rsidRPr="0014351A" w:rsidRDefault="00685CDC" w:rsidP="00F01C29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14351A">
        <w:rPr>
          <w:sz w:val="24"/>
          <w:vertAlign w:val="superscript"/>
          <w:lang w:val="fi-FI"/>
        </w:rPr>
        <w:t xml:space="preserve"> </w:t>
      </w:r>
      <w:r w:rsidRPr="0014351A">
        <w:rPr>
          <w:sz w:val="24"/>
          <w:vertAlign w:val="superscript"/>
          <w:lang w:val="fi-FI"/>
        </w:rPr>
        <w:tab/>
      </w:r>
      <w:r w:rsidRPr="0014351A">
        <w:rPr>
          <w:sz w:val="24"/>
          <w:lang w:val="fi-FI"/>
        </w:rPr>
        <w:t xml:space="preserve">JO L, 2023/2675, 7.12.2023, ELI: </w:t>
      </w:r>
      <w:hyperlink r:id="rId6" w:tgtFrame="http://data.europa.eu/eli/reg/2023/2675/oj" w:history="1">
        <w:r w:rsidRPr="0014351A">
          <w:rPr>
            <w:rStyle w:val="Hyperlink"/>
            <w:sz w:val="24"/>
            <w:lang w:val="fi-FI"/>
          </w:rPr>
          <w:t>http://data.europa.eu/eli/reg/2023/2675/oj</w:t>
        </w:r>
      </w:hyperlink>
      <w:r w:rsidRPr="0014351A">
        <w:rPr>
          <w:sz w:val="24"/>
          <w:lang w:val="fi-FI"/>
        </w:rPr>
        <w:t>.</w:t>
      </w:r>
    </w:p>
  </w:footnote>
  <w:footnote w:id="7">
    <w:p w14:paraId="520906CA" w14:textId="2D30001A" w:rsidR="00685CDC" w:rsidRPr="0014351A" w:rsidRDefault="00685CDC" w:rsidP="00F01C29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14351A">
        <w:rPr>
          <w:sz w:val="24"/>
          <w:vertAlign w:val="superscript"/>
          <w:lang w:val="fi-FI"/>
        </w:rPr>
        <w:t xml:space="preserve"> </w:t>
      </w:r>
      <w:r w:rsidRPr="0014351A">
        <w:rPr>
          <w:sz w:val="24"/>
          <w:vertAlign w:val="superscript"/>
          <w:lang w:val="fi-FI"/>
        </w:rPr>
        <w:tab/>
      </w:r>
      <w:r w:rsidRPr="0014351A">
        <w:rPr>
          <w:sz w:val="24"/>
          <w:lang w:val="fi-FI"/>
        </w:rPr>
        <w:t xml:space="preserve">JO L 206 de 11.6.2021, p. 1, ELI: </w:t>
      </w:r>
      <w:hyperlink r:id="rId7" w:tgtFrame="http://data.europa.eu/eli/reg/2021/821/oj" w:history="1">
        <w:r w:rsidRPr="0014351A">
          <w:rPr>
            <w:rStyle w:val="Hyperlink"/>
            <w:sz w:val="24"/>
            <w:lang w:val="fi-FI"/>
          </w:rPr>
          <w:t>http://data.europa.eu/eli/reg/2021/821/oj</w:t>
        </w:r>
      </w:hyperlink>
      <w:r w:rsidRPr="0014351A">
        <w:rPr>
          <w:sz w:val="24"/>
          <w:lang w:val="fi-FI"/>
        </w:rPr>
        <w:t>.</w:t>
      </w:r>
    </w:p>
  </w:footnote>
  <w:footnote w:id="8">
    <w:p w14:paraId="4D6AC8F2" w14:textId="254F0D2C" w:rsidR="00685CDC" w:rsidRPr="0014351A" w:rsidRDefault="00685CDC" w:rsidP="00F01C29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14351A">
        <w:rPr>
          <w:sz w:val="24"/>
          <w:vertAlign w:val="superscript"/>
          <w:lang w:val="fi-FI"/>
        </w:rPr>
        <w:t xml:space="preserve"> </w:t>
      </w:r>
      <w:r w:rsidRPr="0014351A">
        <w:rPr>
          <w:sz w:val="24"/>
          <w:vertAlign w:val="superscript"/>
          <w:lang w:val="fi-FI"/>
        </w:rPr>
        <w:tab/>
      </w:r>
      <w:r w:rsidRPr="0014351A">
        <w:rPr>
          <w:sz w:val="24"/>
          <w:lang w:val="fi-FI"/>
        </w:rPr>
        <w:t xml:space="preserve">JO C, C/2026/1436, 31.3.2026, ELI: </w:t>
      </w:r>
      <w:hyperlink r:id="rId8" w:tgtFrame="http://data.europa.eu/eli/C/2026/1436/oj" w:history="1">
        <w:r w:rsidRPr="0014351A">
          <w:rPr>
            <w:rStyle w:val="Hyperlink"/>
            <w:sz w:val="24"/>
            <w:lang w:val="fi-FI"/>
          </w:rPr>
          <w:t>http://data.europa.eu/eli/C/2026/1436/oj</w:t>
        </w:r>
      </w:hyperlink>
      <w:r w:rsidRPr="0014351A">
        <w:rPr>
          <w:sz w:val="24"/>
          <w:lang w:val="fi-FI"/>
        </w:rPr>
        <w:t>.</w:t>
      </w:r>
    </w:p>
  </w:footnote>
  <w:footnote w:id="9">
    <w:p w14:paraId="732F570C" w14:textId="21764C84" w:rsidR="00685CDC" w:rsidRPr="0014351A" w:rsidRDefault="00685CDC" w:rsidP="00F01C29">
      <w:pPr>
        <w:pStyle w:val="FootnoteText"/>
        <w:ind w:left="567" w:hanging="567"/>
        <w:rPr>
          <w:sz w:val="24"/>
          <w:lang w:val="fi-FI"/>
        </w:rPr>
      </w:pPr>
      <w:r>
        <w:rPr>
          <w:rStyle w:val="FootnoteReference"/>
        </w:rPr>
        <w:footnoteRef/>
      </w:r>
      <w:r w:rsidRPr="0014351A">
        <w:rPr>
          <w:sz w:val="24"/>
          <w:vertAlign w:val="superscript"/>
          <w:lang w:val="fi-FI"/>
        </w:rPr>
        <w:t xml:space="preserve"> </w:t>
      </w:r>
      <w:r w:rsidRPr="0014351A">
        <w:rPr>
          <w:sz w:val="24"/>
          <w:vertAlign w:val="superscript"/>
          <w:lang w:val="fi-FI"/>
        </w:rPr>
        <w:tab/>
      </w:r>
      <w:r w:rsidRPr="0014351A">
        <w:rPr>
          <w:sz w:val="24"/>
          <w:lang w:val="fi-FI"/>
        </w:rPr>
        <w:t xml:space="preserve">JO C, C/2026/1674, 22.4.2026, ELI: </w:t>
      </w:r>
      <w:hyperlink r:id="rId9" w:tgtFrame="http://data.europa.eu/eli/C/2026/1674/oj" w:history="1">
        <w:r w:rsidRPr="0014351A">
          <w:rPr>
            <w:rStyle w:val="Hyperlink"/>
            <w:sz w:val="24"/>
            <w:lang w:val="fi-FI"/>
          </w:rPr>
          <w:t>http://data.europa.eu/eli/C/2026/1674/oj</w:t>
        </w:r>
      </w:hyperlink>
      <w:r w:rsidRPr="0014351A">
        <w:rPr>
          <w:sz w:val="24"/>
          <w:lang w:val="fi-FI"/>
        </w:rPr>
        <w:t>.</w:t>
      </w:r>
    </w:p>
  </w:footnote>
  <w:footnote w:id="10">
    <w:p w14:paraId="09D887B4" w14:textId="5957E7D2" w:rsidR="00685CDC" w:rsidRPr="00F01C29" w:rsidRDefault="00685CDC" w:rsidP="00F01C29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F01C29">
        <w:rPr>
          <w:sz w:val="24"/>
          <w:vertAlign w:val="superscript"/>
          <w:lang w:val="pt-PT"/>
        </w:rPr>
        <w:t xml:space="preserve"> </w:t>
      </w:r>
      <w:r w:rsidRPr="00F01C29">
        <w:rPr>
          <w:sz w:val="24"/>
          <w:vertAlign w:val="superscript"/>
          <w:lang w:val="pt-PT"/>
        </w:rPr>
        <w:tab/>
      </w:r>
      <w:r w:rsidRPr="00F01C29">
        <w:rPr>
          <w:sz w:val="24"/>
          <w:lang w:val="pt-PT"/>
        </w:rPr>
        <w:t>Diretiva (UE) 2024/1760 do Parlamento Europeu e do Conselho, de 13 de junho de</w:t>
      </w:r>
      <w:r>
        <w:rPr>
          <w:sz w:val="24"/>
          <w:lang w:val="pt-PT"/>
        </w:rPr>
        <w:t> </w:t>
      </w:r>
      <w:r w:rsidRPr="00F01C29">
        <w:rPr>
          <w:sz w:val="24"/>
          <w:lang w:val="pt-PT"/>
        </w:rPr>
        <w:t xml:space="preserve">2024, relativa ao dever de diligência das empresas em matéria de sustentabilidade e que altera a Diretiva (UE) 2019/1937 e o Regulamento (UE) 2023/2859 (JO L, 2024/1760, 5.7.2024, ELI: </w:t>
      </w:r>
      <w:hyperlink r:id="rId10" w:tgtFrame="http://data.europa.eu/eli/dir/2024/1760/oj" w:history="1">
        <w:r w:rsidRPr="00F01C29">
          <w:rPr>
            <w:rStyle w:val="Hyperlink"/>
            <w:sz w:val="24"/>
            <w:lang w:val="pt-PT"/>
          </w:rPr>
          <w:t>http://data.europa.eu/eli/dir/2024/1760/oj</w:t>
        </w:r>
      </w:hyperlink>
      <w:r w:rsidRPr="00F01C29">
        <w:rPr>
          <w:sz w:val="24"/>
          <w:lang w:val="pt-PT"/>
        </w:rPr>
        <w:t>).</w:t>
      </w:r>
    </w:p>
  </w:footnote>
  <w:footnote w:id="11">
    <w:p w14:paraId="4DC7899E" w14:textId="1C655A5A" w:rsidR="00685CDC" w:rsidRPr="00F01C29" w:rsidRDefault="00685CDC" w:rsidP="00F01C29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F01C29">
        <w:rPr>
          <w:sz w:val="24"/>
          <w:vertAlign w:val="superscript"/>
          <w:lang w:val="pt-PT"/>
        </w:rPr>
        <w:t xml:space="preserve"> </w:t>
      </w:r>
      <w:r w:rsidRPr="00F01C29">
        <w:rPr>
          <w:sz w:val="24"/>
          <w:vertAlign w:val="superscript"/>
          <w:lang w:val="pt-PT"/>
        </w:rPr>
        <w:tab/>
      </w:r>
      <w:r w:rsidRPr="00F01C29">
        <w:rPr>
          <w:sz w:val="24"/>
          <w:lang w:val="pt-PT"/>
        </w:rPr>
        <w:t>Regulamento (UE) 2023/1115 do Parlamento Europeu e do Conselho, de 31 de maio de</w:t>
      </w:r>
      <w:r>
        <w:rPr>
          <w:sz w:val="24"/>
          <w:lang w:val="pt-PT"/>
        </w:rPr>
        <w:t xml:space="preserve"> </w:t>
      </w:r>
      <w:r w:rsidRPr="00F01C29">
        <w:rPr>
          <w:sz w:val="24"/>
          <w:lang w:val="pt-PT"/>
        </w:rPr>
        <w:t xml:space="preserve">2023, relativo à disponibilização no mercado da União e à exportação para fora da União de determinados produtos de base e produtos derivados associados à desflorestação e à degradação florestal e que revoga o Regulamento (UE) n.º 995/2010 (JO L 150 de 9.6.2023, p. 206, ELI: </w:t>
      </w:r>
      <w:hyperlink r:id="rId11" w:tgtFrame="http://data.europa.eu/eli/reg/2023/1115/oj" w:history="1">
        <w:r w:rsidRPr="00F01C29">
          <w:rPr>
            <w:rStyle w:val="Hyperlink"/>
            <w:sz w:val="24"/>
            <w:lang w:val="pt-PT"/>
          </w:rPr>
          <w:t>http://data.europa.eu/eli/reg/2023/1115/oj</w:t>
        </w:r>
      </w:hyperlink>
      <w:r w:rsidRPr="00F01C29">
        <w:rPr>
          <w:sz w:val="24"/>
          <w:lang w:val="pt-PT"/>
        </w:rPr>
        <w:t>).</w:t>
      </w:r>
    </w:p>
  </w:footnote>
  <w:footnote w:id="12">
    <w:p w14:paraId="15E41BAE" w14:textId="77BDB9A8" w:rsidR="00685CDC" w:rsidRPr="00F01C29" w:rsidRDefault="00685CDC" w:rsidP="00F01C29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F01C29">
        <w:rPr>
          <w:sz w:val="24"/>
          <w:vertAlign w:val="superscript"/>
          <w:lang w:val="pt-PT"/>
        </w:rPr>
        <w:t xml:space="preserve"> </w:t>
      </w:r>
      <w:r w:rsidRPr="00F01C29">
        <w:rPr>
          <w:sz w:val="24"/>
          <w:vertAlign w:val="superscript"/>
          <w:lang w:val="pt-PT"/>
        </w:rPr>
        <w:tab/>
      </w:r>
      <w:r w:rsidRPr="00F01C29">
        <w:rPr>
          <w:sz w:val="24"/>
          <w:lang w:val="pt-PT"/>
        </w:rPr>
        <w:t xml:space="preserve">Regulamento (UE) 2024/3015 do Parlamento Europeu e do Conselho, de 27 de novembro de 2024, relativo à proibição de produtos feitos com trabalho forçado no mercado da União e que altera a Diretiva (UE) 2019/1937 (JO L, 2024/3015, 12.12.2024, ELI: </w:t>
      </w:r>
      <w:hyperlink r:id="rId12" w:tgtFrame="http://data.europa.eu/eli/reg/2024/3015/oj" w:history="1">
        <w:r w:rsidRPr="00F01C29">
          <w:rPr>
            <w:rStyle w:val="Hyperlink"/>
            <w:sz w:val="24"/>
            <w:lang w:val="pt-PT"/>
          </w:rPr>
          <w:t>http://data.europa.eu/eli/reg/2024/3015/oj</w:t>
        </w:r>
      </w:hyperlink>
      <w:r w:rsidRPr="00F01C29">
        <w:rPr>
          <w:sz w:val="24"/>
          <w:lang w:val="pt-PT"/>
        </w:rPr>
        <w:t>).</w:t>
      </w:r>
    </w:p>
  </w:footnote>
  <w:footnote w:id="13">
    <w:p w14:paraId="69F84012" w14:textId="7747FA38" w:rsidR="00685CDC" w:rsidRPr="00F01C29" w:rsidRDefault="00685CDC" w:rsidP="00F01C29">
      <w:pPr>
        <w:pStyle w:val="FootnoteText"/>
        <w:ind w:left="567" w:hanging="567"/>
        <w:rPr>
          <w:sz w:val="24"/>
          <w:lang w:val="pt-PT"/>
        </w:rPr>
      </w:pPr>
      <w:r>
        <w:rPr>
          <w:rStyle w:val="FootnoteReference"/>
        </w:rPr>
        <w:footnoteRef/>
      </w:r>
      <w:r w:rsidRPr="00F01C29">
        <w:rPr>
          <w:sz w:val="24"/>
          <w:vertAlign w:val="superscript"/>
          <w:lang w:val="pt-PT"/>
        </w:rPr>
        <w:t xml:space="preserve"> </w:t>
      </w:r>
      <w:r w:rsidRPr="00F01C29">
        <w:rPr>
          <w:sz w:val="24"/>
          <w:vertAlign w:val="superscript"/>
          <w:lang w:val="pt-PT"/>
        </w:rPr>
        <w:tab/>
      </w:r>
      <w:r w:rsidRPr="00F01C29">
        <w:rPr>
          <w:sz w:val="24"/>
          <w:lang w:val="pt-PT"/>
        </w:rPr>
        <w:t>Regulamento (UE) 2023/988 do Parlamento Europeu e do Conselho de 10 de maio de</w:t>
      </w:r>
      <w:r>
        <w:rPr>
          <w:sz w:val="24"/>
          <w:lang w:val="pt-PT"/>
        </w:rPr>
        <w:t> </w:t>
      </w:r>
      <w:r w:rsidRPr="00F01C29">
        <w:rPr>
          <w:sz w:val="24"/>
          <w:lang w:val="pt-PT"/>
        </w:rPr>
        <w:t xml:space="preserve">2023 relativo à segurança geral dos produtos, que altera o Regulamento (UE) n.º 1025/2012 do Parlamento Europeu e do Conselho e a Diretiva (UE) 2020/1828 do Parlamento Europeu e do Conselho e que revoga a Diretiva 2001/95/CE do Parlamento Europeu e do Conselho e a Diretiva 87/357/CEE do Conselho (JO L 135 de 23.5.2023, p. 1, ELI: </w:t>
      </w:r>
      <w:hyperlink r:id="rId13" w:tgtFrame="http://data.europa.eu/eli/reg/2023/988/oj" w:history="1">
        <w:r w:rsidRPr="00F01C29">
          <w:rPr>
            <w:rStyle w:val="Hyperlink"/>
            <w:sz w:val="24"/>
            <w:lang w:val="pt-PT"/>
          </w:rPr>
          <w:t>http://data.europa.eu/eli/reg/2023/988/oj</w:t>
        </w:r>
      </w:hyperlink>
      <w:r w:rsidRPr="00F01C29">
        <w:rPr>
          <w:sz w:val="24"/>
          <w:lang w:val="pt-P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9C739" w14:textId="77777777" w:rsidR="00064002" w:rsidRPr="00F01C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65638" w14:textId="77777777" w:rsidR="00064002" w:rsidRPr="00F01C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F6A5B" w14:textId="77777777" w:rsidR="00064002" w:rsidRPr="00F01C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7400626">
    <w:abstractNumId w:val="9"/>
  </w:num>
  <w:num w:numId="2" w16cid:durableId="1058742628">
    <w:abstractNumId w:val="9"/>
  </w:num>
  <w:num w:numId="3" w16cid:durableId="627668351">
    <w:abstractNumId w:val="7"/>
  </w:num>
  <w:num w:numId="4" w16cid:durableId="1452744185">
    <w:abstractNumId w:val="7"/>
  </w:num>
  <w:num w:numId="5" w16cid:durableId="1478841959">
    <w:abstractNumId w:val="6"/>
  </w:num>
  <w:num w:numId="6" w16cid:durableId="344942102">
    <w:abstractNumId w:val="6"/>
  </w:num>
  <w:num w:numId="7" w16cid:durableId="1444570259">
    <w:abstractNumId w:val="5"/>
  </w:num>
  <w:num w:numId="8" w16cid:durableId="1124999019">
    <w:abstractNumId w:val="5"/>
  </w:num>
  <w:num w:numId="9" w16cid:durableId="1334457592">
    <w:abstractNumId w:val="4"/>
  </w:num>
  <w:num w:numId="10" w16cid:durableId="939490598">
    <w:abstractNumId w:val="4"/>
  </w:num>
  <w:num w:numId="11" w16cid:durableId="1900676889">
    <w:abstractNumId w:val="8"/>
  </w:num>
  <w:num w:numId="12" w16cid:durableId="44333451">
    <w:abstractNumId w:val="8"/>
  </w:num>
  <w:num w:numId="13" w16cid:durableId="1289816520">
    <w:abstractNumId w:val="3"/>
  </w:num>
  <w:num w:numId="14" w16cid:durableId="2047020144">
    <w:abstractNumId w:val="3"/>
  </w:num>
  <w:num w:numId="15" w16cid:durableId="1414156923">
    <w:abstractNumId w:val="2"/>
  </w:num>
  <w:num w:numId="16" w16cid:durableId="1318801584">
    <w:abstractNumId w:val="2"/>
  </w:num>
  <w:num w:numId="17" w16cid:durableId="2072653745">
    <w:abstractNumId w:val="1"/>
  </w:num>
  <w:num w:numId="18" w16cid:durableId="1158692847">
    <w:abstractNumId w:val="1"/>
  </w:num>
  <w:num w:numId="19" w16cid:durableId="1941373440">
    <w:abstractNumId w:val="0"/>
  </w:num>
  <w:num w:numId="20" w16cid:durableId="2124424109">
    <w:abstractNumId w:val="0"/>
  </w:num>
  <w:num w:numId="21" w16cid:durableId="1445491281">
    <w:abstractNumId w:val="9"/>
  </w:num>
  <w:num w:numId="22" w16cid:durableId="1295060808">
    <w:abstractNumId w:val="7"/>
  </w:num>
  <w:num w:numId="23" w16cid:durableId="1376809509">
    <w:abstractNumId w:val="6"/>
  </w:num>
  <w:num w:numId="24" w16cid:durableId="1749765970">
    <w:abstractNumId w:val="5"/>
  </w:num>
  <w:num w:numId="25" w16cid:durableId="766972088">
    <w:abstractNumId w:val="4"/>
  </w:num>
  <w:num w:numId="26" w16cid:durableId="554198155">
    <w:abstractNumId w:val="8"/>
  </w:num>
  <w:num w:numId="27" w16cid:durableId="549923667">
    <w:abstractNumId w:val="3"/>
  </w:num>
  <w:num w:numId="28" w16cid:durableId="1425766745">
    <w:abstractNumId w:val="2"/>
  </w:num>
  <w:num w:numId="29" w16cid:durableId="1389913672">
    <w:abstractNumId w:val="1"/>
  </w:num>
  <w:num w:numId="30" w16cid:durableId="655692024">
    <w:abstractNumId w:val="0"/>
  </w:num>
  <w:num w:numId="31" w16cid:durableId="1351760716">
    <w:abstractNumId w:val="9"/>
  </w:num>
  <w:num w:numId="32" w16cid:durableId="1518344086">
    <w:abstractNumId w:val="7"/>
  </w:num>
  <w:num w:numId="33" w16cid:durableId="423041055">
    <w:abstractNumId w:val="6"/>
  </w:num>
  <w:num w:numId="34" w16cid:durableId="319971417">
    <w:abstractNumId w:val="5"/>
  </w:num>
  <w:num w:numId="35" w16cid:durableId="1975787306">
    <w:abstractNumId w:val="4"/>
  </w:num>
  <w:num w:numId="36" w16cid:durableId="680357551">
    <w:abstractNumId w:val="8"/>
  </w:num>
  <w:num w:numId="37" w16cid:durableId="487939188">
    <w:abstractNumId w:val="3"/>
  </w:num>
  <w:num w:numId="38" w16cid:durableId="1446535278">
    <w:abstractNumId w:val="2"/>
  </w:num>
  <w:num w:numId="39" w16cid:durableId="254486874">
    <w:abstractNumId w:val="1"/>
  </w:num>
  <w:num w:numId="40" w16cid:durableId="1122265318">
    <w:abstractNumId w:val="0"/>
  </w:num>
  <w:num w:numId="41" w16cid:durableId="777675386">
    <w:abstractNumId w:val="10"/>
  </w:num>
  <w:num w:numId="42" w16cid:durableId="1224827413">
    <w:abstractNumId w:val="10"/>
  </w:num>
  <w:num w:numId="43" w16cid:durableId="1654411229">
    <w:abstractNumId w:val="10"/>
  </w:num>
  <w:num w:numId="44" w16cid:durableId="12015495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2/2026"/>
    <w:docVar w:name="dvlangue" w:val="PT"/>
    <w:docVar w:name="dvnumam" w:val="0"/>
    <w:docVar w:name="dvpe" w:val="784.156"/>
    <w:docVar w:name="dvrapporteur" w:val="Relator: "/>
    <w:docVar w:name="dvtitre" w:val="Resolução do Parlamento Europeu, de ... de ... de 2026,_x000d__x000a_ sobre as oportunidades e desafios decorrentes de uma estratégia global em matéria de inteligência artificial para o comércio da UE(2025/2112(INI))"/>
  </w:docVars>
  <w:rsids>
    <w:rsidRoot w:val="009D78CA"/>
    <w:rsid w:val="00002272"/>
    <w:rsid w:val="00064002"/>
    <w:rsid w:val="000677B9"/>
    <w:rsid w:val="000831BA"/>
    <w:rsid w:val="000A42CC"/>
    <w:rsid w:val="000E7DD9"/>
    <w:rsid w:val="0010095E"/>
    <w:rsid w:val="001168B0"/>
    <w:rsid w:val="00125B37"/>
    <w:rsid w:val="0014351A"/>
    <w:rsid w:val="00187494"/>
    <w:rsid w:val="001F32AE"/>
    <w:rsid w:val="002767FF"/>
    <w:rsid w:val="002B12B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5AC"/>
    <w:rsid w:val="005C2568"/>
    <w:rsid w:val="005F1B17"/>
    <w:rsid w:val="006037C0"/>
    <w:rsid w:val="006631B6"/>
    <w:rsid w:val="00680577"/>
    <w:rsid w:val="00685CDC"/>
    <w:rsid w:val="006E3069"/>
    <w:rsid w:val="006F74FA"/>
    <w:rsid w:val="00731ADD"/>
    <w:rsid w:val="00734777"/>
    <w:rsid w:val="00747932"/>
    <w:rsid w:val="00751A4A"/>
    <w:rsid w:val="00756632"/>
    <w:rsid w:val="00762C74"/>
    <w:rsid w:val="00786EC0"/>
    <w:rsid w:val="007C051E"/>
    <w:rsid w:val="007D1690"/>
    <w:rsid w:val="007E22AD"/>
    <w:rsid w:val="00817416"/>
    <w:rsid w:val="00842779"/>
    <w:rsid w:val="00865F67"/>
    <w:rsid w:val="008727B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78CA"/>
    <w:rsid w:val="00A1687D"/>
    <w:rsid w:val="00A43E52"/>
    <w:rsid w:val="00A4678D"/>
    <w:rsid w:val="00A778C7"/>
    <w:rsid w:val="00AB441E"/>
    <w:rsid w:val="00AB6293"/>
    <w:rsid w:val="00AD4F8D"/>
    <w:rsid w:val="00AE0928"/>
    <w:rsid w:val="00AE347F"/>
    <w:rsid w:val="00AF3B82"/>
    <w:rsid w:val="00B12E95"/>
    <w:rsid w:val="00B22876"/>
    <w:rsid w:val="00B558F0"/>
    <w:rsid w:val="00BD48FE"/>
    <w:rsid w:val="00BD7BD8"/>
    <w:rsid w:val="00BE0379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0B7"/>
    <w:rsid w:val="00E365E1"/>
    <w:rsid w:val="00E820A4"/>
    <w:rsid w:val="00EB006A"/>
    <w:rsid w:val="00EB4772"/>
    <w:rsid w:val="00ED169E"/>
    <w:rsid w:val="00ED4235"/>
    <w:rsid w:val="00F01C29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7A7A3"/>
  <w15:chartTrackingRefBased/>
  <w15:docId w15:val="{14D508BC-A1A8-4A1F-84B6-D7C63C719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5675AC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5675A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5675AC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5675A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5675AC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5675AC"/>
    <w:rPr>
      <w:color w:val="0000FF"/>
      <w:u w:val="single"/>
    </w:rPr>
  </w:style>
  <w:style w:type="paragraph" w:styleId="Revision">
    <w:name w:val="Revision"/>
    <w:hidden/>
    <w:uiPriority w:val="99"/>
    <w:semiHidden/>
    <w:rsid w:val="002B12B3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6/1436/oj" TargetMode="External"/><Relationship Id="rId13" Type="http://schemas.openxmlformats.org/officeDocument/2006/relationships/hyperlink" Target="http://data.europa.eu/eli/reg/2023/988/oj" TargetMode="External"/><Relationship Id="rId3" Type="http://schemas.openxmlformats.org/officeDocument/2006/relationships/hyperlink" Target="http://data.europa.eu/eli/reg/2023/1781/oj" TargetMode="External"/><Relationship Id="rId7" Type="http://schemas.openxmlformats.org/officeDocument/2006/relationships/hyperlink" Target="http://data.europa.eu/eli/reg/2021/821/oj" TargetMode="External"/><Relationship Id="rId12" Type="http://schemas.openxmlformats.org/officeDocument/2006/relationships/hyperlink" Target="http://data.europa.eu/eli/reg/2024/3015/oj" TargetMode="External"/><Relationship Id="rId2" Type="http://schemas.openxmlformats.org/officeDocument/2006/relationships/hyperlink" Target="http://data.europa.eu/eli/reg/2016/679/oj" TargetMode="External"/><Relationship Id="rId1" Type="http://schemas.openxmlformats.org/officeDocument/2006/relationships/hyperlink" Target="http://data.europa.eu/eli/reg/2024/1689/oj" TargetMode="External"/><Relationship Id="rId6" Type="http://schemas.openxmlformats.org/officeDocument/2006/relationships/hyperlink" Target="http://data.europa.eu/eli/reg/2023/2675/oj" TargetMode="External"/><Relationship Id="rId11" Type="http://schemas.openxmlformats.org/officeDocument/2006/relationships/hyperlink" Target="http://data.europa.eu/eli/reg/2023/1115/oj" TargetMode="External"/><Relationship Id="rId5" Type="http://schemas.openxmlformats.org/officeDocument/2006/relationships/hyperlink" Target="http://data.europa.eu/eli/reg/2019/452/oj" TargetMode="External"/><Relationship Id="rId10" Type="http://schemas.openxmlformats.org/officeDocument/2006/relationships/hyperlink" Target="http://data.europa.eu/eli/dir/2024/1760/oj" TargetMode="External"/><Relationship Id="rId4" Type="http://schemas.openxmlformats.org/officeDocument/2006/relationships/hyperlink" Target="http://data.europa.eu/eli/reg/2024/1252/oj" TargetMode="External"/><Relationship Id="rId9" Type="http://schemas.openxmlformats.org/officeDocument/2006/relationships/hyperlink" Target="http://data.europa.eu/eli/C/2026/16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5279</Words>
  <Characters>29249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CAMPS Beatriz</cp:lastModifiedBy>
  <cp:revision>2</cp:revision>
  <cp:lastPrinted>2004-11-19T15:42:00Z</cp:lastPrinted>
  <dcterms:created xsi:type="dcterms:W3CDTF">2026-06-28T20:24:00Z</dcterms:created>
  <dcterms:modified xsi:type="dcterms:W3CDTF">2026-06-28T20:24:00Z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A10-0122/2026</vt:lpwstr>
  </property>
  <property fmtid="{D5CDD505-2E9C-101B-9397-08002B2CF9AE}" pid="4" name="&lt;Type&gt;">
    <vt:lpwstr>RR</vt:lpwstr>
  </property>
</Properties>
</file>