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D0B1E" w14:paraId="2E3DBBED" w14:textId="77777777" w:rsidTr="0010095E">
        <w:trPr>
          <w:trHeight w:hRule="exact" w:val="1418"/>
        </w:trPr>
        <w:tc>
          <w:tcPr>
            <w:tcW w:w="6804" w:type="dxa"/>
            <w:shd w:val="clear" w:color="auto" w:fill="auto"/>
            <w:vAlign w:val="center"/>
          </w:tcPr>
          <w:p w14:paraId="0E776F5A" w14:textId="77777777" w:rsidR="00751A4A" w:rsidRPr="00CD0B1E" w:rsidRDefault="0024193C" w:rsidP="0010095E">
            <w:pPr>
              <w:pStyle w:val="EPName"/>
            </w:pPr>
            <w:r w:rsidRPr="00CD0B1E">
              <w:t>Parlamentul European</w:t>
            </w:r>
          </w:p>
          <w:p w14:paraId="16F78A5E" w14:textId="77777777" w:rsidR="00751A4A" w:rsidRPr="00CD0B1E" w:rsidRDefault="005F1B17" w:rsidP="005F1B17">
            <w:pPr>
              <w:pStyle w:val="EPTerm"/>
              <w:rPr>
                <w:rStyle w:val="HideTWBExt"/>
                <w:noProof w:val="0"/>
                <w:vanish w:val="0"/>
                <w:color w:val="auto"/>
              </w:rPr>
            </w:pPr>
            <w:r w:rsidRPr="00CD0B1E">
              <w:t>2024</w:t>
            </w:r>
            <w:r w:rsidR="00817416" w:rsidRPr="00CD0B1E">
              <w:t>-202</w:t>
            </w:r>
            <w:r w:rsidRPr="00CD0B1E">
              <w:t>9</w:t>
            </w:r>
          </w:p>
        </w:tc>
        <w:tc>
          <w:tcPr>
            <w:tcW w:w="2268" w:type="dxa"/>
            <w:shd w:val="clear" w:color="auto" w:fill="auto"/>
          </w:tcPr>
          <w:p w14:paraId="3183F43E" w14:textId="77777777" w:rsidR="00751A4A" w:rsidRPr="00CD0B1E" w:rsidRDefault="00187494" w:rsidP="0010095E">
            <w:pPr>
              <w:pStyle w:val="EPLogo"/>
            </w:pPr>
            <w:r w:rsidRPr="00CD0B1E">
              <w:rPr>
                <w:noProof/>
                <w:lang w:eastAsia="ja-JP"/>
              </w:rPr>
              <w:drawing>
                <wp:inline distT="0" distB="0" distL="0" distR="0" wp14:anchorId="5C86A299" wp14:editId="3418AE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5F3EEE" w14:textId="77777777" w:rsidR="00D058B8" w:rsidRPr="00CD0B1E" w:rsidRDefault="00D058B8" w:rsidP="004C5D52">
      <w:pPr>
        <w:pStyle w:val="LineTop"/>
      </w:pPr>
    </w:p>
    <w:p w14:paraId="0DFDDD0C" w14:textId="77777777" w:rsidR="00680577" w:rsidRPr="00CD0B1E" w:rsidRDefault="0024193C" w:rsidP="00680577">
      <w:pPr>
        <w:pStyle w:val="EPBodyTA1"/>
      </w:pPr>
      <w:r w:rsidRPr="00CD0B1E">
        <w:t>TEXTE ADOPTATE</w:t>
      </w:r>
    </w:p>
    <w:p w14:paraId="5F15CBC1" w14:textId="77777777" w:rsidR="00D058B8" w:rsidRPr="00CD0B1E" w:rsidRDefault="00D058B8" w:rsidP="00D058B8">
      <w:pPr>
        <w:pStyle w:val="LineBottom"/>
      </w:pPr>
    </w:p>
    <w:p w14:paraId="6236A65E" w14:textId="49FB49F5" w:rsidR="0024193C" w:rsidRPr="00CD0B1E" w:rsidRDefault="0024193C" w:rsidP="0024193C">
      <w:pPr>
        <w:pStyle w:val="ATHeading1"/>
      </w:pPr>
      <w:bookmarkStart w:id="0" w:name="TANumber"/>
      <w:r w:rsidRPr="00CD0B1E">
        <w:t>P10_TA(2026)</w:t>
      </w:r>
      <w:bookmarkEnd w:id="0"/>
      <w:r w:rsidR="00CC6E07" w:rsidRPr="00CD0B1E">
        <w:t>0183</w:t>
      </w:r>
    </w:p>
    <w:p w14:paraId="65995CA2" w14:textId="77777777" w:rsidR="0024193C" w:rsidRPr="00CD0B1E" w:rsidRDefault="0024193C" w:rsidP="0024193C">
      <w:pPr>
        <w:pStyle w:val="ATHeading2"/>
      </w:pPr>
      <w:bookmarkStart w:id="1" w:name="title"/>
      <w:r w:rsidRPr="00CD0B1E">
        <w:t>Oportunitățile și provocările pe care le prezintă o strategie cuprinzătoare privind inteligența artificială pentru comerțul UE</w:t>
      </w:r>
      <w:bookmarkEnd w:id="1"/>
    </w:p>
    <w:p w14:paraId="47838FB0" w14:textId="77777777" w:rsidR="0024193C" w:rsidRPr="00CD0B1E" w:rsidRDefault="0024193C" w:rsidP="0024193C">
      <w:pPr>
        <w:rPr>
          <w:i/>
          <w:vanish/>
        </w:rPr>
      </w:pPr>
      <w:r w:rsidRPr="00CD0B1E">
        <w:rPr>
          <w:i/>
        </w:rPr>
        <w:fldChar w:fldCharType="begin"/>
      </w:r>
      <w:r w:rsidRPr="00CD0B1E">
        <w:rPr>
          <w:i/>
        </w:rPr>
        <w:instrText xml:space="preserve"> TC"(</w:instrText>
      </w:r>
      <w:bookmarkStart w:id="2" w:name="DocNumber"/>
      <w:r w:rsidRPr="00CD0B1E">
        <w:rPr>
          <w:i/>
        </w:rPr>
        <w:instrText>A10-0122/2026</w:instrText>
      </w:r>
      <w:bookmarkEnd w:id="2"/>
      <w:r w:rsidRPr="00CD0B1E">
        <w:rPr>
          <w:i/>
        </w:rPr>
        <w:instrText xml:space="preserve"> - Raportor: Brando Benifei)"\l3 \n&gt; \* MERGEFORMAT </w:instrText>
      </w:r>
      <w:r w:rsidRPr="00CD0B1E">
        <w:rPr>
          <w:i/>
        </w:rPr>
        <w:fldChar w:fldCharType="end"/>
      </w:r>
    </w:p>
    <w:p w14:paraId="1D2C2ECD" w14:textId="77777777" w:rsidR="0024193C" w:rsidRPr="00CD0B1E" w:rsidRDefault="0024193C" w:rsidP="0024193C">
      <w:pPr>
        <w:rPr>
          <w:vanish/>
        </w:rPr>
      </w:pPr>
      <w:bookmarkStart w:id="3" w:name="Commission"/>
      <w:r w:rsidRPr="00CD0B1E">
        <w:rPr>
          <w:vanish/>
        </w:rPr>
        <w:t>Comisia pentru comerț internațional</w:t>
      </w:r>
      <w:bookmarkEnd w:id="3"/>
    </w:p>
    <w:p w14:paraId="430C3C79" w14:textId="77777777" w:rsidR="0024193C" w:rsidRPr="00CD0B1E" w:rsidRDefault="0024193C" w:rsidP="0024193C">
      <w:pPr>
        <w:rPr>
          <w:vanish/>
        </w:rPr>
      </w:pPr>
      <w:bookmarkStart w:id="4" w:name="PE"/>
      <w:r w:rsidRPr="00CD0B1E">
        <w:rPr>
          <w:vanish/>
        </w:rPr>
        <w:t>PE784.156</w:t>
      </w:r>
      <w:bookmarkEnd w:id="4"/>
    </w:p>
    <w:p w14:paraId="4778CB2B" w14:textId="249500B9" w:rsidR="0024193C" w:rsidRPr="00CD0B1E" w:rsidRDefault="0024193C" w:rsidP="00CC6E07">
      <w:pPr>
        <w:pStyle w:val="ATHeading3"/>
        <w:spacing w:after="240"/>
      </w:pPr>
      <w:bookmarkStart w:id="5" w:name="Sujet"/>
      <w:r w:rsidRPr="00CD0B1E">
        <w:t>Rezoluția Parlamentului European din 20 mai 2026 referito</w:t>
      </w:r>
      <w:r w:rsidR="00DF7079">
        <w:t>a</w:t>
      </w:r>
      <w:r w:rsidRPr="00CD0B1E">
        <w:t>r</w:t>
      </w:r>
      <w:r w:rsidR="00DF7079">
        <w:t>e</w:t>
      </w:r>
      <w:r w:rsidRPr="00CD0B1E">
        <w:t xml:space="preserve"> la oportunitățile și provocările pe care le prezintă o strategie cuprinzătoare privind inteligența artificială pentru comerțul UE</w:t>
      </w:r>
      <w:bookmarkEnd w:id="5"/>
      <w:r w:rsidRPr="00CD0B1E">
        <w:t xml:space="preserve"> </w:t>
      </w:r>
      <w:bookmarkStart w:id="6" w:name="References"/>
      <w:r w:rsidRPr="00CD0B1E">
        <w:t>(2025/2112(INI))</w:t>
      </w:r>
      <w:bookmarkEnd w:id="6"/>
    </w:p>
    <w:p w14:paraId="58403215" w14:textId="77777777" w:rsidR="00A92DE9" w:rsidRPr="00CD0B1E" w:rsidRDefault="00A92DE9" w:rsidP="00A92DE9">
      <w:pPr>
        <w:pStyle w:val="Normal12"/>
      </w:pPr>
      <w:r w:rsidRPr="00CD0B1E">
        <w:t>Parlamentul European,</w:t>
      </w:r>
    </w:p>
    <w:p w14:paraId="31CE2EF0" w14:textId="5AA6E78F" w:rsidR="00A92DE9" w:rsidRPr="00CD0B1E" w:rsidRDefault="00A92DE9" w:rsidP="00A92DE9">
      <w:pPr>
        <w:pStyle w:val="NormalHanging"/>
      </w:pPr>
      <w:r w:rsidRPr="00CD0B1E">
        <w:t>–</w:t>
      </w:r>
      <w:r w:rsidRPr="00CD0B1E">
        <w:tab/>
        <w:t>având în vedere 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w:t>
      </w:r>
      <w:r w:rsidR="0071720E" w:rsidRPr="00CD0B1E">
        <w:rPr>
          <w:rStyle w:val="FootnoteReference"/>
        </w:rPr>
        <w:footnoteReference w:id="1"/>
      </w:r>
      <w:r w:rsidRPr="00CD0B1E">
        <w:t>,</w:t>
      </w:r>
    </w:p>
    <w:p w14:paraId="4DEB88D3" w14:textId="183E8F1A" w:rsidR="00A92DE9" w:rsidRPr="00CD0B1E" w:rsidRDefault="00A92DE9" w:rsidP="00A92DE9">
      <w:pPr>
        <w:pStyle w:val="NormalHanging"/>
      </w:pPr>
      <w:r w:rsidRPr="00CD0B1E">
        <w:t>–</w:t>
      </w:r>
      <w:r w:rsidRPr="00CD0B1E">
        <w:tab/>
        <w:t>având în vedere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sidR="0071720E" w:rsidRPr="00CD0B1E">
        <w:rPr>
          <w:rStyle w:val="FootnoteReference"/>
        </w:rPr>
        <w:footnoteReference w:id="2"/>
      </w:r>
      <w:r w:rsidRPr="00CD0B1E">
        <w:t>,</w:t>
      </w:r>
    </w:p>
    <w:p w14:paraId="5FECE61C" w14:textId="24A0D9F6" w:rsidR="00A92DE9" w:rsidRPr="00CD0B1E" w:rsidRDefault="00A92DE9" w:rsidP="00A92DE9">
      <w:pPr>
        <w:pStyle w:val="NormalHanging"/>
      </w:pPr>
      <w:r w:rsidRPr="00CD0B1E">
        <w:t>–</w:t>
      </w:r>
      <w:r w:rsidRPr="00CD0B1E">
        <w:tab/>
        <w:t>având în vedere Regulamentul (UE) 2023/1781 al Parlamentului European și al Consiliului din 13 septembrie 2023 de stabilire a unui cadru de măsuri pentru consolidarea ecosistemului european al semiconductorilor și de modificare a Regulamentului (UE) 2021/694 (Regulamentul privind cipurile)</w:t>
      </w:r>
      <w:r w:rsidR="0071720E" w:rsidRPr="00CD0B1E">
        <w:rPr>
          <w:rStyle w:val="FootnoteReference"/>
        </w:rPr>
        <w:footnoteReference w:id="3"/>
      </w:r>
      <w:r w:rsidRPr="00CD0B1E">
        <w:t>,</w:t>
      </w:r>
    </w:p>
    <w:p w14:paraId="1E44A9C0" w14:textId="69A98857" w:rsidR="00A92DE9" w:rsidRPr="00CD0B1E" w:rsidRDefault="00A92DE9" w:rsidP="00A92DE9">
      <w:pPr>
        <w:pStyle w:val="NormalHanging"/>
      </w:pPr>
      <w:r w:rsidRPr="00CD0B1E">
        <w:t>–</w:t>
      </w:r>
      <w:r w:rsidRPr="00CD0B1E">
        <w:tab/>
        <w:t>având în vedere Regulamentul (UE) 2024/1252 al Parlamentului European și al Consiliului din 11 aprilie 2024 de instituire a unui cadru pentru asigurarea aprovizionării sigure și durabile cu materii prime critice și de modificare a Regulamentelor (UE) nr. 168/2013, (UE) 2018/858, (UE) 2018/1724 și (UE) 2019/1020 (Regulamentul privind materiile prime critice)</w:t>
      </w:r>
      <w:r w:rsidR="0071720E" w:rsidRPr="00CD0B1E">
        <w:rPr>
          <w:rStyle w:val="FootnoteReference"/>
        </w:rPr>
        <w:footnoteReference w:id="4"/>
      </w:r>
      <w:r w:rsidRPr="00CD0B1E">
        <w:t>,</w:t>
      </w:r>
    </w:p>
    <w:p w14:paraId="4B30DB9A" w14:textId="77777777" w:rsidR="00A92DE9" w:rsidRPr="00CD0B1E" w:rsidRDefault="00A92DE9" w:rsidP="00A92DE9">
      <w:pPr>
        <w:pStyle w:val="NormalHanging"/>
      </w:pPr>
      <w:r w:rsidRPr="00CD0B1E">
        <w:t>–</w:t>
      </w:r>
      <w:r w:rsidRPr="00CD0B1E">
        <w:tab/>
        <w:t xml:space="preserve">având în vedere rezultatele reuniunii ministeriale privind mineralele critice de la Washington DC, din 4 februarie 2026, precum și cooperarea în curs UE-SUA pentru diversificarea și consolidarea lanțurilor sigure și sustenabile de aprovizionare cu materii </w:t>
      </w:r>
      <w:r w:rsidRPr="00CD0B1E">
        <w:lastRenderedPageBreak/>
        <w:t>prime critice esențiale pentru competitivitatea, tehnologiile avansate și reziliența UE pe piețele mondiale,</w:t>
      </w:r>
    </w:p>
    <w:p w14:paraId="2C658D45" w14:textId="1D558C40" w:rsidR="00A92DE9" w:rsidRPr="00CD0B1E" w:rsidRDefault="00A92DE9" w:rsidP="00A92DE9">
      <w:pPr>
        <w:pStyle w:val="NormalHanging"/>
      </w:pPr>
      <w:r w:rsidRPr="00CD0B1E">
        <w:t>–</w:t>
      </w:r>
      <w:r w:rsidRPr="00CD0B1E">
        <w:tab/>
        <w:t>având în vedere Regulamentul (UE) 2019/452 al Parlamentului European și al Consiliului din 19 martie 2019 de stabilire a unui cadru pentru examinarea investițiilor străine directe în Uniune</w:t>
      </w:r>
      <w:r w:rsidR="0071720E" w:rsidRPr="00CD0B1E">
        <w:rPr>
          <w:rStyle w:val="FootnoteReference"/>
        </w:rPr>
        <w:footnoteReference w:id="5"/>
      </w:r>
      <w:r w:rsidRPr="00CD0B1E">
        <w:t>,</w:t>
      </w:r>
    </w:p>
    <w:p w14:paraId="4EE9603D" w14:textId="2D55C083" w:rsidR="00A92DE9" w:rsidRPr="00CD0B1E" w:rsidRDefault="00A92DE9" w:rsidP="00A92DE9">
      <w:pPr>
        <w:pStyle w:val="NormalHanging"/>
      </w:pPr>
      <w:r w:rsidRPr="00CD0B1E">
        <w:t>–</w:t>
      </w:r>
      <w:r w:rsidRPr="00CD0B1E">
        <w:tab/>
        <w:t>având în vedere Regulamentul (UE) 2023/2675 al Parlamentului European și al Consiliului din 22 noiembrie 2023 privind protejarea Uniunii și a statelor membre ale acesteia împotriva constrângerilor economice exercitate de țările terțe</w:t>
      </w:r>
      <w:r w:rsidR="0071720E" w:rsidRPr="00CD0B1E">
        <w:rPr>
          <w:rStyle w:val="FootnoteReference"/>
        </w:rPr>
        <w:footnoteReference w:id="6"/>
      </w:r>
      <w:r w:rsidRPr="00CD0B1E">
        <w:t>,</w:t>
      </w:r>
    </w:p>
    <w:p w14:paraId="6A1DEBA2" w14:textId="270B5A08" w:rsidR="00A92DE9" w:rsidRPr="00CD0B1E" w:rsidRDefault="00A92DE9" w:rsidP="00A92DE9">
      <w:pPr>
        <w:pStyle w:val="NormalHanging"/>
      </w:pPr>
      <w:r w:rsidRPr="00CD0B1E">
        <w:t>–</w:t>
      </w:r>
      <w:r w:rsidRPr="00CD0B1E">
        <w:tab/>
        <w:t>având în vedere Regulamentul (UE) 2021/821 al Parlamentului European și al Consiliului din 20 mai 2021 de instituire a unui regim al Uniunii pentru controlul exporturilor, serviciilor de intermediere, asistenței tehnice, tranzitului și transferului de produse cu dublă utilizare</w:t>
      </w:r>
      <w:r w:rsidR="0071720E" w:rsidRPr="00CD0B1E">
        <w:rPr>
          <w:rStyle w:val="FootnoteReference"/>
        </w:rPr>
        <w:footnoteReference w:id="7"/>
      </w:r>
      <w:r w:rsidRPr="00CD0B1E">
        <w:t xml:space="preserve"> (Regulamentul privind produsele cu dublă utilizare),</w:t>
      </w:r>
    </w:p>
    <w:p w14:paraId="18E5A023" w14:textId="77777777" w:rsidR="00A92DE9" w:rsidRPr="00CD0B1E" w:rsidRDefault="00A92DE9" w:rsidP="00A92DE9">
      <w:pPr>
        <w:pStyle w:val="NormalHanging"/>
      </w:pPr>
      <w:r w:rsidRPr="00CD0B1E">
        <w:t>–</w:t>
      </w:r>
      <w:r w:rsidRPr="00CD0B1E">
        <w:tab/>
        <w:t xml:space="preserve">având în vedere comunicarea Comisiei din 19 noiembrie 2025 intitulată „Strategia privind o Uniune Europeană a datelor – Deblocarea potențialului datelor în slujba </w:t>
      </w:r>
      <w:proofErr w:type="spellStart"/>
      <w:r w:rsidRPr="00CD0B1E">
        <w:t>IAˮ</w:t>
      </w:r>
      <w:proofErr w:type="spellEnd"/>
      <w:r w:rsidRPr="00CD0B1E">
        <w:t xml:space="preserve"> (COM(2025)0835),</w:t>
      </w:r>
    </w:p>
    <w:p w14:paraId="3C3D22FA" w14:textId="0273FE1D" w:rsidR="00A92DE9" w:rsidRPr="00CD0B1E" w:rsidRDefault="00A92DE9" w:rsidP="00A92DE9">
      <w:pPr>
        <w:pStyle w:val="NormalHanging"/>
      </w:pPr>
      <w:r w:rsidRPr="00CD0B1E">
        <w:t>–</w:t>
      </w:r>
      <w:r w:rsidRPr="00CD0B1E">
        <w:tab/>
        <w:t>având în vedere comunicarea Comisiei din 24 ianuarie 2024 intitulată „Promovarea securității economice europene: prezentarea a cinci noi inițiative” (COM(2024)</w:t>
      </w:r>
      <w:r w:rsidR="001977B5">
        <w:t>00</w:t>
      </w:r>
      <w:r w:rsidR="000334A0" w:rsidRPr="00CD0B1E">
        <w:t>22</w:t>
      </w:r>
      <w:r w:rsidRPr="00CD0B1E">
        <w:t>),</w:t>
      </w:r>
    </w:p>
    <w:p w14:paraId="10739682" w14:textId="77777777" w:rsidR="00A92DE9" w:rsidRPr="00CD0B1E" w:rsidRDefault="00A92DE9" w:rsidP="00A92DE9">
      <w:pPr>
        <w:pStyle w:val="NormalHanging"/>
      </w:pPr>
      <w:r w:rsidRPr="00CD0B1E">
        <w:t>–</w:t>
      </w:r>
      <w:r w:rsidRPr="00CD0B1E">
        <w:tab/>
        <w:t>având în vedere comunicarea comună a Comisiei și a Înaltei Reprezentante a Uniunii pentru afaceri externe și politica de securitate din 3 decembrie 2025 intitulată „Consolidarea securității economice a UE” (JOIN(2025)0977),</w:t>
      </w:r>
    </w:p>
    <w:p w14:paraId="3D61A9DB" w14:textId="77777777" w:rsidR="00A92DE9" w:rsidRPr="00CD0B1E" w:rsidRDefault="00A92DE9" w:rsidP="00A92DE9">
      <w:pPr>
        <w:pStyle w:val="NormalHanging"/>
      </w:pPr>
      <w:r w:rsidRPr="00CD0B1E">
        <w:t>–</w:t>
      </w:r>
      <w:r w:rsidRPr="00CD0B1E">
        <w:tab/>
        <w:t>având în vedere comunicarea comună a Comisiei și a Înaltei Reprezentante a Uniunii pentru afaceri externe și politica de securitate din 5 iunie 2025 intitulată „O strategie digitală internațională pentru Uniunea Europeană” (JOIN(2025)0140),</w:t>
      </w:r>
    </w:p>
    <w:p w14:paraId="66BE0BFA" w14:textId="77777777" w:rsidR="00A92DE9" w:rsidRPr="00CD0B1E" w:rsidRDefault="00A92DE9" w:rsidP="00A92DE9">
      <w:pPr>
        <w:pStyle w:val="NormalHanging"/>
      </w:pPr>
      <w:r w:rsidRPr="00CD0B1E">
        <w:t>–</w:t>
      </w:r>
      <w:r w:rsidRPr="00CD0B1E">
        <w:tab/>
        <w:t>având în vedere comunicarea Comisiei din 9 aprilie 2025 intitulată „Planul de acțiune privind continentul IA” (COM(2025)0165),</w:t>
      </w:r>
    </w:p>
    <w:p w14:paraId="23DE525C" w14:textId="77777777" w:rsidR="00A92DE9" w:rsidRPr="00CD0B1E" w:rsidRDefault="00A92DE9" w:rsidP="00A92DE9">
      <w:pPr>
        <w:pStyle w:val="NormalHanging"/>
      </w:pPr>
      <w:r w:rsidRPr="00CD0B1E">
        <w:t>–</w:t>
      </w:r>
      <w:r w:rsidRPr="00CD0B1E">
        <w:tab/>
        <w:t>având în vedere comunicarea Comisiei din 8 octombrie 2025 intitulată „Strategia privind aplicarea IA” (COM(2025)0723),</w:t>
      </w:r>
    </w:p>
    <w:p w14:paraId="230A536A" w14:textId="77777777" w:rsidR="00A92DE9" w:rsidRPr="00CD0B1E" w:rsidRDefault="00A92DE9" w:rsidP="00A92DE9">
      <w:pPr>
        <w:pStyle w:val="NormalHanging"/>
      </w:pPr>
      <w:r w:rsidRPr="00CD0B1E">
        <w:t>–</w:t>
      </w:r>
      <w:r w:rsidRPr="00CD0B1E">
        <w:tab/>
        <w:t xml:space="preserve">având în vedere raportul lui Mario </w:t>
      </w:r>
      <w:proofErr w:type="spellStart"/>
      <w:r w:rsidRPr="00CD0B1E">
        <w:t>Draghi</w:t>
      </w:r>
      <w:proofErr w:type="spellEnd"/>
      <w:r w:rsidRPr="00CD0B1E">
        <w:t xml:space="preserve"> din 9 septembrie 2024 intitulat „Viitorul competitivității europene” (raportul </w:t>
      </w:r>
      <w:proofErr w:type="spellStart"/>
      <w:r w:rsidRPr="00CD0B1E">
        <w:t>Draghi</w:t>
      </w:r>
      <w:proofErr w:type="spellEnd"/>
      <w:r w:rsidRPr="00CD0B1E">
        <w:t>),</w:t>
      </w:r>
    </w:p>
    <w:p w14:paraId="5E2EC1A1" w14:textId="77777777" w:rsidR="00A92DE9" w:rsidRPr="00CD0B1E" w:rsidRDefault="00A92DE9" w:rsidP="00A92DE9">
      <w:pPr>
        <w:pStyle w:val="NormalHanging"/>
      </w:pPr>
      <w:r w:rsidRPr="00CD0B1E">
        <w:t>–</w:t>
      </w:r>
      <w:r w:rsidRPr="00CD0B1E">
        <w:tab/>
        <w:t xml:space="preserve">având în vedere raportul lui Enrico </w:t>
      </w:r>
      <w:proofErr w:type="spellStart"/>
      <w:r w:rsidRPr="00CD0B1E">
        <w:t>Letta</w:t>
      </w:r>
      <w:proofErr w:type="spellEnd"/>
      <w:r w:rsidRPr="00CD0B1E">
        <w:t xml:space="preserve"> din 10 aprilie 2024 intitulat „Mult mai mult decât o piață” (raportul </w:t>
      </w:r>
      <w:proofErr w:type="spellStart"/>
      <w:r w:rsidRPr="00CD0B1E">
        <w:t>Letta</w:t>
      </w:r>
      <w:proofErr w:type="spellEnd"/>
      <w:r w:rsidRPr="00CD0B1E">
        <w:t>),</w:t>
      </w:r>
    </w:p>
    <w:p w14:paraId="42C71933" w14:textId="6D2682B1" w:rsidR="00A92DE9" w:rsidRPr="00CD0B1E" w:rsidRDefault="00A92DE9" w:rsidP="00A92DE9">
      <w:pPr>
        <w:pStyle w:val="NormalHanging"/>
      </w:pPr>
      <w:r w:rsidRPr="00CD0B1E">
        <w:t>–</w:t>
      </w:r>
      <w:r w:rsidRPr="00CD0B1E">
        <w:tab/>
        <w:t>având în vedere rezoluția sa din 9 iulie 2025 referitoare la siguranța produselor și conformitatea cu reglementările în domeniul comerțului electronic și al importurilor din țările terțe</w:t>
      </w:r>
      <w:r w:rsidR="0071720E" w:rsidRPr="00CD0B1E">
        <w:rPr>
          <w:rStyle w:val="FootnoteReference"/>
        </w:rPr>
        <w:footnoteReference w:id="8"/>
      </w:r>
      <w:r w:rsidRPr="00CD0B1E">
        <w:t>,</w:t>
      </w:r>
    </w:p>
    <w:p w14:paraId="6B1E9FF4" w14:textId="392F68AE" w:rsidR="00A92DE9" w:rsidRPr="00CD0B1E" w:rsidRDefault="00A92DE9" w:rsidP="00A92DE9">
      <w:pPr>
        <w:pStyle w:val="NormalHanging"/>
      </w:pPr>
      <w:r w:rsidRPr="00CD0B1E">
        <w:lastRenderedPageBreak/>
        <w:t>–</w:t>
      </w:r>
      <w:r w:rsidRPr="00CD0B1E">
        <w:tab/>
        <w:t>având în vedere rezoluția sa din 13 noiembrie 2025 referitoare la proiectul de decizie a Consiliului privind încheierea Acordului privind comerțul digital dintre Uniunea Europeană și Republica Singapore</w:t>
      </w:r>
      <w:r w:rsidR="0071720E" w:rsidRPr="00CD0B1E">
        <w:rPr>
          <w:rStyle w:val="FootnoteReference"/>
        </w:rPr>
        <w:footnoteReference w:id="9"/>
      </w:r>
      <w:r w:rsidRPr="00CD0B1E">
        <w:t>,</w:t>
      </w:r>
    </w:p>
    <w:p w14:paraId="10EB3919" w14:textId="77777777" w:rsidR="00A92DE9" w:rsidRPr="00CD0B1E" w:rsidRDefault="00A92DE9" w:rsidP="00A92DE9">
      <w:pPr>
        <w:pStyle w:val="NormalHanging"/>
      </w:pPr>
      <w:r w:rsidRPr="00CD0B1E">
        <w:t>–</w:t>
      </w:r>
      <w:r w:rsidRPr="00CD0B1E">
        <w:tab/>
        <w:t>având în vedere rolul principal pe care îl joacă Organizația Mondială a Comerțului (OMC) în susținerea unui sistem comercial multilateral bazat pe norme și importanța sa pentru implementarea tehnologiilor emergente, inclusiv a inteligenței artificiale, în comerțul internațional,</w:t>
      </w:r>
    </w:p>
    <w:p w14:paraId="2AFA2576" w14:textId="77777777" w:rsidR="00A92DE9" w:rsidRPr="00CD0B1E" w:rsidRDefault="00A92DE9" w:rsidP="00A92DE9">
      <w:pPr>
        <w:pStyle w:val="NormalHanging"/>
      </w:pPr>
      <w:r w:rsidRPr="00CD0B1E">
        <w:t>–</w:t>
      </w:r>
      <w:r w:rsidRPr="00CD0B1E">
        <w:tab/>
        <w:t>având în vedere normele OMC, în special principiile nediscriminării și transparenței în ceea ce privește restricțiile la export,</w:t>
      </w:r>
    </w:p>
    <w:p w14:paraId="597BEE3E" w14:textId="77777777" w:rsidR="00A92DE9" w:rsidRPr="00CD0B1E" w:rsidRDefault="00A92DE9" w:rsidP="00A92DE9">
      <w:pPr>
        <w:pStyle w:val="NormalHanging"/>
      </w:pPr>
      <w:r w:rsidRPr="00CD0B1E">
        <w:t>–</w:t>
      </w:r>
      <w:r w:rsidRPr="00CD0B1E">
        <w:tab/>
        <w:t>având în vedere articolul 55 din Regulamentul său de procedură,</w:t>
      </w:r>
    </w:p>
    <w:p w14:paraId="026F9A37" w14:textId="77777777" w:rsidR="00A92DE9" w:rsidRPr="00CD0B1E" w:rsidRDefault="00A92DE9" w:rsidP="00A92DE9">
      <w:pPr>
        <w:pStyle w:val="NormalHanging"/>
      </w:pPr>
      <w:r w:rsidRPr="00CD0B1E">
        <w:t>–</w:t>
      </w:r>
      <w:r w:rsidRPr="00CD0B1E">
        <w:tab/>
        <w:t>având în vedere raportul Comisiei pentru comerț internațional (A10-0122/2026),</w:t>
      </w:r>
    </w:p>
    <w:p w14:paraId="0E7BF3B8" w14:textId="77777777" w:rsidR="00A92DE9" w:rsidRPr="00CD0B1E" w:rsidRDefault="00A92DE9" w:rsidP="00A92DE9">
      <w:pPr>
        <w:pStyle w:val="NormalHanging"/>
      </w:pPr>
      <w:r w:rsidRPr="00CD0B1E">
        <w:t>A.</w:t>
      </w:r>
      <w:r w:rsidRPr="00CD0B1E">
        <w:tab/>
        <w:t>întrucât inteligența artificială (IA) este o tehnologie de uz general care remodelează comerțul UE cu bunuri, servicii și fluxuri de date; întrucât IA are potențialul de a reduce costurile de informare și de asigurare a conformității, de a transforma gestionarea lanțului de aprovizionare și de a extinde serviciile furnizate digital; întrucât IA și dinamica puterii legate de proprietatea asupra tehnologiei prezintă provocări semnificative și oportunități transformatoare pentru competitivitatea comercială a UE; întrucât politica comercială a UE este esențială pentru a asigura o strategie externă holistică în domeniul IA, care să combine deschiderea, transparența și siguranța cu reziliența și respectarea drepturilor fundamentale, și să sprijine operațiunile transfrontaliere previzibile; întrucât IA prezintă oportunități semnificative de a spori eficiența și securitatea controalelor vamale și a supravegherii pieței în Uniunea Europeană, prin combaterea fraudei, a contrafacerii și a practicilor comerciale neloiale;</w:t>
      </w:r>
    </w:p>
    <w:p w14:paraId="4441951D" w14:textId="77777777" w:rsidR="00A92DE9" w:rsidRPr="00CD0B1E" w:rsidRDefault="00A92DE9" w:rsidP="00A92DE9">
      <w:pPr>
        <w:pStyle w:val="NormalHanging"/>
      </w:pPr>
      <w:r w:rsidRPr="00CD0B1E">
        <w:t>B.</w:t>
      </w:r>
      <w:r w:rsidRPr="00CD0B1E">
        <w:tab/>
        <w:t xml:space="preserve">întrucât difuzarea și desfășurarea rapidă a IA contribuie la schimbări structurale în organizarea, geografia și guvernanța comerțului internațional cu servicii, cu implicații pentru competitivitate, ocuparea forței de muncă și dezvoltare; întrucât soluțiile IA cu sursă deschisă oferă avantaje semnificative, inclusiv costuri reduse, și o mai bună confidențialitate a datelor prin implementarea locală, contribuind la o creștere a concurenței sănătoase în domeniul IA și la reducerea dependenței de furnizorii din afara UE; întrucât aceste schimbări interacționează cu lacunele existente în ceea ce privește capacitatea de producție, infrastructura și competențele în UE și în afara acesteia; întrucât menținerea unui model comercial sustenabil deschis, </w:t>
      </w:r>
      <w:proofErr w:type="spellStart"/>
      <w:r w:rsidRPr="00CD0B1E">
        <w:t>rezilient</w:t>
      </w:r>
      <w:proofErr w:type="spellEnd"/>
      <w:r w:rsidRPr="00CD0B1E">
        <w:t xml:space="preserve"> și favorabil incluziunii necesită o strategie coerentă și holistică de gestionare a schimbărilor determinate de IA; întrucât relațiile economice externe ale UE, inclusiv cu partenerii din sudul global, ar trebui să sprijine adoptarea incluzivă a IA și crearea de valoare comună, promovând în același timp un model centrat pe factorul uman, bazat pe principiul eticii implicite, axat pe sprijinirea demnității umane;</w:t>
      </w:r>
    </w:p>
    <w:p w14:paraId="23025E04" w14:textId="77777777" w:rsidR="00A92DE9" w:rsidRPr="00CD0B1E" w:rsidRDefault="00A92DE9" w:rsidP="00A92DE9">
      <w:pPr>
        <w:pStyle w:val="NormalHanging"/>
      </w:pPr>
      <w:r w:rsidRPr="00CD0B1E">
        <w:t>C.</w:t>
      </w:r>
      <w:r w:rsidRPr="00CD0B1E">
        <w:tab/>
        <w:t xml:space="preserve">întrucât fluxurile transfrontaliere de date și accesul la date sunt esențiale pentru dezvoltarea, antrenarea și implementarea IA, dar trebuie examinate cu atenție pentru a se asigura că rămâne garantat un nivel ridicat de protecție a datelor, în special pentru datele cu caracter personal sensibile, cum ar fi datele privind sănătatea; întrucât normele privind comerțul digital modelează din ce în ce mai mult competitivitatea în domeniul </w:t>
      </w:r>
      <w:r w:rsidRPr="00CD0B1E">
        <w:lastRenderedPageBreak/>
        <w:t>IA, subliniind necesitatea unor dispoziții privind cooperarea în materie de reglementare în viitoarele acorduri comerciale și modernizarea celor existente; întrucât cadrul UE centrat pe factorul uman, ancorat în Regulamentul general privind protecția datelor (RGPD) și în Regulamentul privind inteligența artificială, oferă un model credibil pentru o IA de încredere care, dacă este promovat la nivel internațional, poate deveni un avantaj competitiv pe piețe, valorificând transparența și o guvernanță care respectă drepturile; întrucât OMC ar putea fi forumul adecvat pentru discuții multilaterale privind IA și comerțul pentru a aborda denaturările concurenței, barierele comerciale și riscurile de fragmentare a reglementării, asigurând un comerț digital previzibil, echitabil și care respectă drepturile;</w:t>
      </w:r>
    </w:p>
    <w:p w14:paraId="2CDD892F" w14:textId="77777777" w:rsidR="00A92DE9" w:rsidRPr="00CD0B1E" w:rsidRDefault="00A92DE9" w:rsidP="00A92DE9">
      <w:pPr>
        <w:pStyle w:val="NormalHanging"/>
      </w:pPr>
      <w:r w:rsidRPr="00CD0B1E">
        <w:t>D.</w:t>
      </w:r>
      <w:r w:rsidRPr="00CD0B1E">
        <w:tab/>
        <w:t>întrucât utilizarea IA rămâne inegală de la un sector la altul, de la o regiune la alta și de la o întreprindere mai mare sau mai mică la alta, cu avantaje care le revin actorilor care controlează datele, puterea de calcul și competențele, riscând să adâncească decalajele în materie de productivitate și export pentru întreprinderile mici și mijlocii (IMM-uri) și întreprinderile care adoptă IA într-o etapă ulterioară; întrucât competitivitatea comercială bazată pe IA depinde de accesul la date, capacitatea de calcul, energie, conectivitate, capital și competențe, iar mulți dintre acești factori sunt influențați de relațiile comerciale și de investiții; întrucât UE a atras doar 6 % din investițiile globale în start-</w:t>
      </w:r>
      <w:proofErr w:type="spellStart"/>
      <w:r w:rsidRPr="00CD0B1E">
        <w:t>upuri</w:t>
      </w:r>
      <w:proofErr w:type="spellEnd"/>
      <w:r w:rsidRPr="00CD0B1E">
        <w:t xml:space="preserve"> din domeniul IA în prima jumătate a anului 2024, creând dependențe structurale care au un impact asupra relațiilor comerciale și a autonomiei strategice europene; întrucât accesul echitabil la infrastructura de IA este esențial pentru ca IMM-urile să rămână competitive, deoarece se confruntă cu obstacole semnificative în comparație cu marile corporații, inclusiv costuri ridicate ale resurselor de calcul, acces limitat la date și un deficit de talente tehnice;</w:t>
      </w:r>
    </w:p>
    <w:p w14:paraId="49E49FB9" w14:textId="77777777" w:rsidR="00A92DE9" w:rsidRPr="00CD0B1E" w:rsidRDefault="00A92DE9" w:rsidP="00A92DE9">
      <w:pPr>
        <w:pStyle w:val="NormalHanging"/>
      </w:pPr>
      <w:r w:rsidRPr="00CD0B1E">
        <w:t>E.</w:t>
      </w:r>
      <w:r w:rsidRPr="00CD0B1E">
        <w:tab/>
        <w:t>întrucât IA rămâne o tehnologie care evoluează rapid; întrucât intervenția prematură sau excesivă în materie de reglementare riscă să submineze inovarea, investițiile și competitivitatea; întrucât este esențială o abordare proporțională, bazată pe riscuri și favorabilă inovării;</w:t>
      </w:r>
    </w:p>
    <w:p w14:paraId="62D05944" w14:textId="77777777" w:rsidR="00A92DE9" w:rsidRPr="00CD0B1E" w:rsidRDefault="00A92DE9" w:rsidP="00A92DE9">
      <w:pPr>
        <w:pStyle w:val="NormalHanging"/>
      </w:pPr>
      <w:r w:rsidRPr="00CD0B1E">
        <w:t>F.</w:t>
      </w:r>
      <w:r w:rsidRPr="00CD0B1E">
        <w:tab/>
        <w:t>întrucât lanțul de aprovizionare cu IA este foarte concentrat într-un număr mic de țări și regiuni, creând un risc de dependență pentru accesul la puterea de calcul critică, la materii prime și la semiconductori; întrucât infrastructura critică de IA cu capital străin crește riscul de acțiuni străine de manipulare a informațiilor și ingerințe străine; întrucât utilizarea abuzivă a algoritmilor poate submina democrația și poate spori tensiunile comerciale geopolitice actuale; întrucât intensificarea concurenței tehnologice la nivel mondial, marcată de modele divergente de guvernanță a IA, de escaladarea tarifelor și de controlul exporturilor de tehnologii critice, crește riscul ca accesul la principalele contribuții ale IA să fie utilizat ca pârghie geopolitică; întrucât unele ingerințe externe riscă să dilueze standardele ridicate ale UE în materie de transparență, responsabilitate și protecție a drepturilor fundamentale, compromițând astfel capacitatea Uniunii de a-și susține valorile, de a asigura condiții de concurență echitabile pentru întreprinderi și de a proteja cetățenii de riscurile IA și ale tehnologiilor digitale nereglementate; întrucât UE ar trebui să continue să apere aceste standarde; întrucât UE ar trebui să consolideze autonomia strategică prin diversificarea lanțurilor de aprovizionare și prin aprofundarea cooperării cu parteneri de încredere care împărtășesc valori democratice și un angajament față de comerțul deschis și bazat pe norme;</w:t>
      </w:r>
    </w:p>
    <w:p w14:paraId="6DFD7678" w14:textId="77777777" w:rsidR="00A92DE9" w:rsidRPr="00CD0B1E" w:rsidRDefault="00A92DE9" w:rsidP="00A92DE9">
      <w:pPr>
        <w:pStyle w:val="NormalHanging"/>
      </w:pPr>
      <w:r w:rsidRPr="00CD0B1E">
        <w:t>G.</w:t>
      </w:r>
      <w:r w:rsidRPr="00CD0B1E">
        <w:tab/>
        <w:t xml:space="preserve">întrucât dezvoltarea și adoptarea IA se bazează pe accesul la piețele și tehnologiile mondiale, care sunt afectate de cadrele de politică comercială; întrucât OMC sprijină </w:t>
      </w:r>
      <w:r w:rsidRPr="00CD0B1E">
        <w:lastRenderedPageBreak/>
        <w:t>dezvoltarea și adoptarea IA, permițând un comerț mai deschis, mai transparent și mai previzibil cu bunuri și servicii bazate pe IA; întrucât acordurile OMC existente aduc deja contribuții semnificative la dezvoltarea și adoptarea IA, inclusiv Acordul privind tehnologia informației, care reduce costurile de implementare a hardware-ului IA, Acordul privind barierele tehnice în calea comerțului (BTC), care promovează transparența reglementărilor și standardele internaționale, Acordul general privind comerțul cu servicii, care facilitează comerțul cu servicii legate de IA, și Acordul privind aspectele legate de comerț ale drepturilor de proprietate intelectuală, care sprijină dezvoltarea și difuzarea IA;</w:t>
      </w:r>
    </w:p>
    <w:p w14:paraId="2FB6C198" w14:textId="77777777" w:rsidR="00A92DE9" w:rsidRPr="00CD0B1E" w:rsidRDefault="00A92DE9" w:rsidP="00A92DE9">
      <w:pPr>
        <w:pStyle w:val="NormalHanging"/>
      </w:pPr>
      <w:r w:rsidRPr="00CD0B1E">
        <w:t>H.</w:t>
      </w:r>
      <w:r w:rsidRPr="00CD0B1E">
        <w:tab/>
        <w:t>întrucât dubla utilizare și militarizarea tot mai mare a IA, inclusiv implementarea sa în conflicte contemporane, cum ar fi războiul de agresiune al Rusiei împotriva Ucrainei, accelerează trecerea de la o cooperare axată pe siguranță la o concurență geo-economică și în materie de securitate bazată pe IA; întrucât guvernanța IA, controlul exporturilor și standardele sunt utilizate din ce în ce mai mult ca instrumente de influență strategică și de proiecție a puterii;</w:t>
      </w:r>
    </w:p>
    <w:p w14:paraId="112DC28F" w14:textId="77777777" w:rsidR="00A92DE9" w:rsidRPr="00CD0B1E" w:rsidRDefault="00A92DE9" w:rsidP="00A92DE9">
      <w:pPr>
        <w:pStyle w:val="NormalHanging"/>
      </w:pPr>
      <w:r w:rsidRPr="00CD0B1E">
        <w:t>I.</w:t>
      </w:r>
      <w:r w:rsidRPr="00CD0B1E">
        <w:tab/>
        <w:t>întrucât IA poate fi utilizată în sistemele de arme și în instrumentele de supraveghere în masă; întrucât astfel de practici vor crea preocupări profunde de ordin etic și legate de drepturile omului; întrucât Secretarul General al Organizației Națiunilor Unite a solicitat interzicerea la nivel mondial a sistemelor de arme autonome letale, mașini capabile să ucidă oameni fără supraveghere umană,</w:t>
      </w:r>
    </w:p>
    <w:p w14:paraId="238D8F5D" w14:textId="77777777" w:rsidR="00A92DE9" w:rsidRPr="00CD0B1E" w:rsidRDefault="00A92DE9" w:rsidP="00A92DE9">
      <w:pPr>
        <w:pStyle w:val="Normal12a"/>
      </w:pPr>
      <w:r w:rsidRPr="00CD0B1E">
        <w:rPr>
          <w:b/>
          <w:i/>
        </w:rPr>
        <w:t>IA pentru facilitarea comerțului și asigurarea respectării reglementărilor</w:t>
      </w:r>
    </w:p>
    <w:p w14:paraId="08C1AB18" w14:textId="77777777" w:rsidR="00A92DE9" w:rsidRPr="00CD0B1E" w:rsidRDefault="00A92DE9" w:rsidP="00A92DE9">
      <w:pPr>
        <w:pStyle w:val="NormalHanging12a"/>
      </w:pPr>
      <w:r w:rsidRPr="00CD0B1E">
        <w:t>1.</w:t>
      </w:r>
      <w:r w:rsidRPr="00CD0B1E">
        <w:tab/>
        <w:t>recunoaște că IA poate accelera exporturile și importurile UE, în special pentru IMM-uri, prin reducerea barierelor la intrarea pe piață și a costurilor de asigurare a conformității, permițând întreprinderilor să ajungă pe piețe care anterior erau inaccesibile, cu condiția ca IMM-urile să aibă un acces echitabil la infrastructura de IA; invită Comisia să integreze servicii de consiliere fiabile în domeniul IA în portalul Access2Markets și în punctul unic de intrare pentru a găsi orientare în domeniul tarifelor, al regulilor de origine și al cerințelor de reglementare; invită Comisia să acorde prioritate instrumentelor de IA favorabile IMM-urilor și să se asigure că soluțiile digitale de asigurare a conformității rămân simple, abordabile ca preț și accesibile;</w:t>
      </w:r>
    </w:p>
    <w:p w14:paraId="08CD7610" w14:textId="77777777" w:rsidR="00A92DE9" w:rsidRPr="00CD0B1E" w:rsidRDefault="00A92DE9" w:rsidP="00A92DE9">
      <w:pPr>
        <w:pStyle w:val="NormalHanging12a"/>
      </w:pPr>
      <w:r w:rsidRPr="00CD0B1E">
        <w:t>2.</w:t>
      </w:r>
      <w:r w:rsidRPr="00CD0B1E">
        <w:tab/>
        <w:t>ia act de faptul că IA poate contribui la reducerea întârzierilor și a costurilor în lanțurile de aprovizionare ale UE prin îmbunătățirea planificării și a coordonării; invită Comisia să facă din comerțul fără hârtie norma și să promoveze schimbul de informații fiabile între operatori și autorități; solicită investiții în logistica bazată pe IA care reduce blocajele din porturi și coridoare, precum și sprijin pentru o logistică mai ecologică prin rutare și întreținere mai inteligente; invită Comisia să stimuleze soluțiile bazate pe IA cu sursă deschisă care contribuie la creșterea concurenței și reduc dependența de furnizorii din afara UE; subliniază că digitalizarea și logistica bazată pe IA ar trebui să conducă la o mai mare productivitate, eficiență și gestionare a lanțului de aprovizionare, la costuri comerciale mai mici și la sarcini administrative reduse;</w:t>
      </w:r>
    </w:p>
    <w:p w14:paraId="4D36FC15" w14:textId="77777777" w:rsidR="00A92DE9" w:rsidRPr="00CD0B1E" w:rsidRDefault="00A92DE9" w:rsidP="00A92DE9">
      <w:pPr>
        <w:pStyle w:val="NormalHanging12a"/>
      </w:pPr>
      <w:r w:rsidRPr="00CD0B1E">
        <w:t>3.</w:t>
      </w:r>
      <w:r w:rsidRPr="00CD0B1E">
        <w:tab/>
        <w:t xml:space="preserve">ia act de rolul potențial al IA în consolidarea controalelor vamale în contextul </w:t>
      </w:r>
      <w:proofErr w:type="spellStart"/>
      <w:r w:rsidRPr="00CD0B1E">
        <w:t>supracapacității</w:t>
      </w:r>
      <w:proofErr w:type="spellEnd"/>
      <w:r w:rsidRPr="00CD0B1E">
        <w:t xml:space="preserve"> pieței și al limitărilor aferente inspecțiilor umane în fața provocărilor generate de afluxul de bunuri, în special de coletele mici care provin din China; invită Comisia să furnizeze resurse și competențe autorităților de supraveghere a pieței și autorităților vamale, inclusiv prin consolidarea cooperării dintre statele membre în </w:t>
      </w:r>
      <w:r w:rsidRPr="00CD0B1E">
        <w:lastRenderedPageBreak/>
        <w:t>cadrul Platformei de date vamale a UE, pentru a se asigura că utilizarea IA îmbunătățește capacitatea de asigurare a respectării legii și schimbul de date între autorități; invită Comisia să investigheze potențialul IA de a susține conformitatea bunurilor importate cu legislația UE, de a îmbunătăți trasabilitatea în timp real și controlul vamal al produselor importate și supravegherea pieței, de a implementa instrumente de IA sigure și specifice pentru a analiza în mod sistematic datele din coletele mici sau de a asigura trasabilitatea produselor de-a lungul întregului lanț de aprovizionare, pentru a combate mărfurile contrafăcute, frauda vamală, practicile comerciale neloiale și eludarea sancțiunilor impuse de UE; subliniază că astfel de sisteme de IA ar constitui o infrastructură critică și, prin urmare, ar trebui să rămână independente și suverane; invită Comisia să se asigure că aceste instrumente respectă cu strictețe legislația relevantă a UE;</w:t>
      </w:r>
    </w:p>
    <w:p w14:paraId="51719B47" w14:textId="5CD35853" w:rsidR="00A92DE9" w:rsidRPr="00CD0B1E" w:rsidRDefault="00A92DE9" w:rsidP="00A92DE9">
      <w:pPr>
        <w:pStyle w:val="NormalHanging12a"/>
      </w:pPr>
      <w:r w:rsidRPr="00CD0B1E">
        <w:t>4.</w:t>
      </w:r>
      <w:r w:rsidRPr="00CD0B1E">
        <w:tab/>
        <w:t>ia act de faptul că IA poate fi un instrument util pentru ca întreprinderile, autoritățile vamale și autoritățile de supraveghere a pieței să susțină protecția drepturilor omului prin facilitarea punerii în aplicare efective și a respectării normelor UE, cum ar fi Directiva privind diligența necesară în materie de durabilitate a întreprinderilor</w:t>
      </w:r>
      <w:r w:rsidR="0071720E" w:rsidRPr="00CD0B1E">
        <w:rPr>
          <w:rStyle w:val="FootnoteReference"/>
        </w:rPr>
        <w:footnoteReference w:id="10"/>
      </w:r>
      <w:r w:rsidRPr="00CD0B1E">
        <w:t>, Regulamentul privind defrișările</w:t>
      </w:r>
      <w:r w:rsidR="0071720E" w:rsidRPr="00CD0B1E">
        <w:rPr>
          <w:rStyle w:val="FootnoteReference"/>
        </w:rPr>
        <w:footnoteReference w:id="11"/>
      </w:r>
      <w:r w:rsidRPr="00CD0B1E">
        <w:t xml:space="preserve"> sau Regulamentul UE privind munca forțată</w:t>
      </w:r>
      <w:r w:rsidR="0071720E" w:rsidRPr="00CD0B1E">
        <w:rPr>
          <w:rStyle w:val="FootnoteReference"/>
        </w:rPr>
        <w:footnoteReference w:id="12"/>
      </w:r>
      <w:r w:rsidRPr="00CD0B1E">
        <w:t>, și să susțină protecția consumatorilor prin facilitarea punerii în aplicare efective și a respectării normelor UE, cum ar fi înregistrarea, evaluarea, autorizarea și restricționarea substanțelor chimice (REACH), marcajul CE și Regulamentul privind siguranța generală a produselor</w:t>
      </w:r>
      <w:r w:rsidR="0071720E" w:rsidRPr="00CD0B1E">
        <w:rPr>
          <w:rStyle w:val="FootnoteReference"/>
        </w:rPr>
        <w:footnoteReference w:id="13"/>
      </w:r>
      <w:r w:rsidRPr="00CD0B1E">
        <w:t>;</w:t>
      </w:r>
    </w:p>
    <w:p w14:paraId="0E5ED0FB" w14:textId="77777777" w:rsidR="00A92DE9" w:rsidRPr="00CD0B1E" w:rsidRDefault="00A92DE9" w:rsidP="00A92DE9">
      <w:pPr>
        <w:pStyle w:val="Normal12a"/>
      </w:pPr>
      <w:r w:rsidRPr="00CD0B1E">
        <w:rPr>
          <w:b/>
          <w:i/>
        </w:rPr>
        <w:t>IA și schimbările structurale în comerțul cu bunuri și servicii și comerțul și dezvoltarea durabilă</w:t>
      </w:r>
    </w:p>
    <w:p w14:paraId="6683ED05" w14:textId="77777777" w:rsidR="00A92DE9" w:rsidRPr="00CD0B1E" w:rsidRDefault="00A92DE9" w:rsidP="00A92DE9">
      <w:pPr>
        <w:pStyle w:val="NormalHanging12a"/>
      </w:pPr>
      <w:r w:rsidRPr="00CD0B1E">
        <w:t>5.</w:t>
      </w:r>
      <w:r w:rsidRPr="00CD0B1E">
        <w:tab/>
        <w:t xml:space="preserve">recunoaște că competitivitatea Europei în comerțul cu bunuri va depinde din ce în ce mai mult de productivitatea bazată pe IA și de creșterea calității lanțurilor valorice industriale strategice, inclusiv a tehnologiilor de producție, auto, farmaceutice și energetice; invită Comisia să reflecte aceste interese în mod sistematic în negocierile comerciale, asigurând accesul efectiv pe piață, discipline solide privind barierele netarifare și dispoziții executorii care să mențină condiții de concurență echitabile prin </w:t>
      </w:r>
      <w:r w:rsidRPr="00CD0B1E">
        <w:lastRenderedPageBreak/>
        <w:t>prevenirea concurenței neloiale și a denaturărilor legate de tehnologie, recunoscând totodată dreptul UE de a reglementa;</w:t>
      </w:r>
    </w:p>
    <w:p w14:paraId="6E28CFBA" w14:textId="77777777" w:rsidR="00A92DE9" w:rsidRPr="00CD0B1E" w:rsidRDefault="00A92DE9" w:rsidP="00A92DE9">
      <w:pPr>
        <w:pStyle w:val="NormalHanging12a"/>
      </w:pPr>
      <w:r w:rsidRPr="00CD0B1E">
        <w:t>6.</w:t>
      </w:r>
      <w:r w:rsidRPr="00CD0B1E">
        <w:tab/>
        <w:t xml:space="preserve">recunoaște că IA remodelează comerțul cu servicii furnizate digital prin mercantilizarea expertizei, necesitând astfel eforturi suplimentare pentru a menține avantajul comparativ istoric al Europei în ceea ce privește serviciile cu valoare ridicată profesionale, tehnice și pentru întreprinderi; subliniază că răspunsul la intensificarea concurenței la nivel mondial în comerțul cu servicii necesită mobilizarea investițiilor și îmbunătățirea accesului la finanțare, așa cum este prevăzut în rapoartele </w:t>
      </w:r>
      <w:proofErr w:type="spellStart"/>
      <w:r w:rsidRPr="00CD0B1E">
        <w:t>Draghi</w:t>
      </w:r>
      <w:proofErr w:type="spellEnd"/>
      <w:r w:rsidRPr="00CD0B1E">
        <w:t xml:space="preserve"> și </w:t>
      </w:r>
      <w:proofErr w:type="spellStart"/>
      <w:r w:rsidRPr="00CD0B1E">
        <w:t>Letta</w:t>
      </w:r>
      <w:proofErr w:type="spellEnd"/>
      <w:r w:rsidRPr="00CD0B1E">
        <w:t>; îndeamnă Comisia să mobilizeze parteneriate comerciale și de investiții pentru a atrage capital și talente și pentru a extinde întreprinderile europene;</w:t>
      </w:r>
    </w:p>
    <w:p w14:paraId="2EB5F687" w14:textId="77777777" w:rsidR="00A92DE9" w:rsidRPr="00CD0B1E" w:rsidRDefault="00A92DE9" w:rsidP="00A92DE9">
      <w:pPr>
        <w:pStyle w:val="NormalHanging12a"/>
      </w:pPr>
      <w:r w:rsidRPr="00CD0B1E">
        <w:t>7.</w:t>
      </w:r>
      <w:r w:rsidRPr="00CD0B1E">
        <w:tab/>
        <w:t>recunoaște potențialul IA de a remodela piețele muncii și ale forței de muncă la nivel mondial; avertizează cu privire la riscurile de strămutare generate de automatizare, de comerțul cu servicii bazate pe IA și de adâncirea lacunelor în materie de competențe în rândul forței de muncă din UE; subliniază, prin urmare, necesitatea de a adopta strategii pentru a anticipa aceste schimbări și pentru a adapta forța de muncă în consecință; constată că dezvoltarea și implementarea modelelor și sistemelor de IA au consecințe negative asupra mediului, inclusiv creșterea cererii de energie electrică și a consumului de apă; invită Comisia să analizeze, în cadrul evaluărilor impactului acordurilor de liber schimb, care sunt sectoarele susceptibile de a fi afectate de IA și să evalueze impactul utilizării IA asupra drepturilor lucrătorilor și a mediului;</w:t>
      </w:r>
    </w:p>
    <w:p w14:paraId="15BF5883" w14:textId="77777777" w:rsidR="00A92DE9" w:rsidRPr="00CD0B1E" w:rsidRDefault="00A92DE9" w:rsidP="00A92DE9">
      <w:pPr>
        <w:pStyle w:val="NormalHanging12a"/>
      </w:pPr>
      <w:r w:rsidRPr="00CD0B1E">
        <w:t>8.</w:t>
      </w:r>
      <w:r w:rsidRPr="00CD0B1E">
        <w:tab/>
        <w:t xml:space="preserve">avertizează că decalajul digital riscă să excludă partenerii din sudul global de la oportunitățile de creștere bazate pe IA, sporind dependența de modelele importate; subliniază că cooperarea care sprijină utilizarea instrumentelor de IA în țările în curs de dezvoltare ar trebui să consolideze sistemul comercial multilateral și să fie promovată prin intermediul cadrului OMC; invită Comisia să utilizeze dispozițiile privind incluziunea digitală din capitolele privind comerțul și dezvoltarea durabilă și din acordurile privind comerțul digital pentru a sprijini adoptarea IA și creșterea productivității, precum și pentru a promova o IA incluzivă și de încredere prin programe de cooperare internațională și inițiative de consolidare a capacităților specifice în cadrul instrumentelor externe existente ale UE, inclusiv programe de formare și acces la infrastructura digitală și de IA; invită Comisia să concentreze consolidarea capacităților Global Gateway pe ecosisteme de IA cu sursă deschisă și etice și pe capacitățile locale, promovând relații comerciale și de investiții </w:t>
      </w:r>
      <w:proofErr w:type="spellStart"/>
      <w:r w:rsidRPr="00CD0B1E">
        <w:t>reziliente</w:t>
      </w:r>
      <w:proofErr w:type="spellEnd"/>
      <w:r w:rsidRPr="00CD0B1E">
        <w:t xml:space="preserve"> și reciproc avantajoase;</w:t>
      </w:r>
    </w:p>
    <w:p w14:paraId="68B3474B" w14:textId="77777777" w:rsidR="00A92DE9" w:rsidRPr="00CD0B1E" w:rsidRDefault="00A92DE9" w:rsidP="00A92DE9">
      <w:pPr>
        <w:pStyle w:val="NormalHanging12a"/>
      </w:pPr>
      <w:r w:rsidRPr="00CD0B1E">
        <w:t>9.</w:t>
      </w:r>
      <w:r w:rsidRPr="00CD0B1E">
        <w:tab/>
        <w:t>ia act de faptul că soluțiile de IA cu sursă deschisă, prin faptul că permit reutilizarea transparentă și testarea independentă, oferă avantaje semnificative, inclusiv costuri reduse și o mai bună confidențialitate a datelor prin implementarea locală, contribuind la o creștere a concurenței sănătoase în domeniul IA și la reducerea dependenței de furnizorii din afara UE, sprijinind în același timp soluții de IA care pot fi auditate și sunt adaptate la nivel local, dezvoltate în comun cu parteneri din sudul global; subliniază că integrarea unei astfel de cooperări în politica comercială a UE și în parteneriatele digitale poate diversifica parteneriatele, poate reduce dependența de câteva ecosisteme brevetate și poate consolida legăturile geopolitice pe termen lung; invită Comisia să stimuleze soluțiile bazate pe IA cu sursă deschisă, care contribuie la reducerea dependenței de furnizorii din afara UE; subliniază că colaborarea cu sursă deschisă ar trebui să includă proiecte legate de IA pentru binele public, cum ar fi combaterea schimbărilor climatice, sprijinirea tranziției curate și îmbunătățirea asistenței medicale și a securității alimentare;</w:t>
      </w:r>
    </w:p>
    <w:p w14:paraId="40C300CE" w14:textId="77777777" w:rsidR="00A92DE9" w:rsidRPr="00CD0B1E" w:rsidRDefault="00A92DE9" w:rsidP="00A92DE9">
      <w:pPr>
        <w:pStyle w:val="Normal12a"/>
      </w:pPr>
      <w:r w:rsidRPr="00CD0B1E">
        <w:rPr>
          <w:b/>
          <w:i/>
        </w:rPr>
        <w:lastRenderedPageBreak/>
        <w:t>Guvernanța comerțului digital, cooperarea în materie de reglementare și normele multilaterale</w:t>
      </w:r>
    </w:p>
    <w:p w14:paraId="1402C2A5" w14:textId="77777777" w:rsidR="00A92DE9" w:rsidRPr="00CD0B1E" w:rsidRDefault="00A92DE9" w:rsidP="00A92DE9">
      <w:pPr>
        <w:pStyle w:val="NormalHanging12a"/>
      </w:pPr>
      <w:r w:rsidRPr="00CD0B1E">
        <w:t>10.</w:t>
      </w:r>
      <w:r w:rsidRPr="00CD0B1E">
        <w:tab/>
        <w:t>subliniază rolul strategic al parteneriatelor digitale și al consiliilor pentru comerț și tehnologie cu parteneri care împărtășesc aceeași viziune și valorile democratice, standardele înalte de guvernanță și un angajament față de comerțul deschis și bazat pe norme în proiectarea abordării UE a IA bazate pe valori, centrate pe factorul uman și bazate pe riscuri; solicită o mai mare includere a Parlamentului în consiliile pentru comerț și tehnologie; invită Comisia să pună în aplicare Strategia digitală internațională prin poziții coordonate în cadrul G7, G20, al Organizației pentru Cooperare și Dezvoltare Economică (OCDE) și al Organizației Națiunilor Unite, precum și printr-o cooperare structurată între autoritățile de reglementare pentru a stimula convergența la nivel mondial în ceea ce privește standardele ridicate de siguranță a IA și de protecție a drepturilor fundamentale;</w:t>
      </w:r>
    </w:p>
    <w:p w14:paraId="48F1E552" w14:textId="77777777" w:rsidR="00A92DE9" w:rsidRPr="00CD0B1E" w:rsidRDefault="00A92DE9" w:rsidP="00A92DE9">
      <w:pPr>
        <w:pStyle w:val="NormalHanging12a"/>
      </w:pPr>
      <w:r w:rsidRPr="00CD0B1E">
        <w:t>11.</w:t>
      </w:r>
      <w:r w:rsidRPr="00CD0B1E">
        <w:tab/>
        <w:t>subliniază necesitatea de a apăra și de a promova, în special în forurile multilaterale, modelul de IA al UE centrat pe factorul uman ca standard internațional și Regulamentul privind inteligența artificială ca criteriu de referință care poate contribui la alinierea standardelor de transparență și siguranță, menținând în același timp comerțul deschis și previzibil; invită Comisia să consolideze cooperarea privind standardele în domeniul IA, inovarea tehnologică și lanțurile de aprovizionare sigure cu parteneri de încredere și cu țări care împărtășesc aceeași viziune, inclusiv prin parteneriate bilaterale și forumuri multilaterale, acordând prioritate partenerilor care apără valorile democratice și ordinea internațională bazată pe norme; ia act de faptul că sistemele de IA avansate creează provocări transfrontaliere și invită Comisia să depună eforturi pentru a ajunge la un nivel minim de protecție la nivel mondial împotriva celor mai grave riscuri, ca bază pentru o guvernanță interoperabilă și de încredere, în special prin inițiative internaționale, cum ar fi Parteneriatul mondial privind IA, principiile OCDE privind IA și cadrul etic pentru IA al UNESCO;</w:t>
      </w:r>
    </w:p>
    <w:p w14:paraId="02F7492B" w14:textId="77777777" w:rsidR="00A92DE9" w:rsidRPr="00CD0B1E" w:rsidRDefault="00A92DE9" w:rsidP="00A92DE9">
      <w:pPr>
        <w:pStyle w:val="NormalHanging12a"/>
      </w:pPr>
      <w:r w:rsidRPr="00CD0B1E">
        <w:t>12.</w:t>
      </w:r>
      <w:r w:rsidRPr="00CD0B1E">
        <w:tab/>
        <w:t xml:space="preserve">subliniază că, dincolo de un nivel minim de protecție la nivel mondial, este necesară o coaliție de parteneri care împărtășesc aceeași viziune și abordarea centrată pe factorul uman a UE, pentru a avansa mai rapid în ceea ce privește punerea în aplicare a unor standarde ridicate de siguranță, transparență, responsabilitate și drepturi fundamentale în domeniul IA, în special prin intermediul unui dialog structurat în materie de reglementare pentru a soluționa litigiile, a face schimb de bune practici și a adapta angajamentele în funcție de evoluțiile tehnologice; invită, în plus, Comisia să asocieze convergența normativă în ceea ce privește standardele ridicate în materie de siguranță și drepturi fundamentale cu o consolidare concretă a capacităților, inclusiv cu investiții comune în capacități de calcul și testare sigure și la prețuri accesibile, parteneriate pentru talente și competențe menite să reducă dependența strategică și să creeze modele de punere în aplicare credibile cu care țările partenere se pot alinia, consolidând o IA de încredere ca bază pentru un comerț digital deschis și </w:t>
      </w:r>
      <w:proofErr w:type="spellStart"/>
      <w:r w:rsidRPr="00CD0B1E">
        <w:t>rezilient</w:t>
      </w:r>
      <w:proofErr w:type="spellEnd"/>
      <w:r w:rsidRPr="00CD0B1E">
        <w:t>;</w:t>
      </w:r>
    </w:p>
    <w:p w14:paraId="63BEA9F2" w14:textId="77777777" w:rsidR="00A92DE9" w:rsidRPr="00CD0B1E" w:rsidRDefault="00A92DE9" w:rsidP="00A92DE9">
      <w:pPr>
        <w:pStyle w:val="NormalHanging12a"/>
      </w:pPr>
      <w:r w:rsidRPr="00CD0B1E">
        <w:t>13.</w:t>
      </w:r>
      <w:r w:rsidRPr="00CD0B1E">
        <w:tab/>
        <w:t xml:space="preserve">subliniază că fluxurile de date legale și sigure sunt esențiale pentru comerțul bazat pe IA; reamintește necesitatea ca acordurile UE în domeniul comerțului digital să respecte dispozițiile orizontale ale Comisiei privind fluxurile transfrontaliere de date și protecția datelor cu caracter personal și a vieții private din titlul privind comerțul digital din acordurile comerciale ale UE, care permit Uniunii să includă măsuri de facilitare a fluxurilor transfrontaliere de date în acordurile comerciale, menținând în același timp drepturile fundamentale ale persoanelor la protecția datelor și a vieții private, subliniind </w:t>
      </w:r>
      <w:r w:rsidRPr="00CD0B1E">
        <w:lastRenderedPageBreak/>
        <w:t>că acestea ar trebui să includă dispoziții specifice privind cooperarea în materie de reglementare în domeniul IA, facilitând înțelegerea reciprocă a abordărilor în materie de reglementare, și invită Comisia să includă astfel de dispoziții în toate viitoarele capitole și acorduri privind comerțul digital; reafirmă că garanțiile care respectă RGPD sau standarde echivalente reprezintă cerințele minime pentru transferurile de date cu caracter personal în UE; solicită ca acordurile privind comerțul digital să protejeze autonomia în materie de reglementare și să mențină accesul tehnic de care au nevoie autoritățile de reglementare pentru a pune în aplicare Regulamentul privind IA și pentru a asigura transparența, posibilitatea auditării, echitatea, siguranța și responsabilitatea sistemelor de IA, asigurând, în același timp, accesul societății civile și al cercetătorilor independenți la codul sursă și la algoritmii sistemelor;</w:t>
      </w:r>
    </w:p>
    <w:p w14:paraId="248A9304" w14:textId="77777777" w:rsidR="00A92DE9" w:rsidRPr="00CD0B1E" w:rsidRDefault="00A92DE9" w:rsidP="00A92DE9">
      <w:pPr>
        <w:pStyle w:val="NormalHanging12a"/>
      </w:pPr>
      <w:r w:rsidRPr="00CD0B1E">
        <w:t>14.</w:t>
      </w:r>
      <w:r w:rsidRPr="00CD0B1E">
        <w:tab/>
        <w:t>reamintește angajamentul UE față de un sistem comercial multilateral bazat pe norme; subliniază că OMC ar trebui să contribuie în mod semnificativ la dezvoltarea unui cadru solid, sigur, incluziv și fiabil de guvernanță a IA pentru comerț, inclusiv prin instituirea unui grup de lucru specific al OMC privind inteligența artificială, care să faciliteze dialogul, schimbul de cunoștințe și cooperarea între membri cu privire la politicile și reglementările în domeniul IA; subliniază că normele echilibrate privind comerțul electronic sunt vitale pentru a debloca comerțul bazat pe IA; invită Comisia să se asigure că orice text al OMC privind comerțul electronic asigură un spațiu de politici pentru guvernanța democratică a IA, inclusiv garanții aplicabile pentru lucrători și consumatori; invită Comisia să impulsioneze discuțiile privind IA și comerțul în cadrul OMC și să promoveze cooperarea globală care facilitează fluxurile de date de încredere și comerțul digital, precum și accesul la servicii și instrumente bazate pe IA, în special în țările în curs de dezvoltare;</w:t>
      </w:r>
    </w:p>
    <w:p w14:paraId="7336D2B9" w14:textId="77777777" w:rsidR="00A92DE9" w:rsidRPr="00CD0B1E" w:rsidRDefault="00A92DE9" w:rsidP="00A92DE9">
      <w:pPr>
        <w:pStyle w:val="NormalHanging12a"/>
      </w:pPr>
      <w:r w:rsidRPr="00CD0B1E">
        <w:t>15.</w:t>
      </w:r>
      <w:r w:rsidRPr="00CD0B1E">
        <w:tab/>
        <w:t>avertizează că regimurile divergente de conformitate în domeniul IA riscă să fragmenteze piețele și să crească costurile comerciale; subliniază rolul cooperării internaționale în prevenirea fragmentării în materie de reglementare; invită Comisia să utilizeze standardele internaționale și barierele tehnice ale OMC în calea comerțului (BTC) și disciplinele în materie de transparență ca instrumente pentru a preveni ca divergențele în materie de reglementare să devină o barieră comercială nejustificată, menținând și valorificând în același timp cadrul de guvernanță al UE în domeniul IA pentru a facilita comerțul digital de încredere și a crea condiții de concurență echitabile la nivel mondial pentru o IA de încredere;</w:t>
      </w:r>
    </w:p>
    <w:p w14:paraId="193EEDFC" w14:textId="77777777" w:rsidR="00A92DE9" w:rsidRPr="00CD0B1E" w:rsidRDefault="00A92DE9" w:rsidP="00A92DE9">
      <w:pPr>
        <w:pStyle w:val="Normal12a"/>
      </w:pPr>
      <w:r w:rsidRPr="00CD0B1E">
        <w:rPr>
          <w:b/>
          <w:i/>
        </w:rPr>
        <w:t>Securitatea economică și dependențele strategice în lanțul valoric al IA</w:t>
      </w:r>
    </w:p>
    <w:p w14:paraId="1E3C89E2" w14:textId="77777777" w:rsidR="00A92DE9" w:rsidRPr="00CD0B1E" w:rsidRDefault="00A92DE9" w:rsidP="00A92DE9">
      <w:pPr>
        <w:pStyle w:val="NormalHanging12a"/>
      </w:pPr>
      <w:r w:rsidRPr="00CD0B1E">
        <w:t>16.</w:t>
      </w:r>
      <w:r w:rsidRPr="00CD0B1E">
        <w:tab/>
        <w:t xml:space="preserve">subliniază că accesul sigur la semiconductori avansați și la o putere de calcul la prețuri accesibile este fundamental pentru suveranitatea tehnologică și competitivitatea UE; ia act de faptul că Regulamentul privind cipurile și agenda privind fabricile de IA riscă să rămână insuficiente din cauza livrării fragmentate și a amplorii limitate; invită Comisia să accelereze punerea lor în aplicare, să își continue diplomația în domeniul materiilor prime și să valorifice acordurile comerciale, acordurile-cadru și acordurile de parteneriat cu parteneri de încredere pentru a diversifica lanțurile de aprovizionare și a reduce dependențele strategice; în acest context, recunoaște rolul esențial al ecosistemelor avansate de producție a cipurilor în economiile partenere care împărtășesc aceeași viziune în sprijinirea capacității globale de calcul a IA și încurajează aprofundarea cooperării cu acești parteneri în ceea ce privește reziliența lanțului de aprovizionare cu semiconductori; subliniază, de asemenea, că este urgent să se consolideze producția europeană de semiconductori avansați, în special prin sprijinirea inițiativelor europene, </w:t>
      </w:r>
      <w:r w:rsidRPr="00CD0B1E">
        <w:lastRenderedPageBreak/>
        <w:t>cum ar fi propunerea de revizuire a Regulamentului privind cipurile (Regulamentul privind cipurile 2.0); invită Comisia să aibă o strategie mai clară cu privire la modul în care UE s-ar putea dezvolta ca actor-cheie în ecosistemul IA și să integreze dispoziții solide în acordurile comerciale pentru a asigura accesul echitabil la tehnologii și materii prime critice;</w:t>
      </w:r>
    </w:p>
    <w:p w14:paraId="13825276" w14:textId="77777777" w:rsidR="00A92DE9" w:rsidRPr="00CD0B1E" w:rsidRDefault="00A92DE9" w:rsidP="00A92DE9">
      <w:pPr>
        <w:pStyle w:val="NormalHanging12a"/>
      </w:pPr>
      <w:r w:rsidRPr="00CD0B1E">
        <w:t>17.</w:t>
      </w:r>
      <w:r w:rsidRPr="00CD0B1E">
        <w:tab/>
        <w:t>consideră că parteneriatele strategice privind reziliența lanțului de aprovizionare cu minerale critice sunt instrumente potențial semnificative pentru o mai bună coordonare cu aliații în ceea ce privește accesul la factorii de producție critici pentru IA, inclusiv pământuri rare și materiale avansate pentru semiconductori; insistă că implicarea UE trebuie să fie condiționată de coerența cu criteriile de referință prevăzute în Regulamentul privind materiile prime critice și cu obiectivele de autonomie strategică deschisă ale UE, astfel încât să reducă vulnerabilitățile, și nu doar să transfere dependențele; invită Comisia să se asigure că toate instrumentele comerciale plurilaterale care decurg din astfel de parteneriate, inclusiv mecanisme precum prețuri minime sau acorduri de preluare a producției, sunt compatibile cu angajamentele OMC și servesc interesele UE; solicită consolidarea dialogului și a cooperării între partenerii de încredere pentru a proteja fluxurile comerciale internaționale și a consolida integritatea și reziliența ecosistemelor industriale legate de IA;</w:t>
      </w:r>
    </w:p>
    <w:p w14:paraId="09A2248E" w14:textId="48AC6A8D" w:rsidR="00A92DE9" w:rsidRPr="00CD0B1E" w:rsidRDefault="00A92DE9" w:rsidP="00A92DE9">
      <w:pPr>
        <w:pStyle w:val="NormalHanging12a"/>
      </w:pPr>
      <w:r w:rsidRPr="00CD0B1E">
        <w:t>18.</w:t>
      </w:r>
      <w:r w:rsidRPr="00CD0B1E">
        <w:tab/>
        <w:t xml:space="preserve">avertizează că concentrarea infrastructurii de </w:t>
      </w:r>
      <w:proofErr w:type="spellStart"/>
      <w:r w:rsidRPr="00CD0B1E">
        <w:t>cloud</w:t>
      </w:r>
      <w:proofErr w:type="spellEnd"/>
      <w:r w:rsidRPr="00CD0B1E">
        <w:t xml:space="preserve"> în țările din afara UE expune UE la vulnerabilități jurisdicționale externe; invită Comisia să instituie, prin intermediul actului legislativ privind dezvoltarea tehnologiilor de tip </w:t>
      </w:r>
      <w:proofErr w:type="spellStart"/>
      <w:r w:rsidRPr="00CD0B1E">
        <w:t>cloud</w:t>
      </w:r>
      <w:proofErr w:type="spellEnd"/>
      <w:r w:rsidRPr="00CD0B1E">
        <w:t xml:space="preserve"> și a IA propus și al Actului legislativ privind accelerarea activității industriale (</w:t>
      </w:r>
      <w:r w:rsidR="0071720E" w:rsidRPr="00CD0B1E">
        <w:t>COM(2026)0100</w:t>
      </w:r>
      <w:r w:rsidRPr="00CD0B1E">
        <w:t>), cadre graduale de suveranitate care să acorde prioritate furnizorilor cu sediul în UE pentru servicii critice prin intermediul achizițiilor publice, asigurând, în același timp, autonomia strategică deschisă prin menținerea accesului nediscriminatoriu pentru furnizorii care împărtășesc aceeași viziune și care îndeplinesc cerințele UE în materie de certificare și interoperabilitate;</w:t>
      </w:r>
    </w:p>
    <w:p w14:paraId="2C610B18" w14:textId="77777777" w:rsidR="00A92DE9" w:rsidRPr="00CD0B1E" w:rsidRDefault="00A92DE9" w:rsidP="00A92DE9">
      <w:pPr>
        <w:pStyle w:val="NormalHanging12a"/>
      </w:pPr>
      <w:r w:rsidRPr="00CD0B1E">
        <w:t>19.</w:t>
      </w:r>
      <w:r w:rsidRPr="00CD0B1E">
        <w:tab/>
        <w:t xml:space="preserve">invită Comisia să se asigure că doctrina sa de securitate economică coordonează examinarea investițiilor străine directe, acordând o atenție deosebită sectoarelor digitale strategice, cum ar fi platformele de IA, serviciile de </w:t>
      </w:r>
      <w:proofErr w:type="spellStart"/>
      <w:r w:rsidRPr="00CD0B1E">
        <w:t>cloud</w:t>
      </w:r>
      <w:proofErr w:type="spellEnd"/>
      <w:r w:rsidRPr="00CD0B1E">
        <w:t xml:space="preserve"> și centrele de date, controlul exporturilor, Instrumentul de contracarare a acțiunilor coercitive și apărarea comercială, ca sistem coerent care împiedică utilizarea ca armă a dependențelor de IA; avertizează că restricțiile la exportul de materii prime critice și volatilitatea geopolitică tot mai mare necesită o coordonare și o aplicare consolidate pentru a proteja ecosistemul IA din Europa; invită Comisia să propună o revizuire specifică a Regulamentului privind produsele cu dublă utilizare pentru a aborda într-un mod mai cuprinzător inteligența artificială avansată, având în vedere utilizarea sa potențială de către țările terțe în aplicațiile de securitate, supraveghere sau apărare;</w:t>
      </w:r>
    </w:p>
    <w:p w14:paraId="21F35157" w14:textId="77777777" w:rsidR="00A92DE9" w:rsidRPr="00CD0B1E" w:rsidRDefault="00A92DE9" w:rsidP="00A92DE9">
      <w:pPr>
        <w:pStyle w:val="NormalHanging12a"/>
      </w:pPr>
      <w:r w:rsidRPr="00CD0B1E">
        <w:t>20.</w:t>
      </w:r>
      <w:r w:rsidRPr="00CD0B1E">
        <w:tab/>
        <w:t>își exprimă îngrijorarea cu privire la restricțiile repetate impuse de China la exportul de pământuri rare, care perturbă semnificativ lanțurile de aprovizionare vitale pentru întreprinderile din sectorul semiconductorilor, precum și pentru lanțul valoric mai larg al IA; consideră că acțiunea Chinei este nejustificată și invită Comisia să monitorizeze îndeaproape situația și să reacționeze în mod corespunzător pentru a se asigura că economia mondială și reziliența comerțului internațional nu sunt afectate;</w:t>
      </w:r>
    </w:p>
    <w:p w14:paraId="0E84443C" w14:textId="77777777" w:rsidR="00A92DE9" w:rsidRPr="00CD0B1E" w:rsidRDefault="00A92DE9" w:rsidP="00A92DE9">
      <w:pPr>
        <w:pStyle w:val="NormalHanging12a"/>
      </w:pPr>
      <w:r w:rsidRPr="00CD0B1E">
        <w:t>21.</w:t>
      </w:r>
      <w:r w:rsidRPr="00CD0B1E">
        <w:tab/>
        <w:t xml:space="preserve">subliniază necesitatea ca UE să accelereze punerea în aplicare a Regulamentului privind materiile prime critice și să diversifice lanțurile de aprovizionare pentru a consolida </w:t>
      </w:r>
      <w:r w:rsidRPr="00CD0B1E">
        <w:lastRenderedPageBreak/>
        <w:t>reziliența economică; subliniază necesitatea urgentă de a asigura investiții în proiectele strategice aprobate în temeiul Regulamentului privind materiile prime critice și în alte proiecte menite să stimuleze extracția, rafinarea, prelucrarea și reciclarea, care contribuie la reducerea riscurilor asociate dependenței de China;</w:t>
      </w:r>
    </w:p>
    <w:p w14:paraId="033A6C2C" w14:textId="77777777" w:rsidR="00A92DE9" w:rsidRPr="00CD0B1E" w:rsidRDefault="00A92DE9" w:rsidP="00A92DE9">
      <w:pPr>
        <w:pStyle w:val="NormalCenter12a"/>
      </w:pPr>
      <w:r w:rsidRPr="00CD0B1E">
        <w:t>°</w:t>
      </w:r>
    </w:p>
    <w:p w14:paraId="73547433" w14:textId="77777777" w:rsidR="00A92DE9" w:rsidRPr="00CD0B1E" w:rsidRDefault="00A92DE9" w:rsidP="00A92DE9">
      <w:pPr>
        <w:pStyle w:val="NormalCenter12a"/>
      </w:pPr>
      <w:r w:rsidRPr="00CD0B1E">
        <w:t>°</w:t>
      </w:r>
      <w:r w:rsidRPr="00CD0B1E">
        <w:tab/>
        <w:t>°</w:t>
      </w:r>
    </w:p>
    <w:p w14:paraId="09FACCC8" w14:textId="6BE7F46A" w:rsidR="00B0057B" w:rsidRPr="00CD0B1E" w:rsidRDefault="00A92DE9" w:rsidP="00B0057B">
      <w:pPr>
        <w:pStyle w:val="NormalHanging12a"/>
      </w:pPr>
      <w:r w:rsidRPr="00CD0B1E">
        <w:t>22.</w:t>
      </w:r>
      <w:r w:rsidRPr="00CD0B1E">
        <w:tab/>
        <w:t>încredințează Președintei sarcina de a transmite prezenta rezoluție Consiliului și Comisiei, precum și guvernelor și parlamentelor statelor membre.</w:t>
      </w:r>
    </w:p>
    <w:p w14:paraId="692E9BB5" w14:textId="00B06E90" w:rsidR="00E365E1" w:rsidRPr="00CD0B1E" w:rsidRDefault="00E365E1" w:rsidP="0024193C"/>
    <w:sectPr w:rsidR="00E365E1" w:rsidRPr="00CD0B1E" w:rsidSect="00B0057B">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DB046" w14:textId="77777777" w:rsidR="0024193C" w:rsidRPr="00B0057B" w:rsidRDefault="0024193C">
      <w:r w:rsidRPr="00B0057B">
        <w:separator/>
      </w:r>
    </w:p>
  </w:endnote>
  <w:endnote w:type="continuationSeparator" w:id="0">
    <w:p w14:paraId="2CFBDBF2" w14:textId="77777777" w:rsidR="0024193C" w:rsidRPr="00B0057B" w:rsidRDefault="0024193C">
      <w:r w:rsidRPr="00B005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89AEC" w14:textId="77777777" w:rsidR="00064002" w:rsidRPr="00B0057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410D8" w14:textId="77777777" w:rsidR="00064002" w:rsidRPr="00B0057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9220D" w14:textId="77777777" w:rsidR="00064002" w:rsidRPr="00B005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195C1" w14:textId="77777777" w:rsidR="0024193C" w:rsidRPr="00B0057B" w:rsidRDefault="0024193C">
      <w:r w:rsidRPr="00B0057B">
        <w:separator/>
      </w:r>
    </w:p>
  </w:footnote>
  <w:footnote w:type="continuationSeparator" w:id="0">
    <w:p w14:paraId="0F9416C9" w14:textId="77777777" w:rsidR="0024193C" w:rsidRPr="00B0057B" w:rsidRDefault="0024193C">
      <w:r w:rsidRPr="00B0057B">
        <w:continuationSeparator/>
      </w:r>
    </w:p>
  </w:footnote>
  <w:footnote w:id="1">
    <w:p w14:paraId="370F2262" w14:textId="50374D95"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 xml:space="preserve">JO L, 2024/1689, 12.7.2024, ELI: </w:t>
      </w:r>
      <w:hyperlink r:id="rId1" w:tgtFrame="http://data.europa.eu/eli/reg/2024/1689/oj" w:history="1">
        <w:r w:rsidRPr="00B0057B">
          <w:rPr>
            <w:rStyle w:val="Hyperlink"/>
            <w:sz w:val="24"/>
            <w:lang w:val="ro-RO"/>
          </w:rPr>
          <w:t>http://data.europa.eu/eli/reg/2024/1689/oj</w:t>
        </w:r>
      </w:hyperlink>
      <w:r w:rsidRPr="00B0057B">
        <w:rPr>
          <w:sz w:val="24"/>
          <w:lang w:val="ro-RO"/>
        </w:rPr>
        <w:t>.</w:t>
      </w:r>
    </w:p>
  </w:footnote>
  <w:footnote w:id="2">
    <w:p w14:paraId="461B1698" w14:textId="510867F0"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 xml:space="preserve">JO L 119, 4.5.2016, p. </w:t>
      </w:r>
      <w:r w:rsidRPr="00B0057B">
        <w:rPr>
          <w:sz w:val="24"/>
          <w:lang w:val="ro-RO"/>
        </w:rPr>
        <w:t xml:space="preserve">1, ELI: </w:t>
      </w:r>
      <w:hyperlink r:id="rId2" w:tgtFrame="http://data.europa.eu/eli/reg/2016/679/oj" w:history="1">
        <w:r w:rsidRPr="00B0057B">
          <w:rPr>
            <w:rStyle w:val="Hyperlink"/>
            <w:sz w:val="24"/>
            <w:lang w:val="ro-RO"/>
          </w:rPr>
          <w:t>http://data.europa.eu/eli/reg/2016/679/oj</w:t>
        </w:r>
      </w:hyperlink>
      <w:r w:rsidRPr="00B0057B">
        <w:rPr>
          <w:sz w:val="24"/>
          <w:lang w:val="ro-RO"/>
        </w:rPr>
        <w:t>.</w:t>
      </w:r>
    </w:p>
  </w:footnote>
  <w:footnote w:id="3">
    <w:p w14:paraId="19B3DFE3" w14:textId="46B97FD5"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 xml:space="preserve">JO L 229, 18.9.2023, p. </w:t>
      </w:r>
      <w:r w:rsidRPr="00B0057B">
        <w:rPr>
          <w:sz w:val="24"/>
          <w:lang w:val="ro-RO"/>
        </w:rPr>
        <w:t xml:space="preserve">1, ELI: </w:t>
      </w:r>
      <w:hyperlink r:id="rId3" w:tgtFrame="http://data.europa.eu/eli/reg/2023/1781/oj" w:history="1">
        <w:r w:rsidRPr="00B0057B">
          <w:rPr>
            <w:rStyle w:val="Hyperlink"/>
            <w:sz w:val="24"/>
            <w:lang w:val="ro-RO"/>
          </w:rPr>
          <w:t>http://data.europa.eu/eli/reg/2023/1781/oj</w:t>
        </w:r>
      </w:hyperlink>
      <w:r w:rsidRPr="00B0057B">
        <w:rPr>
          <w:sz w:val="24"/>
          <w:lang w:val="ro-RO"/>
        </w:rPr>
        <w:t>.</w:t>
      </w:r>
    </w:p>
  </w:footnote>
  <w:footnote w:id="4">
    <w:p w14:paraId="0E2CD9BB" w14:textId="6328612B"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 xml:space="preserve">JO L, 2024/1252, 3.5.2024, ELI: </w:t>
      </w:r>
      <w:hyperlink r:id="rId4" w:tgtFrame="http://data.europa.eu/eli/reg/2024/1252/oj" w:history="1">
        <w:r w:rsidRPr="00B0057B">
          <w:rPr>
            <w:rStyle w:val="Hyperlink"/>
            <w:sz w:val="24"/>
            <w:lang w:val="ro-RO"/>
          </w:rPr>
          <w:t>http://data.europa.eu/eli/reg/2024/1252/oj</w:t>
        </w:r>
      </w:hyperlink>
      <w:r w:rsidRPr="00B0057B">
        <w:rPr>
          <w:sz w:val="24"/>
          <w:lang w:val="ro-RO"/>
        </w:rPr>
        <w:t>.</w:t>
      </w:r>
    </w:p>
  </w:footnote>
  <w:footnote w:id="5">
    <w:p w14:paraId="781373FC" w14:textId="5323325D"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JO L 79</w:t>
      </w:r>
      <w:r w:rsidR="00E74D43">
        <w:rPr>
          <w:sz w:val="24"/>
          <w:lang w:val="ro-RO"/>
        </w:rPr>
        <w:t> </w:t>
      </w:r>
      <w:r w:rsidRPr="00B0057B">
        <w:rPr>
          <w:sz w:val="24"/>
          <w:lang w:val="ro-RO"/>
        </w:rPr>
        <w:t xml:space="preserve">I, 21.3.2019, p. 1, ELI: </w:t>
      </w:r>
      <w:hyperlink r:id="rId5" w:tgtFrame="http://data.europa.eu/eli/reg/2019/452/oj" w:history="1">
        <w:r w:rsidRPr="00B0057B">
          <w:rPr>
            <w:rStyle w:val="Hyperlink"/>
            <w:sz w:val="24"/>
            <w:lang w:val="ro-RO"/>
          </w:rPr>
          <w:t>http://data.europa.eu/eli/reg/2019/452/oj</w:t>
        </w:r>
      </w:hyperlink>
      <w:r w:rsidRPr="00B0057B">
        <w:rPr>
          <w:sz w:val="24"/>
          <w:lang w:val="ro-RO"/>
        </w:rPr>
        <w:t>.</w:t>
      </w:r>
    </w:p>
  </w:footnote>
  <w:footnote w:id="6">
    <w:p w14:paraId="0C477B66" w14:textId="6D37740A"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 xml:space="preserve">JO L, 2023/2675, 7.12.2023, ELI: </w:t>
      </w:r>
      <w:hyperlink r:id="rId6" w:tgtFrame="http://data.europa.eu/eli/reg/2023/2675/oj" w:history="1">
        <w:r w:rsidRPr="00B0057B">
          <w:rPr>
            <w:rStyle w:val="Hyperlink"/>
            <w:sz w:val="24"/>
            <w:lang w:val="ro-RO"/>
          </w:rPr>
          <w:t>http://data.europa.eu/eli/reg/2023/2675/oj</w:t>
        </w:r>
      </w:hyperlink>
      <w:r w:rsidRPr="00B0057B">
        <w:rPr>
          <w:sz w:val="24"/>
          <w:lang w:val="ro-RO"/>
        </w:rPr>
        <w:t>.</w:t>
      </w:r>
    </w:p>
  </w:footnote>
  <w:footnote w:id="7">
    <w:p w14:paraId="50E973C6" w14:textId="340B7B33"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 xml:space="preserve">JO L 206, 11.6.2021, p. </w:t>
      </w:r>
      <w:r w:rsidRPr="00B0057B">
        <w:rPr>
          <w:sz w:val="24"/>
          <w:lang w:val="ro-RO"/>
        </w:rPr>
        <w:t xml:space="preserve">1, ELI: </w:t>
      </w:r>
      <w:hyperlink r:id="rId7" w:tgtFrame="http://data.europa.eu/eli/reg/2021/821/oj" w:history="1">
        <w:r w:rsidRPr="00B0057B">
          <w:rPr>
            <w:rStyle w:val="Hyperlink"/>
            <w:sz w:val="24"/>
            <w:lang w:val="ro-RO"/>
          </w:rPr>
          <w:t>http://data.europa.eu/eli/reg/2021/821/oj</w:t>
        </w:r>
      </w:hyperlink>
      <w:r w:rsidRPr="00B0057B">
        <w:rPr>
          <w:sz w:val="24"/>
          <w:lang w:val="ro-RO"/>
        </w:rPr>
        <w:t>.</w:t>
      </w:r>
    </w:p>
  </w:footnote>
  <w:footnote w:id="8">
    <w:p w14:paraId="2898133B" w14:textId="7290A979"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 xml:space="preserve">JO C, C/2026/1436, 31.3.2026, ELI: </w:t>
      </w:r>
      <w:hyperlink r:id="rId8" w:tgtFrame="http://data.europa.eu/eli/C/2026/1436/oj" w:history="1">
        <w:r w:rsidRPr="00B0057B">
          <w:rPr>
            <w:rStyle w:val="Hyperlink"/>
            <w:sz w:val="24"/>
            <w:lang w:val="ro-RO"/>
          </w:rPr>
          <w:t>http://data.europa.eu/eli/C/2026/1436/oj</w:t>
        </w:r>
      </w:hyperlink>
      <w:r w:rsidRPr="00B0057B">
        <w:rPr>
          <w:sz w:val="24"/>
          <w:lang w:val="ro-RO"/>
        </w:rPr>
        <w:t>.</w:t>
      </w:r>
    </w:p>
  </w:footnote>
  <w:footnote w:id="9">
    <w:p w14:paraId="1C2B036F" w14:textId="3C3692D8"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 xml:space="preserve">JO C, C/2026/1674, 22.4.2026, ELI: </w:t>
      </w:r>
      <w:hyperlink r:id="rId9" w:tgtFrame="http://data.europa.eu/eli/C/2026/1674/oj" w:history="1">
        <w:r w:rsidRPr="00B0057B">
          <w:rPr>
            <w:rStyle w:val="Hyperlink"/>
            <w:sz w:val="24"/>
            <w:lang w:val="ro-RO"/>
          </w:rPr>
          <w:t>http://data.europa.eu/eli/C/2026/1674/oj</w:t>
        </w:r>
      </w:hyperlink>
      <w:r w:rsidRPr="00B0057B">
        <w:rPr>
          <w:sz w:val="24"/>
          <w:lang w:val="ro-RO"/>
        </w:rPr>
        <w:t>.</w:t>
      </w:r>
    </w:p>
  </w:footnote>
  <w:footnote w:id="10">
    <w:p w14:paraId="417F902D" w14:textId="705FBEEF"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 xml:space="preserve">Directiva (UE) 2024/1760 a Parlamentului European și a Consiliului din 13 iunie 2024 privind diligența necesară în materie de durabilitate a întreprinderilor și de modificare a Directivei (UE) 2019/1937 și a Regulamentului (UE) 2023/2859 (JO L, 2024/1760, 5.7.2024, ELI: </w:t>
      </w:r>
      <w:hyperlink r:id="rId10" w:tgtFrame="http://data.europa.eu/eli/dir/2024/1760/oj" w:history="1">
        <w:r w:rsidRPr="00B0057B">
          <w:rPr>
            <w:rStyle w:val="Hyperlink"/>
            <w:sz w:val="24"/>
            <w:lang w:val="ro-RO"/>
          </w:rPr>
          <w:t>http://data.europa.eu/eli/dir/2024/1760/oj</w:t>
        </w:r>
      </w:hyperlink>
      <w:r w:rsidRPr="00B0057B">
        <w:rPr>
          <w:sz w:val="24"/>
          <w:lang w:val="ro-RO"/>
        </w:rPr>
        <w:t>).</w:t>
      </w:r>
    </w:p>
  </w:footnote>
  <w:footnote w:id="11">
    <w:p w14:paraId="0EFCAEC2" w14:textId="44895596"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Regulamentul (UE) 2023/1115 al Parlamentului European și al Consiliului din 31 mai 2023 privind punerea la dispoziție pe piața Uniunii și exportul din Uniune a anumitor produse de bază și produse asociate cu defrișările și degradarea pădurilor și de abrogare a Regulamentului (UE) nr. 995/2010 (JO L 150, 9.6.2023, p. </w:t>
      </w:r>
      <w:r w:rsidRPr="00B0057B">
        <w:rPr>
          <w:sz w:val="24"/>
          <w:lang w:val="ro-RO"/>
        </w:rPr>
        <w:t>206, ELI:</w:t>
      </w:r>
      <w:r>
        <w:rPr>
          <w:sz w:val="24"/>
          <w:lang w:val="ro-RO"/>
        </w:rPr>
        <w:t xml:space="preserve">  </w:t>
      </w:r>
      <w:hyperlink r:id="rId11" w:tgtFrame="http://data.europa.eu/eli/reg/2023/1115/oj" w:history="1">
        <w:r w:rsidRPr="00B0057B">
          <w:rPr>
            <w:rStyle w:val="Hyperlink"/>
            <w:sz w:val="24"/>
            <w:lang w:val="ro-RO"/>
          </w:rPr>
          <w:t>http://data.europa.eu/eli/reg/2023/1115/oj</w:t>
        </w:r>
      </w:hyperlink>
      <w:r w:rsidRPr="00B0057B">
        <w:rPr>
          <w:sz w:val="24"/>
          <w:lang w:val="ro-RO"/>
        </w:rPr>
        <w:t>).</w:t>
      </w:r>
    </w:p>
  </w:footnote>
  <w:footnote w:id="12">
    <w:p w14:paraId="0F2B74AF" w14:textId="51B729AC"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Regulamentul (UE) 2024/3015 al Parlamentului European și al Consiliului din 27 noiembrie 2024 privind interzicerea pe piața Uniunii a produselor realizate utilizând muncă forțată și de modificare a Directivei (UE) 2019/1937 (JO L, 2024/3015, 12.12.2024, ELI:</w:t>
      </w:r>
      <w:r>
        <w:rPr>
          <w:sz w:val="24"/>
          <w:lang w:val="ro-RO"/>
        </w:rPr>
        <w:t> </w:t>
      </w:r>
      <w:hyperlink r:id="rId12" w:tgtFrame="http://data.europa.eu/eli/reg/2024/3015/oj" w:history="1">
        <w:r w:rsidRPr="00B0057B">
          <w:rPr>
            <w:rStyle w:val="Hyperlink"/>
            <w:sz w:val="24"/>
            <w:lang w:val="ro-RO"/>
          </w:rPr>
          <w:t>http://data.europa.eu/eli/reg/2024/3015/oj</w:t>
        </w:r>
      </w:hyperlink>
      <w:r w:rsidRPr="00B0057B">
        <w:rPr>
          <w:sz w:val="24"/>
          <w:lang w:val="ro-RO"/>
        </w:rPr>
        <w:t>).</w:t>
      </w:r>
    </w:p>
  </w:footnote>
  <w:footnote w:id="13">
    <w:p w14:paraId="55A2ACFD" w14:textId="30E9654E" w:rsidR="0071720E" w:rsidRPr="00B0057B" w:rsidRDefault="0071720E" w:rsidP="00B0057B">
      <w:pPr>
        <w:pStyle w:val="FootnoteText"/>
        <w:ind w:left="567" w:hanging="567"/>
        <w:rPr>
          <w:sz w:val="24"/>
          <w:lang w:val="ro-RO"/>
        </w:rPr>
      </w:pPr>
      <w:r>
        <w:rPr>
          <w:rStyle w:val="FootnoteReference"/>
        </w:rPr>
        <w:footnoteRef/>
      </w:r>
      <w:r w:rsidRPr="00B0057B">
        <w:rPr>
          <w:sz w:val="24"/>
          <w:vertAlign w:val="superscript"/>
          <w:lang w:val="ro-RO"/>
        </w:rPr>
        <w:t xml:space="preserve"> </w:t>
      </w:r>
      <w:r w:rsidRPr="00B0057B">
        <w:rPr>
          <w:sz w:val="24"/>
          <w:vertAlign w:val="superscript"/>
          <w:lang w:val="ro-RO"/>
        </w:rPr>
        <w:tab/>
      </w:r>
      <w:r w:rsidRPr="00B0057B">
        <w:rPr>
          <w:sz w:val="24"/>
          <w:lang w:val="ro-RO"/>
        </w:rPr>
        <w:t>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 (JO L 135, 23.5.2023, p. </w:t>
      </w:r>
      <w:r w:rsidRPr="00B0057B">
        <w:rPr>
          <w:sz w:val="24"/>
          <w:lang w:val="ro-RO"/>
        </w:rPr>
        <w:t>1, ELI:</w:t>
      </w:r>
      <w:r>
        <w:rPr>
          <w:sz w:val="24"/>
          <w:lang w:val="ro-RO"/>
        </w:rPr>
        <w:t> </w:t>
      </w:r>
      <w:hyperlink r:id="rId13" w:tgtFrame="http://data.europa.eu/eli/reg/2023/988/oj" w:history="1">
        <w:r w:rsidRPr="00B0057B">
          <w:rPr>
            <w:rStyle w:val="Hyperlink"/>
            <w:sz w:val="24"/>
            <w:lang w:val="ro-RO"/>
          </w:rPr>
          <w:t>http://data.europa.eu/eli/reg/2023/988/oj</w:t>
        </w:r>
      </w:hyperlink>
      <w:r w:rsidRPr="00B0057B">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52D41" w14:textId="77777777" w:rsidR="00064002" w:rsidRPr="00B0057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AB2AC" w14:textId="77777777" w:rsidR="00064002" w:rsidRPr="00B0057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61B3" w14:textId="77777777" w:rsidR="00064002" w:rsidRPr="00B005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089338">
    <w:abstractNumId w:val="9"/>
  </w:num>
  <w:num w:numId="2" w16cid:durableId="107045948">
    <w:abstractNumId w:val="9"/>
  </w:num>
  <w:num w:numId="3" w16cid:durableId="29762889">
    <w:abstractNumId w:val="7"/>
  </w:num>
  <w:num w:numId="4" w16cid:durableId="87849217">
    <w:abstractNumId w:val="7"/>
  </w:num>
  <w:num w:numId="5" w16cid:durableId="846291183">
    <w:abstractNumId w:val="6"/>
  </w:num>
  <w:num w:numId="6" w16cid:durableId="1876886571">
    <w:abstractNumId w:val="6"/>
  </w:num>
  <w:num w:numId="7" w16cid:durableId="921331542">
    <w:abstractNumId w:val="5"/>
  </w:num>
  <w:num w:numId="8" w16cid:durableId="471213872">
    <w:abstractNumId w:val="5"/>
  </w:num>
  <w:num w:numId="9" w16cid:durableId="132406361">
    <w:abstractNumId w:val="4"/>
  </w:num>
  <w:num w:numId="10" w16cid:durableId="1246067924">
    <w:abstractNumId w:val="4"/>
  </w:num>
  <w:num w:numId="11" w16cid:durableId="397482434">
    <w:abstractNumId w:val="8"/>
  </w:num>
  <w:num w:numId="12" w16cid:durableId="1733312129">
    <w:abstractNumId w:val="8"/>
  </w:num>
  <w:num w:numId="13" w16cid:durableId="1924411645">
    <w:abstractNumId w:val="3"/>
  </w:num>
  <w:num w:numId="14" w16cid:durableId="87968495">
    <w:abstractNumId w:val="3"/>
  </w:num>
  <w:num w:numId="15" w16cid:durableId="1600285419">
    <w:abstractNumId w:val="2"/>
  </w:num>
  <w:num w:numId="16" w16cid:durableId="1181702554">
    <w:abstractNumId w:val="2"/>
  </w:num>
  <w:num w:numId="17" w16cid:durableId="1921941457">
    <w:abstractNumId w:val="1"/>
  </w:num>
  <w:num w:numId="18" w16cid:durableId="1183202305">
    <w:abstractNumId w:val="1"/>
  </w:num>
  <w:num w:numId="19" w16cid:durableId="133529510">
    <w:abstractNumId w:val="0"/>
  </w:num>
  <w:num w:numId="20" w16cid:durableId="585388147">
    <w:abstractNumId w:val="0"/>
  </w:num>
  <w:num w:numId="21" w16cid:durableId="607271775">
    <w:abstractNumId w:val="9"/>
  </w:num>
  <w:num w:numId="22" w16cid:durableId="977805247">
    <w:abstractNumId w:val="7"/>
  </w:num>
  <w:num w:numId="23" w16cid:durableId="319383651">
    <w:abstractNumId w:val="6"/>
  </w:num>
  <w:num w:numId="24" w16cid:durableId="996226154">
    <w:abstractNumId w:val="5"/>
  </w:num>
  <w:num w:numId="25" w16cid:durableId="1416705571">
    <w:abstractNumId w:val="4"/>
  </w:num>
  <w:num w:numId="26" w16cid:durableId="33821817">
    <w:abstractNumId w:val="8"/>
  </w:num>
  <w:num w:numId="27" w16cid:durableId="695741302">
    <w:abstractNumId w:val="3"/>
  </w:num>
  <w:num w:numId="28" w16cid:durableId="465659764">
    <w:abstractNumId w:val="2"/>
  </w:num>
  <w:num w:numId="29" w16cid:durableId="11883920">
    <w:abstractNumId w:val="1"/>
  </w:num>
  <w:num w:numId="30" w16cid:durableId="162358593">
    <w:abstractNumId w:val="0"/>
  </w:num>
  <w:num w:numId="31" w16cid:durableId="586351631">
    <w:abstractNumId w:val="9"/>
  </w:num>
  <w:num w:numId="32" w16cid:durableId="100419537">
    <w:abstractNumId w:val="7"/>
  </w:num>
  <w:num w:numId="33" w16cid:durableId="2076659976">
    <w:abstractNumId w:val="6"/>
  </w:num>
  <w:num w:numId="34" w16cid:durableId="1702783273">
    <w:abstractNumId w:val="5"/>
  </w:num>
  <w:num w:numId="35" w16cid:durableId="1076628894">
    <w:abstractNumId w:val="4"/>
  </w:num>
  <w:num w:numId="36" w16cid:durableId="1681663273">
    <w:abstractNumId w:val="8"/>
  </w:num>
  <w:num w:numId="37" w16cid:durableId="1658727604">
    <w:abstractNumId w:val="3"/>
  </w:num>
  <w:num w:numId="38" w16cid:durableId="915552746">
    <w:abstractNumId w:val="2"/>
  </w:num>
  <w:num w:numId="39" w16cid:durableId="1499688924">
    <w:abstractNumId w:val="1"/>
  </w:num>
  <w:num w:numId="40" w16cid:durableId="1453287877">
    <w:abstractNumId w:val="0"/>
  </w:num>
  <w:num w:numId="41" w16cid:durableId="310596615">
    <w:abstractNumId w:val="10"/>
  </w:num>
  <w:num w:numId="42" w16cid:durableId="1759011332">
    <w:abstractNumId w:val="10"/>
  </w:num>
  <w:num w:numId="43" w16cid:durableId="1584801077">
    <w:abstractNumId w:val="10"/>
  </w:num>
  <w:num w:numId="44" w16cid:durableId="13999339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RO"/>
    <w:docVar w:name="dvnumam" w:val="0"/>
    <w:docVar w:name="dvpe" w:val="784.156"/>
    <w:docVar w:name="dvrapporteur" w:val="Raportor: "/>
    <w:docVar w:name="dvtitre" w:val="Rezoluția Parlamentului European din 20 mai 2026 referitor la oportunitățile și provocările pe care le prezintă o strategie cuprinzătoare privind inteligența artificială pentru comerțul UE(2025/2112(INI))"/>
  </w:docVars>
  <w:rsids>
    <w:rsidRoot w:val="0024193C"/>
    <w:rsid w:val="00002272"/>
    <w:rsid w:val="000334A0"/>
    <w:rsid w:val="00064002"/>
    <w:rsid w:val="000677B9"/>
    <w:rsid w:val="000831BA"/>
    <w:rsid w:val="000A1B92"/>
    <w:rsid w:val="000A42CC"/>
    <w:rsid w:val="000E7DD9"/>
    <w:rsid w:val="0010095E"/>
    <w:rsid w:val="00125B37"/>
    <w:rsid w:val="00187494"/>
    <w:rsid w:val="001977B5"/>
    <w:rsid w:val="001F32AE"/>
    <w:rsid w:val="0024193C"/>
    <w:rsid w:val="002767FF"/>
    <w:rsid w:val="002B18FE"/>
    <w:rsid w:val="002B5493"/>
    <w:rsid w:val="002E184B"/>
    <w:rsid w:val="00343214"/>
    <w:rsid w:val="00361C00"/>
    <w:rsid w:val="00395FA1"/>
    <w:rsid w:val="003E15D4"/>
    <w:rsid w:val="003E70B9"/>
    <w:rsid w:val="00411CCE"/>
    <w:rsid w:val="0041666E"/>
    <w:rsid w:val="00421060"/>
    <w:rsid w:val="00471C19"/>
    <w:rsid w:val="00481CDD"/>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720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DE9"/>
    <w:rsid w:val="00AB441E"/>
    <w:rsid w:val="00AB6293"/>
    <w:rsid w:val="00AE0928"/>
    <w:rsid w:val="00AF3B82"/>
    <w:rsid w:val="00B0057B"/>
    <w:rsid w:val="00B12E95"/>
    <w:rsid w:val="00B22876"/>
    <w:rsid w:val="00B558F0"/>
    <w:rsid w:val="00BD48FE"/>
    <w:rsid w:val="00BD7BD8"/>
    <w:rsid w:val="00BE6ADC"/>
    <w:rsid w:val="00C05BFE"/>
    <w:rsid w:val="00C23CD4"/>
    <w:rsid w:val="00C61C0C"/>
    <w:rsid w:val="00C941CB"/>
    <w:rsid w:val="00CC2357"/>
    <w:rsid w:val="00CC6E07"/>
    <w:rsid w:val="00CD0B1E"/>
    <w:rsid w:val="00CF071A"/>
    <w:rsid w:val="00D058B8"/>
    <w:rsid w:val="00D56C11"/>
    <w:rsid w:val="00D834A0"/>
    <w:rsid w:val="00D872DF"/>
    <w:rsid w:val="00D91E21"/>
    <w:rsid w:val="00DA7FCD"/>
    <w:rsid w:val="00DF7079"/>
    <w:rsid w:val="00E365E1"/>
    <w:rsid w:val="00E74D4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66A01A"/>
  <w15:chartTrackingRefBased/>
  <w15:docId w15:val="{AE862044-13F4-4781-B7D4-56B00D2AB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92DE9"/>
    <w:pPr>
      <w:widowControl/>
      <w:spacing w:after="240"/>
    </w:pPr>
    <w:rPr>
      <w:szCs w:val="24"/>
      <w:lang w:eastAsia="en-US"/>
    </w:rPr>
  </w:style>
  <w:style w:type="paragraph" w:customStyle="1" w:styleId="NormalHanging12a">
    <w:name w:val="NormalHanging12a"/>
    <w:basedOn w:val="Normal"/>
    <w:rsid w:val="00A92DE9"/>
    <w:pPr>
      <w:widowControl/>
      <w:spacing w:after="240"/>
      <w:ind w:left="566" w:hanging="566"/>
    </w:pPr>
    <w:rPr>
      <w:szCs w:val="24"/>
      <w:lang w:eastAsia="en-US"/>
    </w:rPr>
  </w:style>
  <w:style w:type="paragraph" w:customStyle="1" w:styleId="Normal12">
    <w:name w:val="Normal12"/>
    <w:basedOn w:val="Normal"/>
    <w:rsid w:val="00A92DE9"/>
    <w:pPr>
      <w:widowControl/>
      <w:spacing w:after="240"/>
    </w:pPr>
    <w:rPr>
      <w:szCs w:val="24"/>
      <w:lang w:eastAsia="en-US"/>
    </w:rPr>
  </w:style>
  <w:style w:type="paragraph" w:customStyle="1" w:styleId="NormalHanging">
    <w:name w:val="NormalHanging"/>
    <w:basedOn w:val="Normal"/>
    <w:rsid w:val="00A92DE9"/>
    <w:pPr>
      <w:widowControl/>
      <w:spacing w:after="240"/>
      <w:ind w:left="566" w:hanging="566"/>
    </w:pPr>
    <w:rPr>
      <w:szCs w:val="24"/>
      <w:lang w:eastAsia="en-US"/>
    </w:rPr>
  </w:style>
  <w:style w:type="paragraph" w:customStyle="1" w:styleId="NormalCenter12a">
    <w:name w:val="NormalCenter12a"/>
    <w:basedOn w:val="Normal"/>
    <w:rsid w:val="00A92DE9"/>
    <w:pPr>
      <w:widowControl/>
      <w:spacing w:after="240"/>
      <w:jc w:val="center"/>
    </w:pPr>
    <w:rPr>
      <w:szCs w:val="24"/>
      <w:lang w:eastAsia="en-US"/>
    </w:rPr>
  </w:style>
  <w:style w:type="character" w:styleId="Hyperlink">
    <w:name w:val="Hyperlink"/>
    <w:basedOn w:val="DefaultParagraphFont"/>
    <w:rsid w:val="00A92DE9"/>
    <w:rPr>
      <w:color w:val="0000FF"/>
      <w:u w:val="single"/>
    </w:rPr>
  </w:style>
  <w:style w:type="character" w:styleId="FollowedHyperlink">
    <w:name w:val="FollowedHyperlink"/>
    <w:basedOn w:val="DefaultParagraphFont"/>
    <w:rsid w:val="0071720E"/>
    <w:rPr>
      <w:color w:val="954F72" w:themeColor="followedHyperlink"/>
      <w:u w:val="single"/>
    </w:rPr>
  </w:style>
  <w:style w:type="paragraph" w:styleId="Revision">
    <w:name w:val="Revision"/>
    <w:hidden/>
    <w:uiPriority w:val="99"/>
    <w:semiHidden/>
    <w:rsid w:val="0071720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4789</Words>
  <Characters>29376</Characters>
  <Application>Microsoft Office Word</Application>
  <DocSecurity>0</DocSecurity>
  <Lines>979</Lines>
  <Paragraphs>345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OBADA Liliana</cp:lastModifiedBy>
  <cp:revision>2</cp:revision>
  <cp:lastPrinted>2004-11-19T15:42:00Z</cp:lastPrinted>
  <dcterms:created xsi:type="dcterms:W3CDTF">2026-06-19T10:01:00Z</dcterms:created>
  <dcterms:modified xsi:type="dcterms:W3CDTF">2026-06-19T10:01:00Z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P10_TA(2026)0183_</vt:lpwstr>
  </property>
  <property fmtid="{D5CDD505-2E9C-101B-9397-08002B2CF9AE}" pid="4" name="&lt;Type&gt;">
    <vt:lpwstr>RR</vt:lpwstr>
  </property>
</Properties>
</file>