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C26" w14:paraId="68F5CC98" w14:textId="77777777" w:rsidTr="0010095E">
        <w:trPr>
          <w:trHeight w:hRule="exact" w:val="1418"/>
        </w:trPr>
        <w:tc>
          <w:tcPr>
            <w:tcW w:w="6804" w:type="dxa"/>
            <w:shd w:val="clear" w:color="auto" w:fill="auto"/>
            <w:vAlign w:val="center"/>
          </w:tcPr>
          <w:p w14:paraId="74CC0866" w14:textId="67DE3B67" w:rsidR="00751A4A" w:rsidRPr="00C46C26" w:rsidRDefault="00B277F0" w:rsidP="0010095E">
            <w:pPr>
              <w:pStyle w:val="EPName"/>
            </w:pPr>
            <w:r w:rsidRPr="00C46C26">
              <w:t>Európai Parlament</w:t>
            </w:r>
          </w:p>
          <w:p w14:paraId="526B2DCF" w14:textId="77777777" w:rsidR="00751A4A" w:rsidRPr="00C46C26" w:rsidRDefault="005F1B17" w:rsidP="005F1B17">
            <w:pPr>
              <w:pStyle w:val="EPTerm"/>
              <w:rPr>
                <w:rStyle w:val="HideTWBExt"/>
                <w:noProof w:val="0"/>
                <w:vanish w:val="0"/>
                <w:color w:val="auto"/>
              </w:rPr>
            </w:pPr>
            <w:r w:rsidRPr="00C46C26">
              <w:t>2024</w:t>
            </w:r>
            <w:r w:rsidR="00817416" w:rsidRPr="00C46C26">
              <w:t>-202</w:t>
            </w:r>
            <w:r w:rsidRPr="00C46C26">
              <w:t>9</w:t>
            </w:r>
          </w:p>
        </w:tc>
        <w:tc>
          <w:tcPr>
            <w:tcW w:w="2268" w:type="dxa"/>
            <w:shd w:val="clear" w:color="auto" w:fill="auto"/>
          </w:tcPr>
          <w:p w14:paraId="74C948AB" w14:textId="77777777" w:rsidR="00751A4A" w:rsidRPr="00C46C26" w:rsidRDefault="00187494" w:rsidP="0010095E">
            <w:pPr>
              <w:pStyle w:val="EPLogo"/>
            </w:pPr>
            <w:r w:rsidRPr="00C46C26">
              <w:rPr>
                <w:noProof/>
                <w:lang w:eastAsia="ja-JP"/>
              </w:rPr>
              <w:drawing>
                <wp:inline distT="0" distB="0" distL="0" distR="0" wp14:anchorId="2D86A9F4" wp14:editId="2232CB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B6C274" w14:textId="77777777" w:rsidR="00D058B8" w:rsidRPr="00C46C26" w:rsidRDefault="00D058B8" w:rsidP="004C5D52">
      <w:pPr>
        <w:pStyle w:val="LineTop"/>
      </w:pPr>
    </w:p>
    <w:p w14:paraId="564EB0CF" w14:textId="4E9FC6B9" w:rsidR="00680577" w:rsidRPr="00C46C26" w:rsidRDefault="00B277F0" w:rsidP="00680577">
      <w:pPr>
        <w:pStyle w:val="EPBodyTA1"/>
      </w:pPr>
      <w:r w:rsidRPr="00C46C26">
        <w:t>ELFOGADOTT SZÖVEGEK</w:t>
      </w:r>
    </w:p>
    <w:p w14:paraId="23E1D8C8" w14:textId="77777777" w:rsidR="00D058B8" w:rsidRPr="00C46C26" w:rsidRDefault="00D058B8" w:rsidP="00D058B8">
      <w:pPr>
        <w:pStyle w:val="LineBottom"/>
      </w:pPr>
    </w:p>
    <w:p w14:paraId="28D18996" w14:textId="1B8E6C36" w:rsidR="00B277F0" w:rsidRPr="00C46C26" w:rsidRDefault="00B277F0" w:rsidP="00B277F0">
      <w:pPr>
        <w:pStyle w:val="ATHeading1"/>
      </w:pPr>
      <w:bookmarkStart w:id="0" w:name="TANumber"/>
      <w:r w:rsidRPr="00C46C26">
        <w:t>P10_TA(2026)0</w:t>
      </w:r>
      <w:r w:rsidR="00C46C26">
        <w:t>184</w:t>
      </w:r>
      <w:bookmarkEnd w:id="0"/>
    </w:p>
    <w:p w14:paraId="64289CBA" w14:textId="77777777" w:rsidR="00B277F0" w:rsidRPr="00C46C26" w:rsidRDefault="00B277F0" w:rsidP="00B277F0">
      <w:pPr>
        <w:pStyle w:val="ATHeading2"/>
      </w:pPr>
      <w:bookmarkStart w:id="1" w:name="title"/>
      <w:r w:rsidRPr="00C46C26">
        <w:t>A jogállamiság, az alapvető jogok és az uniós forrásokkal való visszaélés Szlovákiában: az uniós válasz szükségessége</w:t>
      </w:r>
      <w:bookmarkEnd w:id="1"/>
    </w:p>
    <w:p w14:paraId="4BA0CD05" w14:textId="77777777" w:rsidR="00B277F0" w:rsidRPr="00C46C26" w:rsidRDefault="00B277F0" w:rsidP="00B277F0">
      <w:pPr>
        <w:rPr>
          <w:i/>
          <w:vanish/>
        </w:rPr>
      </w:pPr>
      <w:r w:rsidRPr="00C46C26">
        <w:rPr>
          <w:i/>
        </w:rPr>
        <w:fldChar w:fldCharType="begin"/>
      </w:r>
      <w:r w:rsidRPr="00C46C26">
        <w:rPr>
          <w:i/>
        </w:rPr>
        <w:instrText xml:space="preserve"> TC"(</w:instrText>
      </w:r>
      <w:bookmarkStart w:id="2" w:name="DocNumber"/>
      <w:r w:rsidRPr="00C46C26">
        <w:rPr>
          <w:i/>
        </w:rPr>
        <w:instrText>B10-0245/2026</w:instrText>
      </w:r>
      <w:bookmarkEnd w:id="2"/>
      <w:r w:rsidRPr="00C46C26">
        <w:rPr>
          <w:i/>
        </w:rPr>
        <w:instrText xml:space="preserve">)"\l3 \n&gt; \* MERGEFORMAT </w:instrText>
      </w:r>
      <w:r w:rsidRPr="00C46C26">
        <w:rPr>
          <w:i/>
        </w:rPr>
        <w:fldChar w:fldCharType="end"/>
      </w:r>
    </w:p>
    <w:p w14:paraId="2F37B508" w14:textId="77777777" w:rsidR="00B277F0" w:rsidRPr="00C46C26" w:rsidRDefault="00B277F0" w:rsidP="00B277F0">
      <w:pPr>
        <w:rPr>
          <w:vanish/>
        </w:rPr>
      </w:pPr>
      <w:bookmarkStart w:id="3" w:name="PE"/>
      <w:r w:rsidRPr="00C46C26">
        <w:rPr>
          <w:vanish/>
        </w:rPr>
        <w:t>PE783.288</w:t>
      </w:r>
      <w:bookmarkEnd w:id="3"/>
    </w:p>
    <w:p w14:paraId="14BD4BC6" w14:textId="649A89CA" w:rsidR="00B277F0" w:rsidRPr="00C46C26" w:rsidRDefault="00B277F0" w:rsidP="00B277F0">
      <w:pPr>
        <w:pStyle w:val="ATHeading3"/>
      </w:pPr>
      <w:bookmarkStart w:id="4" w:name="Sujet"/>
      <w:r w:rsidRPr="00C46C26">
        <w:t xml:space="preserve">Az Európai Parlament 2026. </w:t>
      </w:r>
      <w:r w:rsidR="007B0F7A" w:rsidRPr="00C46C26">
        <w:t>május</w:t>
      </w:r>
      <w:r w:rsidRPr="00C46C26">
        <w:t xml:space="preserve"> </w:t>
      </w:r>
      <w:r w:rsidR="007B0F7A" w:rsidRPr="00C46C26">
        <w:t>20-</w:t>
      </w:r>
      <w:r w:rsidRPr="00C46C26">
        <w:t>i állásfoglalása a jogállamiságról, az alapvető jogokról és az uniós forrásokkal való visszaélésről Szlovákiában: az uniós válasz szükségességéről</w:t>
      </w:r>
      <w:bookmarkEnd w:id="4"/>
      <w:r w:rsidRPr="00C46C26">
        <w:t xml:space="preserve"> </w:t>
      </w:r>
      <w:bookmarkStart w:id="5" w:name="References"/>
      <w:r w:rsidRPr="00C46C26">
        <w:t>(2026/2607(RSP))</w:t>
      </w:r>
      <w:bookmarkEnd w:id="5"/>
    </w:p>
    <w:p w14:paraId="0271F250" w14:textId="77777777" w:rsidR="0032157C" w:rsidRPr="00C46C26" w:rsidRDefault="0032157C" w:rsidP="0032157C">
      <w:pPr>
        <w:pStyle w:val="EPComma"/>
      </w:pPr>
      <w:bookmarkStart w:id="6" w:name="TextBodyBegin"/>
      <w:bookmarkEnd w:id="6"/>
      <w:r w:rsidRPr="00C46C26">
        <w:rPr>
          <w:i/>
        </w:rPr>
        <w:t>Az Európai Parlament,</w:t>
      </w:r>
    </w:p>
    <w:p w14:paraId="68699823" w14:textId="77777777" w:rsidR="0032157C" w:rsidRPr="00C46C26" w:rsidRDefault="0032157C" w:rsidP="007B0F7A">
      <w:pPr>
        <w:pStyle w:val="NormalHanging12a"/>
        <w:widowControl/>
      </w:pPr>
      <w:r w:rsidRPr="00C46C26">
        <w:t>–</w:t>
      </w:r>
      <w:r w:rsidRPr="00C46C26">
        <w:tab/>
        <w:t>tekintettel az Európai Unióról szóló szerződésre (EUSZ) és különösen annak 2. cikkére, 4. cikkére, 4. cikkének (3) bekezdésére, 5., 6., 9. és 10. cikkére, valamint az Európai Unió működéséről szóló szerződésre (EUMSZ) és különösen annak 20. cikkére,</w:t>
      </w:r>
    </w:p>
    <w:p w14:paraId="35FE75F2" w14:textId="77777777" w:rsidR="0032157C" w:rsidRPr="00C46C26" w:rsidRDefault="0032157C" w:rsidP="007B0F7A">
      <w:pPr>
        <w:pStyle w:val="NormalHanging12a"/>
        <w:widowControl/>
      </w:pPr>
      <w:r w:rsidRPr="00C46C26">
        <w:t>–</w:t>
      </w:r>
      <w:r w:rsidRPr="00C46C26">
        <w:tab/>
        <w:t>tekintettel az Európai Unió Alapjogi Chartájára (a továbbiakban: a Charta),</w:t>
      </w:r>
    </w:p>
    <w:p w14:paraId="7DFF9FB9" w14:textId="77777777" w:rsidR="0032157C" w:rsidRPr="00C46C26" w:rsidRDefault="0032157C" w:rsidP="007B0F7A">
      <w:pPr>
        <w:pStyle w:val="NormalHanging12a"/>
        <w:widowControl/>
      </w:pPr>
      <w:r w:rsidRPr="00C46C26">
        <w:t>–</w:t>
      </w:r>
      <w:r w:rsidRPr="00C46C26">
        <w:tab/>
        <w:t>tekintettel az emberi jogok európai egyezményére (EJEE) és annak jegyzőkönyveire, valamint az Emberi Jogok Európai Bíróságának Szlovákiára vonatkozó ítéleteire,</w:t>
      </w:r>
    </w:p>
    <w:p w14:paraId="529F821A" w14:textId="77777777" w:rsidR="0032157C" w:rsidRPr="00C46C26" w:rsidRDefault="0032157C" w:rsidP="007B0F7A">
      <w:pPr>
        <w:pStyle w:val="NormalHanging12a"/>
        <w:widowControl/>
      </w:pPr>
      <w:r w:rsidRPr="00C46C26">
        <w:t>–</w:t>
      </w:r>
      <w:r w:rsidRPr="00C46C26">
        <w:tab/>
        <w:t>tekintettel az Emberi Jogok Egyetemes Nyilatkozatára,</w:t>
      </w:r>
    </w:p>
    <w:p w14:paraId="4C4F1010" w14:textId="77777777" w:rsidR="0032157C" w:rsidRPr="00C46C26" w:rsidRDefault="0032157C" w:rsidP="007B0F7A">
      <w:pPr>
        <w:pStyle w:val="NormalHanging12a"/>
        <w:widowControl/>
      </w:pPr>
      <w:r w:rsidRPr="00C46C26">
        <w:t>–</w:t>
      </w:r>
      <w:r w:rsidRPr="00C46C26">
        <w:tab/>
        <w:t>tekintettel az ENSZ és az Európa Tanács nemzetközi emberi jogi szerződéseire,</w:t>
      </w:r>
    </w:p>
    <w:p w14:paraId="10280FE1" w14:textId="77777777" w:rsidR="0032157C" w:rsidRPr="00C46C26" w:rsidRDefault="0032157C" w:rsidP="007B0F7A">
      <w:pPr>
        <w:pStyle w:val="NormalHanging12a"/>
        <w:widowControl/>
      </w:pPr>
      <w:r w:rsidRPr="00C46C26">
        <w:t>–</w:t>
      </w:r>
      <w:r w:rsidRPr="00C46C26">
        <w:tab/>
        <w:t>tekintettel az uniós jog megsértését bejelentő személyek védelméről szóló, 2019. október 23-i (EU) 2019/1937 európai parlamenti és tanácsi irányelvre</w:t>
      </w:r>
      <w:r w:rsidRPr="00C46C26">
        <w:rPr>
          <w:rStyle w:val="FootnoteReference"/>
        </w:rPr>
        <w:footnoteReference w:id="1"/>
      </w:r>
      <w:r w:rsidRPr="00C46C26">
        <w:t xml:space="preserve"> (a visszaélést bejelentő személyekről szóló irányelv), tekintettel „Az egyenlőségközpontú Unió:</w:t>
      </w:r>
    </w:p>
    <w:p w14:paraId="6BF5EAF3" w14:textId="77777777" w:rsidR="0032157C" w:rsidRPr="00C46C26" w:rsidRDefault="0032157C" w:rsidP="007B0F7A">
      <w:pPr>
        <w:pStyle w:val="NormalHanging12a"/>
        <w:widowControl/>
      </w:pPr>
      <w:r w:rsidRPr="00C46C26">
        <w:t>–</w:t>
      </w:r>
      <w:r w:rsidRPr="00C46C26">
        <w:tab/>
        <w:t>tekintettel az uniós költségvetés védelmét szolgáló általános feltételrendszerről szóló, 2020. december 16-i (EU, Euratom) 2020/2092 európai parlamenti és tanácsi rendeletre</w:t>
      </w:r>
      <w:r w:rsidRPr="00C46C26">
        <w:rPr>
          <w:rStyle w:val="FootnoteReference"/>
        </w:rPr>
        <w:footnoteReference w:id="2"/>
      </w:r>
      <w:r w:rsidRPr="00C46C26">
        <w:t xml:space="preserve"> (a továbbiakban: a jogállamiságra vonatkozó feltételrendszerről szóló rendelet),</w:t>
      </w:r>
    </w:p>
    <w:p w14:paraId="54435FAA" w14:textId="77777777" w:rsidR="0032157C" w:rsidRPr="00C46C26" w:rsidRDefault="0032157C" w:rsidP="007B0F7A">
      <w:pPr>
        <w:pStyle w:val="NormalHanging12a"/>
        <w:widowControl/>
      </w:pPr>
      <w:r w:rsidRPr="00C46C26">
        <w:t>–</w:t>
      </w:r>
      <w:r w:rsidRPr="00C46C26">
        <w:tab/>
        <w:t xml:space="preserve">tekintettel az Európai Regionális Fejlesztési Alapra, az Európai Szociális Alap Pluszra, a Kohéziós Alapra, az Igazságos Átmenet Alapra és az Európai Tengerügyi, Halászati és Akvakultúra-alapra vonatkozó közös rendelkezések, valamint az előbbiekre és a </w:t>
      </w:r>
      <w:r w:rsidRPr="00C46C26">
        <w:lastRenderedPageBreak/>
        <w:t>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C46C26">
        <w:rPr>
          <w:rStyle w:val="FootnoteReference"/>
        </w:rPr>
        <w:footnoteReference w:id="3"/>
      </w:r>
      <w:r w:rsidRPr="00C46C26">
        <w:t xml:space="preserve"> (a továbbiakban: a közös rendelkezésekről szóló rendelet),</w:t>
      </w:r>
    </w:p>
    <w:p w14:paraId="37B9F279" w14:textId="77777777" w:rsidR="0032157C" w:rsidRPr="00C46C26" w:rsidRDefault="0032157C" w:rsidP="007B0F7A">
      <w:pPr>
        <w:widowControl/>
        <w:spacing w:after="240"/>
        <w:ind w:left="567" w:hanging="567"/>
        <w:rPr>
          <w:color w:val="000000" w:themeColor="text1"/>
          <w:szCs w:val="24"/>
        </w:rPr>
      </w:pPr>
      <w:r w:rsidRPr="00C46C26">
        <w:rPr>
          <w:color w:val="000000" w:themeColor="text1"/>
        </w:rPr>
        <w:t>–</w:t>
      </w:r>
      <w:r w:rsidRPr="00C46C26">
        <w:rPr>
          <w:color w:val="000000" w:themeColor="text1"/>
        </w:rPr>
        <w:tab/>
        <w:t>tekintettel 2018. április 19-i állásfoglalására az oknyomozó újságírók védelméről Európában: Ján Kuciak szlovák újságíró és Martina Kušnírová ügyéről</w:t>
      </w:r>
      <w:r w:rsidRPr="00C46C26">
        <w:rPr>
          <w:rStyle w:val="FootnoteReference"/>
          <w:color w:val="000000" w:themeColor="text1"/>
          <w:szCs w:val="24"/>
        </w:rPr>
        <w:footnoteReference w:id="4"/>
      </w:r>
      <w:r w:rsidRPr="00C46C26">
        <w:rPr>
          <w:color w:val="000000" w:themeColor="text1"/>
        </w:rPr>
        <w:t>,</w:t>
      </w:r>
    </w:p>
    <w:p w14:paraId="7397CD24" w14:textId="77777777" w:rsidR="0032157C" w:rsidRPr="00C46C26" w:rsidRDefault="0032157C" w:rsidP="007B0F7A">
      <w:pPr>
        <w:pStyle w:val="NormalHanging12a"/>
        <w:widowControl/>
        <w:rPr>
          <w:szCs w:val="24"/>
        </w:rPr>
      </w:pPr>
      <w:r w:rsidRPr="00C46C26">
        <w:t>–</w:t>
      </w:r>
      <w:r w:rsidRPr="00C46C26">
        <w:tab/>
        <w:t>tekintettel az Európai Unióban, különösen Máltán és Szlovákiában a jogállamiság és a korrupció elleni küzdelem helyzetéről szóló, 2019. március 28-i állásfoglalására</w:t>
      </w:r>
      <w:r w:rsidRPr="00C46C26">
        <w:rPr>
          <w:rStyle w:val="FootnoteReference"/>
          <w:szCs w:val="24"/>
        </w:rPr>
        <w:footnoteReference w:id="5"/>
      </w:r>
      <w:r w:rsidRPr="00C46C26">
        <w:t>,</w:t>
      </w:r>
    </w:p>
    <w:p w14:paraId="21A5DF55" w14:textId="77777777" w:rsidR="0032157C" w:rsidRPr="00C46C26" w:rsidRDefault="0032157C" w:rsidP="007B0F7A">
      <w:pPr>
        <w:pStyle w:val="NormalHanging12a"/>
        <w:widowControl/>
        <w:rPr>
          <w:szCs w:val="24"/>
        </w:rPr>
      </w:pPr>
      <w:r w:rsidRPr="00C46C26">
        <w:t>–</w:t>
      </w:r>
      <w:r w:rsidRPr="00C46C26">
        <w:tab/>
        <w:t>tekintettel a Szlovákiában homofób indíttatásból elkövetett közelmúltbeli gyilkosság fényében az LMBTIQ+-személyek elleni, Európa-szerte növekvő számú gyűlölet-bűncselekményekről szóló, 2022. október 20-i állásfoglalására</w:t>
      </w:r>
      <w:r w:rsidRPr="00C46C26">
        <w:rPr>
          <w:rStyle w:val="FootnoteReference"/>
          <w:szCs w:val="24"/>
        </w:rPr>
        <w:footnoteReference w:id="6"/>
      </w:r>
      <w:r w:rsidRPr="00C46C26">
        <w:t>,</w:t>
      </w:r>
    </w:p>
    <w:p w14:paraId="73758017" w14:textId="77777777" w:rsidR="0032157C" w:rsidRPr="00C46C26" w:rsidRDefault="0032157C" w:rsidP="007B0F7A">
      <w:pPr>
        <w:pStyle w:val="NormalHanging12a"/>
        <w:widowControl/>
        <w:rPr>
          <w:spacing w:val="-2"/>
          <w:szCs w:val="24"/>
        </w:rPr>
      </w:pPr>
      <w:r w:rsidRPr="00C46C26">
        <w:t>–</w:t>
      </w:r>
      <w:r w:rsidRPr="00C46C26">
        <w:tab/>
        <w:t>tekintettel a fő korrupcióellenes struktúrák tervezett szlovákiai felszámolásáról és annak a jogállamiságra gyakorolt hatásáról szóló, 2024. január 17-i állásfoglalására</w:t>
      </w:r>
      <w:r w:rsidRPr="00C46C26">
        <w:rPr>
          <w:rStyle w:val="FootnoteReference"/>
          <w:szCs w:val="24"/>
        </w:rPr>
        <w:footnoteReference w:id="7"/>
      </w:r>
      <w:r w:rsidRPr="00C46C26">
        <w:t>,</w:t>
      </w:r>
    </w:p>
    <w:p w14:paraId="7DBFE5BE" w14:textId="77777777" w:rsidR="0032157C" w:rsidRPr="00C46C26" w:rsidRDefault="0032157C" w:rsidP="007B0F7A">
      <w:pPr>
        <w:pStyle w:val="NormalHanging12a"/>
        <w:widowControl/>
      </w:pPr>
      <w:r w:rsidRPr="00C46C26">
        <w:t>–</w:t>
      </w:r>
      <w:r w:rsidRPr="00C46C26">
        <w:tab/>
        <w:t>tekintettel a Költségvetési Ellenőrző Bizottság 2025. május 26–28-i szlovákiai látogatását és az Állampolgári Jogi, Bel- és Igazságügyi Bizottság demokrácia, jogállamiság és alapvető jogok nyomon követésével foglalkozó csoportjának (DRFMG) 2025. június 1. és 3. közötti pozsonyi (Szlovákia) látogatását követő jelentéseire,</w:t>
      </w:r>
    </w:p>
    <w:p w14:paraId="45DD9FBC" w14:textId="77777777" w:rsidR="0032157C" w:rsidRPr="00C46C26" w:rsidRDefault="0032157C" w:rsidP="007B0F7A">
      <w:pPr>
        <w:pStyle w:val="NormalHanging12a"/>
        <w:widowControl/>
      </w:pPr>
      <w:r w:rsidRPr="00C46C26">
        <w:t>–</w:t>
      </w:r>
      <w:r w:rsidRPr="00C46C26">
        <w:tab/>
        <w:t>tekintettel a Bizottság éves jogállamisági jelentéseinek Szlovákiáról szóló országfejezeteire,</w:t>
      </w:r>
    </w:p>
    <w:p w14:paraId="6245D6EC" w14:textId="77777777" w:rsidR="0032157C" w:rsidRPr="00C46C26" w:rsidRDefault="0032157C" w:rsidP="007B0F7A">
      <w:pPr>
        <w:pStyle w:val="NormalHanging12a"/>
        <w:widowControl/>
      </w:pPr>
      <w:r w:rsidRPr="00C46C26">
        <w:t>–</w:t>
      </w:r>
      <w:r w:rsidRPr="00C46C26">
        <w:tab/>
        <w:t>tekintettel az Európai Unió Alapjogi Ügynökségének jelentéseire, felméréseire és véleményeire,</w:t>
      </w:r>
    </w:p>
    <w:p w14:paraId="2C52FD98" w14:textId="77777777" w:rsidR="0032157C" w:rsidRPr="00C46C26" w:rsidRDefault="0032157C" w:rsidP="007B0F7A">
      <w:pPr>
        <w:pStyle w:val="NormalHanging12a"/>
        <w:widowControl/>
      </w:pPr>
      <w:r w:rsidRPr="00C46C26">
        <w:t>–</w:t>
      </w:r>
      <w:r w:rsidRPr="00C46C26">
        <w:tab/>
        <w:t>tekintettel az Európa Tanácsnak az újságírás védelmének és az újságírók biztonságának előmozdítását célzó platformjára és annak 2025. évi éves jelentésére,</w:t>
      </w:r>
    </w:p>
    <w:p w14:paraId="06D76C3D" w14:textId="77777777" w:rsidR="0032157C" w:rsidRPr="00C46C26" w:rsidRDefault="0032157C" w:rsidP="007B0F7A">
      <w:pPr>
        <w:pStyle w:val="NormalHanging12a"/>
        <w:widowControl/>
      </w:pPr>
      <w:r w:rsidRPr="00C46C26">
        <w:t>–</w:t>
      </w:r>
      <w:r w:rsidRPr="00C46C26">
        <w:tab/>
        <w:t>tekintettel az Európa Tanács Miniszteri Bizottságának az újságírás védelméről, valamint az újságírók és más médiaszereplők biztonságáról szóló, 2014. április 30-i nyilatkozatára,</w:t>
      </w:r>
    </w:p>
    <w:p w14:paraId="11602699" w14:textId="77777777" w:rsidR="0032157C" w:rsidRPr="00C46C26" w:rsidRDefault="0032157C" w:rsidP="007B0F7A">
      <w:pPr>
        <w:pStyle w:val="NormalHanging12a"/>
        <w:widowControl/>
      </w:pPr>
      <w:r w:rsidRPr="00C46C26">
        <w:t>–</w:t>
      </w:r>
      <w:r w:rsidRPr="00C46C26">
        <w:tab/>
        <w:t>tekintettel az Európai Biztonsági és Együttműködési Szervezet részes államainak a média szabadságával, a véleménynyilvánítás szabadságával és az információ szabad áramlásával kapcsolatos kötelezettségvállalásaira,</w:t>
      </w:r>
    </w:p>
    <w:p w14:paraId="30B5652B" w14:textId="77777777" w:rsidR="0032157C" w:rsidRPr="00C46C26" w:rsidRDefault="0032157C" w:rsidP="007B0F7A">
      <w:pPr>
        <w:pStyle w:val="NormalHanging12a"/>
        <w:widowControl/>
      </w:pPr>
      <w:r w:rsidRPr="00C46C26">
        <w:t>–</w:t>
      </w:r>
      <w:r w:rsidRPr="00C46C26">
        <w:tab/>
        <w:t xml:space="preserve">tekintettel a Szlovák Köztársaság Bírói Tanácsának 2024. november 20-i 464/2024. sz. határozatára, amelyben aggodalmát fejezi ki a „joggal való visszaélés” bűncselekményével kapcsolatban, és a bírói függetlenséggel összhangban lévő erősebb </w:t>
      </w:r>
      <w:r w:rsidRPr="00C46C26">
        <w:lastRenderedPageBreak/>
        <w:t>biztosítékok biztosítása érdekében javasolja annak hatályon kívül helyezését vagy módosítását,</w:t>
      </w:r>
    </w:p>
    <w:p w14:paraId="39F6F531" w14:textId="77777777" w:rsidR="0032157C" w:rsidRPr="00C46C26" w:rsidRDefault="0032157C" w:rsidP="007B0F7A">
      <w:pPr>
        <w:pStyle w:val="NormalHanging12a"/>
        <w:widowControl/>
      </w:pPr>
      <w:r w:rsidRPr="00C46C26">
        <w:t>–</w:t>
      </w:r>
      <w:r w:rsidRPr="00C46C26">
        <w:tab/>
        <w:t>tekintettel a Nemzetközi Jogászbizottság 2025. február 14-i nyilatkozatára, amelyben aggályokat fogalmaz meg a Szlovák Köztársaság Bírói Tanácsának munkájába való nyilvánvaló végrehajtói beavatkozással kapcsolatban, és hangsúlyozza, hogy meg kell védeni a bírói tanácsok parlamenti és végrehajtói befolyástól való függetlenségét,</w:t>
      </w:r>
    </w:p>
    <w:p w14:paraId="52293915" w14:textId="77777777" w:rsidR="0032157C" w:rsidRPr="00C46C26" w:rsidRDefault="0032157C" w:rsidP="007B0F7A">
      <w:pPr>
        <w:pStyle w:val="NormalHanging12a"/>
        <w:widowControl/>
      </w:pPr>
      <w:r w:rsidRPr="00C46C26">
        <w:t>–</w:t>
      </w:r>
      <w:r w:rsidRPr="00C46C26">
        <w:tab/>
        <w:t>tekintettel az 56 civil társadalmi szervezet által aláírt, 2025. október 16-i közös nyílt levélre, amelyben mély aggodalmukat fejezik ki a közelmúltban Szlovákiában elfogadott alkotmánymódosítások miatt, és felszólítják az EU-t, hogy sürgősen tegyen lépéseket,</w:t>
      </w:r>
    </w:p>
    <w:p w14:paraId="127FC422" w14:textId="77777777" w:rsidR="0032157C" w:rsidRPr="00C46C26" w:rsidRDefault="0032157C" w:rsidP="007B0F7A">
      <w:pPr>
        <w:pStyle w:val="NormalHanging12a"/>
        <w:widowControl/>
      </w:pPr>
      <w:r w:rsidRPr="00C46C26">
        <w:t>–</w:t>
      </w:r>
      <w:r w:rsidRPr="00C46C26">
        <w:tab/>
        <w:t>tekintettel az Európai Ügyészség (EPPO) Bizottsághoz intézett, 2025. november 28-i levelére, amelyben aggodalmát fejezi ki amiatt, hogy a visszaélést bejelentő személyek védelméről szóló szlovákiai jogszabályok javasolt módosításai összeegyeztethetetlenek lehetnek a jogállamiság elveivel, korlátozhatják a visszaélést bejelentő személyek bizonyos kategóriáinak védelmét, visszamenőleges hatályt vezethetnek be a folyamatban lévő ügyekre, és negatívan befolyásolhatják az EU pénzügyi érdekeinek védelmét,</w:t>
      </w:r>
    </w:p>
    <w:p w14:paraId="4A93F63C" w14:textId="77777777" w:rsidR="0032157C" w:rsidRPr="00C46C26" w:rsidRDefault="0032157C" w:rsidP="007B0F7A">
      <w:pPr>
        <w:pStyle w:val="NormalHanging12a"/>
        <w:widowControl/>
      </w:pPr>
      <w:r w:rsidRPr="00C46C26">
        <w:t>–</w:t>
      </w:r>
      <w:r w:rsidRPr="00C46C26">
        <w:tab/>
        <w:t>tekintettel a Költségvetési Ellenőrző Bizottságnak az EU pénzügyi érdekeinek szlovákiai védelméről szóló, 2026. január 27-i nyilvános meghallgatására,</w:t>
      </w:r>
    </w:p>
    <w:p w14:paraId="295A4A3E" w14:textId="77777777" w:rsidR="0032157C" w:rsidRPr="00C46C26" w:rsidRDefault="0032157C" w:rsidP="007B0F7A">
      <w:pPr>
        <w:pStyle w:val="NormalHanging12a"/>
        <w:widowControl/>
      </w:pPr>
      <w:r w:rsidRPr="00C46C26">
        <w:t>–</w:t>
      </w:r>
      <w:r w:rsidRPr="00C46C26">
        <w:tab/>
        <w:t>tekintettel a 2025. évi korrupcióérzékelési indexre, amely Szlovákiának 100-ból 48 pontot adott, és globálisan a 61. helyre sorolta,</w:t>
      </w:r>
    </w:p>
    <w:p w14:paraId="07DEFC53" w14:textId="77777777" w:rsidR="0032157C" w:rsidRPr="00C46C26" w:rsidRDefault="0032157C" w:rsidP="007B0F7A">
      <w:pPr>
        <w:pStyle w:val="NormalHanging12a"/>
        <w:widowControl/>
      </w:pPr>
      <w:r w:rsidRPr="00C46C26">
        <w:t>–</w:t>
      </w:r>
      <w:r w:rsidRPr="00C46C26">
        <w:tab/>
        <w:t>tekintettel a Nemek Közötti Egyenlőség Európai Intézetének a nemek közötti egyenlőségre vonatkozó 2025. évi mutatójára, amely 100 pontból 57,2 pontot adott Szlovákiának, és az EU-ban a 20. helyre rangsorolta, ami azt jelzi, hogy az ország előrehaladást ért el, de továbbra is az uniós átlag alatt teljesít,</w:t>
      </w:r>
    </w:p>
    <w:p w14:paraId="1082C0CA" w14:textId="77777777" w:rsidR="0032157C" w:rsidRPr="00C46C26" w:rsidRDefault="0032157C" w:rsidP="007B0F7A">
      <w:pPr>
        <w:pStyle w:val="NormalHanging12a"/>
        <w:widowControl/>
        <w:rPr>
          <w:szCs w:val="24"/>
        </w:rPr>
      </w:pPr>
      <w:r w:rsidRPr="00C46C26">
        <w:t>–</w:t>
      </w:r>
      <w:r w:rsidRPr="00C46C26">
        <w:tab/>
        <w:t>tekintettel a Tanács és a Bizottság 2026. február 11-i, „A jogállamiság, az alapvető jogok és az uniós forrásokkal való visszaélés Szlovákiában: uniós válasz szükségessége” című nyilatkozataira,</w:t>
      </w:r>
    </w:p>
    <w:p w14:paraId="032AC78C" w14:textId="77777777" w:rsidR="0032157C" w:rsidRPr="00C46C26" w:rsidRDefault="0032157C" w:rsidP="007B0F7A">
      <w:pPr>
        <w:pStyle w:val="NormalHanging12a"/>
        <w:widowControl/>
        <w:rPr>
          <w:szCs w:val="24"/>
        </w:rPr>
      </w:pPr>
      <w:r w:rsidRPr="00C46C26">
        <w:t>–</w:t>
      </w:r>
      <w:r w:rsidRPr="00C46C26">
        <w:tab/>
        <w:t>tekintettel 2026. április 29-i állásfoglalására az Európai Unió 2024. évi pénzügyi évre szóló általános költségvetésének végrehajtására vonatkozó mentesítésről szóló határozatok szerves részét képező észrevételekkel, III. szakasz – Bizottság és végrehajtó ügynökségek és a kilencedik, tizedik és tizenegyedik Európai Fejlesztési Alap</w:t>
      </w:r>
      <w:r w:rsidRPr="00C46C26">
        <w:rPr>
          <w:rStyle w:val="FootnoteReference"/>
          <w:szCs w:val="24"/>
        </w:rPr>
        <w:footnoteReference w:id="8"/>
      </w:r>
      <w:r w:rsidRPr="00C46C26">
        <w:t>.</w:t>
      </w:r>
    </w:p>
    <w:p w14:paraId="1B360840" w14:textId="77777777" w:rsidR="0032157C" w:rsidRPr="00C46C26" w:rsidRDefault="0032157C" w:rsidP="007B0F7A">
      <w:pPr>
        <w:pStyle w:val="NormalHanging12a"/>
        <w:widowControl/>
      </w:pPr>
      <w:r w:rsidRPr="00C46C26">
        <w:t>–</w:t>
      </w:r>
      <w:r w:rsidRPr="00C46C26">
        <w:tab/>
        <w:t>tekintettel eljárási szabályzata 136. cikkének (2) bekezdésére,</w:t>
      </w:r>
    </w:p>
    <w:p w14:paraId="02E7302F" w14:textId="77777777" w:rsidR="0032157C" w:rsidRPr="00C46C26" w:rsidRDefault="0032157C" w:rsidP="007B0F7A">
      <w:pPr>
        <w:pStyle w:val="NormalHanging12a"/>
        <w:widowControl/>
        <w:rPr>
          <w:spacing w:val="-2"/>
          <w:szCs w:val="24"/>
        </w:rPr>
      </w:pPr>
      <w:r w:rsidRPr="00C46C26">
        <w:t>A.</w:t>
      </w:r>
      <w:r w:rsidRPr="00C46C26">
        <w:rPr>
          <w:snapToGrid w:val="0"/>
        </w:rPr>
        <w:tab/>
      </w:r>
      <w:r w:rsidRPr="00C46C26">
        <w:t xml:space="preserve">mivel az EU az emberi méltóság tiszteletben tartása, a szabadság, a demokrácia, az egyenlőség, a jogállamiság és az emberi jogok – ideértve a kisebbségekhez tartozó személyek jogait is – tiszteletben tartásának értékein alapul, ahogyan azt az EUSZ 2. cikke kimondja, és ahogyan azt a Charta rögzíti, valamint ahogyan azt a nemzetközi emberi jogi szerződések is tartalmazzák; mivel ezek az értékek közösek valamennyi tagállamban, és azokat mind az EU-nak, mind pedig az egyes tagállamoknak valamennyi belső és külső politikájukban egyaránt következetesen tiszteletben kell </w:t>
      </w:r>
      <w:r w:rsidRPr="00C46C26">
        <w:lastRenderedPageBreak/>
        <w:t>tartaniuk és tevékenyen elő kell mozdítaniuk; mivel a tagállamoknak biztosítaniuk kell, hogy az EUSZ 2. cikkében foglalt értékek védelme terén ne történjen visszalépés; mivel ezen értékek aláásása fenyegetést jelenthet az EU-ban élő emberek jogaira és szabadságaira nézve;</w:t>
      </w:r>
    </w:p>
    <w:p w14:paraId="7A3036A4" w14:textId="77777777" w:rsidR="0032157C" w:rsidRPr="00C46C26" w:rsidRDefault="0032157C" w:rsidP="007B0F7A">
      <w:pPr>
        <w:pStyle w:val="NormalHanging12a"/>
        <w:widowControl/>
        <w:rPr>
          <w:spacing w:val="-2"/>
          <w:szCs w:val="24"/>
        </w:rPr>
      </w:pPr>
      <w:r w:rsidRPr="00C46C26">
        <w:rPr>
          <w:snapToGrid w:val="0"/>
        </w:rPr>
        <w:t>B.</w:t>
      </w:r>
      <w:r w:rsidRPr="00C46C26">
        <w:rPr>
          <w:snapToGrid w:val="0"/>
        </w:rPr>
        <w:tab/>
      </w:r>
      <w:r w:rsidRPr="00C46C26">
        <w:t>mivel az EUSZ 6. cikkének (3) bekezdése elismeri, hogy az EJEE-ben garantált és a tagállamok közös alkotmányos hagyományaiból következő alapvető jogok az uniós jog általános alapelveit képezik;</w:t>
      </w:r>
    </w:p>
    <w:p w14:paraId="26AD1AEE" w14:textId="77777777" w:rsidR="0032157C" w:rsidRPr="00C46C26" w:rsidRDefault="0032157C" w:rsidP="007B0F7A">
      <w:pPr>
        <w:pStyle w:val="NormalHanging12a"/>
        <w:widowControl/>
        <w:rPr>
          <w:spacing w:val="-2"/>
          <w:szCs w:val="24"/>
        </w:rPr>
      </w:pPr>
      <w:r w:rsidRPr="00C46C26">
        <w:rPr>
          <w:snapToGrid w:val="0"/>
        </w:rPr>
        <w:t>C.</w:t>
      </w:r>
      <w:r w:rsidRPr="00C46C26">
        <w:rPr>
          <w:snapToGrid w:val="0"/>
        </w:rPr>
        <w:tab/>
      </w:r>
      <w:r w:rsidRPr="00C46C26">
        <w:t>mivel az EU működése a tagállamok közötti kölcsönös bizalmon nyugszik, amely azon a feltételezésen alapul, hogy fenntartják a demokráciát, a jogállamiságot és az alapvető jogokat, az EJEE és a Charta által rögzítetteknek megfelelően;</w:t>
      </w:r>
    </w:p>
    <w:p w14:paraId="59EEF5D9" w14:textId="77777777" w:rsidR="0032157C" w:rsidRPr="00C46C26" w:rsidRDefault="0032157C" w:rsidP="007B0F7A">
      <w:pPr>
        <w:pStyle w:val="NormalHanging12a"/>
        <w:widowControl/>
        <w:rPr>
          <w:szCs w:val="24"/>
        </w:rPr>
      </w:pPr>
      <w:r w:rsidRPr="00C46C26">
        <w:rPr>
          <w:snapToGrid w:val="0"/>
        </w:rPr>
        <w:t>D.</w:t>
      </w:r>
      <w:r w:rsidRPr="00C46C26">
        <w:rPr>
          <w:snapToGrid w:val="0"/>
        </w:rPr>
        <w:tab/>
      </w:r>
      <w:r w:rsidRPr="00C46C26">
        <w:t>mivel a demokráciával, a jogállamisággal és az alapvető jogokkal foglalkozó munkacsoport 2025. június 1. és 3. között Szlovákiában tett tényfeltáró látogatása komoly aggályokat vetett fel a korrupcióellenes erőfeszítéseket gyengítő büntetőjogi reformokkal, az elévülési idők csökkentésével és a gyorsított eljárások megfelelő konzultáció nélküli alkalmazásával kapcsolatban; mivel a látogatás egyebek mellett rámutatott azokra a kockázatokra, amelyek az ügyészi mérlegelési jogkörrel, az átfogó korrupcióellenes stratégia hiányával, az igazságszolgáltatásra, a médiára és a civil társadalomra nehezedő növekvő nyomással, a tömegtájékoztatás szabadságának csökkenésével, valamint az uniós jog elsőbbségét megkérdőjelező javaslatokkal függnek össze; mivel többek között azt jegyezték meg, hogy a korrupció elleni küzdelem már nem kormányzati prioritás, és kevesebb korrupciós eljárást indítanak – nem a korrupció alacsonyabb szintje, hanem a végrehajtás romlása miatt –, és hogy a miniszterelnök előző kormányához kapcsolódó ügyeken túl nem indítanak jelentős új ügyeket; mivel a becslések szerint 1324 elítélt részesült a jogi reformok előnyeiből, 446 elítéltet pedig idő előtt szabadon bocsátottak, akik közül sokan politikai kapcsolatokkal rendelkeznek;</w:t>
      </w:r>
    </w:p>
    <w:p w14:paraId="3F5A7A6C" w14:textId="77777777" w:rsidR="0032157C" w:rsidRPr="00C46C26" w:rsidRDefault="0032157C" w:rsidP="007B0F7A">
      <w:pPr>
        <w:pStyle w:val="NormalHanging12a"/>
        <w:widowControl/>
        <w:rPr>
          <w:spacing w:val="-2"/>
        </w:rPr>
      </w:pPr>
      <w:r w:rsidRPr="00C46C26">
        <w:rPr>
          <w:snapToGrid w:val="0"/>
        </w:rPr>
        <w:t>E.</w:t>
      </w:r>
      <w:r w:rsidRPr="00C46C26">
        <w:rPr>
          <w:snapToGrid w:val="0"/>
        </w:rPr>
        <w:tab/>
      </w:r>
      <w:r w:rsidRPr="00C46C26">
        <w:t>mivel a Költségvetési Ellenőrző Bizottság 2025. május 26–28-i szlovákiai látogatása komoly aggályokat vetett fel a kontroll- és ellenőrzési rendszerek működésével, az uniós források kezelésével és a tágabb jogállamisági környezettel kapcsolatban; mivel a látogatás feszült politikai légkörben zajlott, és a tagjai elleni nyilvános támadások jellemezték, továbbá az komoly aggályokat tárt fel az átláthatósággal, a hatóságok és az érdekelt felek által nyújtott ellentmondásos információkkal, valamint a civil társadalommal és az oknyomozó újságírókkal ellenséges környezettel kapcsolatban; mivel a látogatás egyben rámutatott az uniós források kezelésével kapcsolatos kockázatokra is, többek között a felügyeleti mechanizmusok strukturális hiányosságaira, a csalás elleni elégtelen biztosítékokra, valamint a Különleges Ügyészség felszámolását és a büntető törvénykönyv reformját követően a vizsgálati kapacitás csökkenésére, ami olyan riasztó előzetes statisztikákat eredményezett, amelyek szerint 2025 első hónapjaiban állítólag csak két vádemelést adtak ki a Különleges Ügyészség által korábban vizsgáltakhoz hasonló bűncselekmények miatt; mivel az SPO korábban évente 120–150 vádiratot vizsgált ki; mivel a látogatás hiányosságokat tárt fel az uniós források kiszolgáltatott közösségek számára történő hatékony felhasználása terén is, különösen a roma közösségeknek szánt uniós források végrehajtása terén;</w:t>
      </w:r>
    </w:p>
    <w:p w14:paraId="0D174CFE" w14:textId="77777777" w:rsidR="0032157C" w:rsidRPr="00C46C26" w:rsidRDefault="0032157C" w:rsidP="007B0F7A">
      <w:pPr>
        <w:pStyle w:val="NormalHanging12a"/>
        <w:widowControl/>
        <w:rPr>
          <w:spacing w:val="-2"/>
        </w:rPr>
      </w:pPr>
      <w:r w:rsidRPr="00C46C26">
        <w:rPr>
          <w:snapToGrid w:val="0"/>
        </w:rPr>
        <w:t>F.</w:t>
      </w:r>
      <w:r w:rsidRPr="00C46C26">
        <w:rPr>
          <w:snapToGrid w:val="0"/>
        </w:rPr>
        <w:tab/>
      </w:r>
      <w:r w:rsidRPr="00C46C26">
        <w:t xml:space="preserve">mivel a szlovák alkotmány 2025. szeptember 26-án elfogadott módosítása kiegészítette annak 7. cikkét a nemzeti identitásra vonatkozó további rendelkezésekkel, amelyek lehetővé teszik a szlovák hatóságok, köztük a bíróságok számára annak értékelését, </w:t>
      </w:r>
      <w:r w:rsidRPr="00C46C26">
        <w:lastRenderedPageBreak/>
        <w:t>hogy Szlovákiában alkalmazandó-e az uniós jog, és ha igen, milyen mértékben, beleértve az Európai Unió Bíróságának (EUB) ítéleteit is; mivel az Európa Tanács emberi jogi biztosa, a Velencei Bizottság és az ENSZ Emberi Jogi Bizottsága aggodalmát fejezte ki a módosítással kapcsolatban; mivel 2025. november 21-én a Bizottság úgy határozott, hogy felszólító levél útján kötelezettségszegési eljárást indít Szlovákia ellen az uniós jog alapelveinek, különösen az uniós jog elsőbbsége, autonómiája, hatékonysága és egységes alkalmazása elvének megsértése miatt;</w:t>
      </w:r>
    </w:p>
    <w:p w14:paraId="51F151E3" w14:textId="77777777" w:rsidR="0032157C" w:rsidRPr="00C46C26" w:rsidRDefault="0032157C" w:rsidP="007B0F7A">
      <w:pPr>
        <w:pStyle w:val="NormalHanging12a"/>
        <w:widowControl/>
        <w:rPr>
          <w:spacing w:val="-2"/>
        </w:rPr>
      </w:pPr>
      <w:r w:rsidRPr="00C46C26">
        <w:rPr>
          <w:snapToGrid w:val="0"/>
        </w:rPr>
        <w:t>G.</w:t>
      </w:r>
      <w:r w:rsidRPr="00C46C26">
        <w:rPr>
          <w:snapToGrid w:val="0"/>
        </w:rPr>
        <w:tab/>
      </w:r>
      <w:r w:rsidRPr="00C46C26">
        <w:t>mivel az igazságszolgáltatási rendszer továbbra is kihívásokkal néz szembe annak hatékonysága tekintetében, különösen a közigazgatási ügyekben; mivel a 2025. évi jogállamisági jelentésében a Bizottság azt ajánlotta, hogy Szlovákia vezessen be intézkedéseket a Bírói Tanács tagjainak – különösen a nem bírák által választott tagjainak – felmentésével kapcsolatos függetlenség megfelelő garanciáinak biztosítása érdekében, figyelembe véve az igazságszolgáltatási tanácsok függetlenségére vonatkozó európai normákat, valamint annak biztosítása érdekében, hogy megfelelő biztosítékok álljanak rendelkezésre, és azokat tartsák megfelelő tiszteletben akkor, amikor a bírák „joggal való visszaélés” bűncselekményéért való büntetőjogi felelősségét értékelik a bírósági határozataikban;</w:t>
      </w:r>
    </w:p>
    <w:p w14:paraId="31DF5259" w14:textId="77777777" w:rsidR="0032157C" w:rsidRPr="00C46C26" w:rsidRDefault="0032157C" w:rsidP="007B0F7A">
      <w:pPr>
        <w:pStyle w:val="NormalHanging12a"/>
        <w:widowControl/>
        <w:rPr>
          <w:spacing w:val="-2"/>
        </w:rPr>
      </w:pPr>
      <w:r w:rsidRPr="00C46C26">
        <w:rPr>
          <w:snapToGrid w:val="0"/>
        </w:rPr>
        <w:t>H.</w:t>
      </w:r>
      <w:r w:rsidRPr="00C46C26">
        <w:rPr>
          <w:snapToGrid w:val="0"/>
        </w:rPr>
        <w:tab/>
      </w:r>
      <w:r w:rsidRPr="00C46C26">
        <w:t>mivel 2025. évi jogállamisági jelentésében a Bizottság azt ajánlotta, hogy Szlovákia terjesszen elő javaslatokat a lobbitevékenység szabályozására és a vagyonnyilatkozati és -ellenőrzési rendszer megerősítésére, és folytassa az összeférhetetlenségi szabályok reformjára, valamint a magas szinten elkövetett korrupciós ügyek hatékony és független kivizsgálásának és büntetőeljárás alá vonásának biztosítására irányuló, folyamatban lévő erőfeszítéseit annak érdekében, hogy szilárd eredményeket érjen el, többek között az indokolatlan beavatkozás megelőzése és a legfőbb ügyész azon hatáskörének korlátozása révén, hogy megsemmisítse a jogerős vizsgálati és ügyészi határozatokat;</w:t>
      </w:r>
    </w:p>
    <w:p w14:paraId="5F66F4D9" w14:textId="77777777" w:rsidR="0032157C" w:rsidRPr="00C46C26" w:rsidRDefault="0032157C" w:rsidP="007B0F7A">
      <w:pPr>
        <w:pStyle w:val="NormalHanging12a"/>
        <w:widowControl/>
        <w:rPr>
          <w:spacing w:val="-2"/>
          <w:szCs w:val="24"/>
        </w:rPr>
      </w:pPr>
      <w:r w:rsidRPr="00C46C26">
        <w:rPr>
          <w:snapToGrid w:val="0"/>
        </w:rPr>
        <w:t>I.</w:t>
      </w:r>
      <w:r w:rsidRPr="00C46C26">
        <w:rPr>
          <w:snapToGrid w:val="0"/>
        </w:rPr>
        <w:tab/>
      </w:r>
      <w:r w:rsidRPr="00C46C26">
        <w:t>mivel 2025. május 8-án az Európai Csalás Elleni Hivatal (OLAF) ajánlását követően a Bizottság az (EU) 2021/241 rendelet 22. cikkének (5) bekezdésével és a Szlovákiára vonatkozó finanszírozási megállapodás 19. cikkének (1) bekezdésével és (2) bekezdésének a) pontjával összhangban végrehajtási határozatot fogadott el a Helyreállítási és Rezilienciaépítési Eszközből nyújtott támogatás összeférhetetlenség esetén történő csökkentéséről (C(2025)0294);</w:t>
      </w:r>
    </w:p>
    <w:p w14:paraId="0BCC24D8" w14:textId="77777777" w:rsidR="0032157C" w:rsidRPr="00C46C26" w:rsidRDefault="0032157C" w:rsidP="007B0F7A">
      <w:pPr>
        <w:pStyle w:val="NormalHanging12a"/>
        <w:widowControl/>
        <w:rPr>
          <w:spacing w:val="-2"/>
          <w:szCs w:val="24"/>
        </w:rPr>
      </w:pPr>
      <w:r w:rsidRPr="00C46C26">
        <w:rPr>
          <w:snapToGrid w:val="0"/>
        </w:rPr>
        <w:t>J.</w:t>
      </w:r>
      <w:r w:rsidRPr="00C46C26">
        <w:rPr>
          <w:snapToGrid w:val="0"/>
        </w:rPr>
        <w:tab/>
      </w:r>
      <w:r w:rsidRPr="00C46C26">
        <w:t>mivel 2025. június 6-án a Korrupció Elleni Államok Csoportja (GRECO) elfogadta a Szlovák Köztársaságról szóló ad hoc jelentését, amelyben számos ajánlást fogalmazott meg a gyorsított jogalkotási eljárás alkalmazásával, az elévülési idők lerövidítésével, a büntetőítéletekben kiszabott büntetések csökkentésével, az ügyészséget és a rendőrséget érintő intézményi reformokkal, valamint a „joggal való visszaélés” bűncselekményének alkalmazásával kapcsolatos megállapítások fényében; mivel 2026. március 6-án és 7-én a Velencei Bizottság és az Európa Tanács Emberi Jogi és Jogállamisági Főigazgatósága jelezte, hogy a joggal való visszaélés bűncselekménye aggodalomra ad okot, mivel eredendően veszélyezteti az igazságszolgáltatás függetlenségét, és megismételte, hogy az elsődleges jogorvoslati lehetőségnek a rendes fellebbviteli felülvizsgálatnak kell lennie;</w:t>
      </w:r>
    </w:p>
    <w:p w14:paraId="31AE172F" w14:textId="77777777" w:rsidR="0032157C" w:rsidRPr="00C46C26" w:rsidRDefault="0032157C" w:rsidP="007B0F7A">
      <w:pPr>
        <w:pStyle w:val="NormalHanging12a"/>
        <w:widowControl/>
        <w:rPr>
          <w:spacing w:val="-2"/>
          <w:szCs w:val="24"/>
        </w:rPr>
      </w:pPr>
      <w:r w:rsidRPr="00C46C26">
        <w:rPr>
          <w:snapToGrid w:val="0"/>
        </w:rPr>
        <w:t>K.</w:t>
      </w:r>
      <w:r w:rsidRPr="00C46C26">
        <w:rPr>
          <w:snapToGrid w:val="0"/>
        </w:rPr>
        <w:tab/>
      </w:r>
      <w:r w:rsidRPr="00C46C26">
        <w:t xml:space="preserve">mivel 2025. évi jogállamisági jelentésében a Bizottság azt javasolta, hogy Szlovákia erősítse meg a közszolgálati média független irányításának és szerkesztői függetlenségének helyreállítására és további védelmére irányuló szabályokat és mechanizmusokat, figyelembe véve a közszolgálati médiára vonatkozó európai </w:t>
      </w:r>
      <w:r w:rsidRPr="00C46C26">
        <w:lastRenderedPageBreak/>
        <w:t>normákat, és mozdítsa elő az újságírók fizikai biztonságának és munkakörnyezetének javítását célzó jogalkotási és egyéb biztosítékok létrehozásának folyamatát, beleértve a rágalmazásra vonatkozó jognak az újságírók védelmével kapcsolatos európai normákat figyelembe vevő reformját; mivel a szlovák kormány és parlament 2025-ben kinevezte a Szlovák Televízió és Rádió (STVR) tanácsát, amely kizárólag a kormányzó koalíció jelöltjeiből áll, ami tükröződik a főigazgató kiválasztásában és az STVR személyzetére a szerkesztői tartalom tekintetében gyakorolt jelentős nyomásban;</w:t>
      </w:r>
    </w:p>
    <w:p w14:paraId="7EBC400F" w14:textId="77777777" w:rsidR="0032157C" w:rsidRPr="00C46C26" w:rsidRDefault="0032157C" w:rsidP="007B0F7A">
      <w:pPr>
        <w:pStyle w:val="NormalHanging12a"/>
        <w:widowControl/>
        <w:rPr>
          <w:szCs w:val="24"/>
        </w:rPr>
      </w:pPr>
      <w:r w:rsidRPr="00C46C26">
        <w:rPr>
          <w:snapToGrid w:val="0"/>
        </w:rPr>
        <w:t>L.</w:t>
      </w:r>
      <w:r w:rsidRPr="00C46C26">
        <w:rPr>
          <w:snapToGrid w:val="0"/>
        </w:rPr>
        <w:tab/>
      </w:r>
      <w:r w:rsidRPr="00C46C26">
        <w:t>mivel 2026. február 11-én a szlovák alkotmánybíróság úgy határozott, hogy előzetes döntéshozatal iránti kérelmet terjeszt az EUB elé (C-107/26) a szlovák televízióról és rádióról szóló törvénynek a tömegtájékoztatás szabadságáról szóló európai rendelettel</w:t>
      </w:r>
      <w:r w:rsidRPr="00C46C26">
        <w:rPr>
          <w:rStyle w:val="FootnoteReference"/>
          <w:szCs w:val="24"/>
        </w:rPr>
        <w:footnoteReference w:id="9"/>
      </w:r>
      <w:r w:rsidRPr="00C46C26">
        <w:t xml:space="preserve"> való összeegyeztethetősége tekintetében;</w:t>
      </w:r>
    </w:p>
    <w:p w14:paraId="16F2856D" w14:textId="77777777" w:rsidR="0032157C" w:rsidRPr="00C46C26" w:rsidRDefault="0032157C" w:rsidP="007B0F7A">
      <w:pPr>
        <w:pStyle w:val="NormalHanging12a"/>
        <w:widowControl/>
        <w:rPr>
          <w:spacing w:val="-2"/>
          <w:szCs w:val="24"/>
        </w:rPr>
      </w:pPr>
      <w:r w:rsidRPr="00C46C26">
        <w:rPr>
          <w:snapToGrid w:val="0"/>
        </w:rPr>
        <w:t>M.</w:t>
      </w:r>
      <w:r w:rsidRPr="00C46C26">
        <w:rPr>
          <w:snapToGrid w:val="0"/>
        </w:rPr>
        <w:tab/>
      </w:r>
      <w:r w:rsidRPr="00C46C26">
        <w:t>mivel az egyes újságírók, a civil társadalom és egyes kiszolgáltatott csoportok ellen politikusok által intézett nyilvános múltbeli támadások hozzájárultak a gyűlöletbeszéd normalizálásához, és e légkörben súlyos erőszakos bűncselekmények elkövetésére került sor, beleértve Ján Kuciak és Martina Kušnírová meggyilkolását; mivel Ján Kuciak és Martina Kušnírová meggyilkolása a jelenleg nyomozás alatt álló egyik legösszetettebb ügy; mivel ezt az ügyet a Különleges Ügyészség felügyelte, és jelenleg a legfőbb ügyész felügyelete alatt áll;</w:t>
      </w:r>
    </w:p>
    <w:p w14:paraId="70F55161" w14:textId="77777777" w:rsidR="0032157C" w:rsidRPr="00C46C26" w:rsidRDefault="0032157C" w:rsidP="007B0F7A">
      <w:pPr>
        <w:pStyle w:val="NormalHanging12a"/>
        <w:widowControl/>
        <w:rPr>
          <w:spacing w:val="-2"/>
          <w:szCs w:val="24"/>
        </w:rPr>
      </w:pPr>
      <w:r w:rsidRPr="00C46C26">
        <w:rPr>
          <w:snapToGrid w:val="0"/>
        </w:rPr>
        <w:t>N.</w:t>
      </w:r>
      <w:r w:rsidRPr="00C46C26">
        <w:rPr>
          <w:snapToGrid w:val="0"/>
        </w:rPr>
        <w:tab/>
      </w:r>
      <w:r w:rsidRPr="00C46C26">
        <w:t>mivel a 2025. évi jogállamisági jelentésében a Bizottság azt javasolta, hogy Szlovákia biztosítsa a tényleges nyilvános konzultációkat és az érdekelt felek bevonását a jogalkotási folyamatba, többek között a gyorsított eljárás gyakori alkalmazásának kezelése révén; mivel 2025-ben a szlovák parlament által elfogadott törvények 20%-át gyorsított jogalkotási eljárás keretében vitatták meg és fogadták el;</w:t>
      </w:r>
    </w:p>
    <w:p w14:paraId="0E3FEB94" w14:textId="77777777" w:rsidR="0032157C" w:rsidRPr="00C46C26" w:rsidRDefault="0032157C" w:rsidP="007B0F7A">
      <w:pPr>
        <w:pStyle w:val="NormalHanging12a"/>
        <w:widowControl/>
        <w:rPr>
          <w:spacing w:val="-2"/>
          <w:szCs w:val="24"/>
        </w:rPr>
      </w:pPr>
      <w:r w:rsidRPr="00C46C26">
        <w:rPr>
          <w:snapToGrid w:val="0"/>
        </w:rPr>
        <w:t>O.</w:t>
      </w:r>
      <w:r w:rsidRPr="00C46C26">
        <w:rPr>
          <w:snapToGrid w:val="0"/>
        </w:rPr>
        <w:tab/>
      </w:r>
      <w:r w:rsidRPr="00C46C26">
        <w:t>mivel 2025. december 12-én a szlovák parlament gyorsított eljárás keretében módosította a visszaéléseket bejelentő személyek védelmére vonatkozó jogszabályt; mivel 2025. december 17-én a szlovák alkotmánybíróság felfüggesztette e változások hatályát; mivel 2026. január 30-án a Bizottság úgy határozott, hogy felszólító levél útján kötelezettségszegési eljárást indít Szlovákia ellen a visszaélést bejelentő személyek védelmére vonatkozó uniós szabályok megsértése miatt;</w:t>
      </w:r>
    </w:p>
    <w:p w14:paraId="453D51A0" w14:textId="77777777" w:rsidR="0032157C" w:rsidRPr="00C46C26" w:rsidRDefault="0032157C" w:rsidP="007B0F7A">
      <w:pPr>
        <w:pStyle w:val="NormalHanging12a"/>
        <w:widowControl/>
        <w:rPr>
          <w:spacing w:val="-2"/>
          <w:szCs w:val="24"/>
        </w:rPr>
      </w:pPr>
      <w:r w:rsidRPr="00C46C26">
        <w:rPr>
          <w:snapToGrid w:val="0"/>
        </w:rPr>
        <w:t>P.</w:t>
      </w:r>
      <w:r w:rsidRPr="00C46C26">
        <w:rPr>
          <w:snapToGrid w:val="0"/>
        </w:rPr>
        <w:tab/>
      </w:r>
      <w:r w:rsidRPr="00C46C26">
        <w:t>mivel 2025. április 16-án a szlovák parlament módosította a nonprofit szervezetekre vonatkozó jogszabályt; mivel az Európa Tanács emberi jogi biztosa és a Velencei Bizottság aggodalmát fejezte ki azzal kapcsolatban, hogy a módosítás megfelel-e az EJEE-nek; mivel több nem kormányzati szervezet ellen lejárató kampányokat indítottak, fenyegetéseket és megfélemlítést alkalmaztak</w:t>
      </w:r>
      <w:r w:rsidRPr="00C46C26">
        <w:rPr>
          <w:rStyle w:val="FootnoteReference"/>
          <w:color w:val="000000"/>
          <w:spacing w:val="-2"/>
        </w:rPr>
        <w:footnoteReference w:id="10"/>
      </w:r>
      <w:r w:rsidRPr="00C46C26">
        <w:t xml:space="preserve">; mivel 2025. december 17-én az Alkotmánybíróság arra a következtetésre jutott, hogy a módosítás nem felel meg a szlovák alkotmánynak és az EJEE-nek; mivel ezen ítélet ellenére a szlovák hatóságok alternatív intézkedéseket vezettek be a civil társadalmi szervezetek közigazgatási </w:t>
      </w:r>
      <w:r w:rsidRPr="00C46C26">
        <w:lastRenderedPageBreak/>
        <w:t>felügyeletének növelése érdekében, és módosították az átláthatósági szabályokat, ami aggályokat vet fel a civil társadalmi térre nehezedő folyamatos nyomással kapcsolatban;</w:t>
      </w:r>
    </w:p>
    <w:p w14:paraId="5C713E31" w14:textId="77777777" w:rsidR="0032157C" w:rsidRPr="00C46C26" w:rsidRDefault="0032157C" w:rsidP="007B0F7A">
      <w:pPr>
        <w:pStyle w:val="NormalHanging12a"/>
        <w:widowControl/>
        <w:rPr>
          <w:spacing w:val="-2"/>
          <w:szCs w:val="24"/>
        </w:rPr>
      </w:pPr>
      <w:r w:rsidRPr="00C46C26">
        <w:rPr>
          <w:snapToGrid w:val="0"/>
        </w:rPr>
        <w:t>Q.</w:t>
      </w:r>
      <w:r w:rsidRPr="00C46C26">
        <w:rPr>
          <w:snapToGrid w:val="0"/>
        </w:rPr>
        <w:tab/>
      </w:r>
      <w:r w:rsidRPr="00C46C26">
        <w:t>mivel az ENSZ emberi jogi szakértői és az ENSZ Emberi Jogi Bizottsága aggodalmát fejezte ki a nem kormányzati szervezetek, újságírók és civil társadalmi szervezetek szlovákiai megbélyegzése és üldözése, valamint a civil társadalmi tér korlátozása miatt; mivel a bizottság felszólította Szlovákiát, hogy vizsgálja felül és módosítsa jogszabályait a békés gyülekezés jogának teljes körű védelme és a nem kormányzati szervezetek számára megfelelő keret biztosítása érdekében; mivel Szlovákia a titkos megfigyelésre vonatkozó biztosítékok hiánya miatt továbbra is megerősített eljárás alatt áll az Emberi Jogok Európai Bírósága ítéleteinek végrehajtása tekintetében</w:t>
      </w:r>
      <w:r w:rsidRPr="00C46C26">
        <w:rPr>
          <w:rStyle w:val="FootnoteReference"/>
          <w:color w:val="000000"/>
          <w:spacing w:val="-2"/>
        </w:rPr>
        <w:footnoteReference w:id="11"/>
      </w:r>
      <w:r w:rsidRPr="00C46C26">
        <w:t>;</w:t>
      </w:r>
    </w:p>
    <w:p w14:paraId="7F6BBA2F" w14:textId="77777777" w:rsidR="0032157C" w:rsidRPr="00C46C26" w:rsidRDefault="0032157C" w:rsidP="007B0F7A">
      <w:pPr>
        <w:pStyle w:val="NormalHanging12a"/>
        <w:widowControl/>
        <w:rPr>
          <w:szCs w:val="24"/>
        </w:rPr>
      </w:pPr>
      <w:r w:rsidRPr="00C46C26">
        <w:rPr>
          <w:snapToGrid w:val="0"/>
        </w:rPr>
        <w:t>R.</w:t>
      </w:r>
      <w:r w:rsidRPr="00C46C26">
        <w:rPr>
          <w:snapToGrid w:val="0"/>
        </w:rPr>
        <w:tab/>
      </w:r>
      <w:r w:rsidRPr="00C46C26">
        <w:t>mivel 2025. december 11-én a szlovák parlament módosította a büntető törvénykönyvet annak érdekében, hogy bűncselekménnyé nyilvánítsa a választási kampány „külföldi hatalommal vagy külföldi ügynökkel együttműködve” elkövetett akadályozását; mivel 2026. március 27-én javaslatot terjesztettek elő a választójog gyakorlásának feltételeire vonatkozó jogszabályok módosítására annak érdekében, hogy a külföldről történő levélszavazást a diplomáciai és konzuli képviseleteken történő személyes szavazással váltsák fel;</w:t>
      </w:r>
    </w:p>
    <w:p w14:paraId="62D29BDA" w14:textId="77777777" w:rsidR="0032157C" w:rsidRPr="00C46C26" w:rsidRDefault="0032157C" w:rsidP="007B0F7A">
      <w:pPr>
        <w:pStyle w:val="NormalHanging12a"/>
        <w:widowControl/>
        <w:rPr>
          <w:spacing w:val="-2"/>
        </w:rPr>
      </w:pPr>
      <w:r w:rsidRPr="00C46C26">
        <w:rPr>
          <w:snapToGrid w:val="0"/>
        </w:rPr>
        <w:t>S.</w:t>
      </w:r>
      <w:r w:rsidRPr="00C46C26">
        <w:rPr>
          <w:snapToGrid w:val="0"/>
        </w:rPr>
        <w:tab/>
      </w:r>
      <w:r w:rsidRPr="00C46C26">
        <w:t>mivel az alkotmány 2025. szeptember 26-án elfogadott módosításai rendelkezéseket vezettek be az örökbefogadásra, az oktatási tevékenységekre és a nem fogalmának alkotmányos meghatározására vonatkozóan; mivel az Európa Tanács emberi jogi biztosa és a Velencei Bizottság aggodalmát fejezte ki e módosításokkal kapcsolatban;</w:t>
      </w:r>
    </w:p>
    <w:p w14:paraId="44B1E0EC" w14:textId="77777777" w:rsidR="0032157C" w:rsidRPr="00C46C26" w:rsidRDefault="0032157C" w:rsidP="007B0F7A">
      <w:pPr>
        <w:pStyle w:val="NormalHanging12a"/>
        <w:widowControl/>
        <w:rPr>
          <w:spacing w:val="-2"/>
          <w:szCs w:val="24"/>
        </w:rPr>
      </w:pPr>
      <w:r w:rsidRPr="00C46C26">
        <w:rPr>
          <w:snapToGrid w:val="0"/>
        </w:rPr>
        <w:t>T.</w:t>
      </w:r>
      <w:r w:rsidRPr="00C46C26">
        <w:rPr>
          <w:snapToGrid w:val="0"/>
        </w:rPr>
        <w:tab/>
      </w:r>
      <w:r w:rsidRPr="00C46C26">
        <w:t>mivel Szlovákiában rendszerszintű hiányosságok tapasztalhatók a kapcsolati erőszak eseteinek hatékony kivizsgálása és büntetőeljárás alá vonása terén, amint azt az Emberi Jogok Európai Bíróságának ítélkezési gyakorlata is kiemeli</w:t>
      </w:r>
      <w:r w:rsidRPr="00C46C26">
        <w:rPr>
          <w:rStyle w:val="FootnoteReference"/>
          <w:color w:val="000000"/>
          <w:spacing w:val="-2"/>
        </w:rPr>
        <w:footnoteReference w:id="12"/>
      </w:r>
      <w:r w:rsidRPr="00C46C26">
        <w:t>;</w:t>
      </w:r>
    </w:p>
    <w:p w14:paraId="770E98B2" w14:textId="77777777" w:rsidR="0032157C" w:rsidRPr="00C46C26" w:rsidRDefault="0032157C" w:rsidP="007B0F7A">
      <w:pPr>
        <w:pStyle w:val="NormalHanging12a"/>
        <w:widowControl/>
        <w:rPr>
          <w:spacing w:val="-2"/>
          <w:szCs w:val="24"/>
        </w:rPr>
      </w:pPr>
      <w:r w:rsidRPr="00C46C26">
        <w:rPr>
          <w:snapToGrid w:val="0"/>
        </w:rPr>
        <w:t>U.</w:t>
      </w:r>
      <w:r w:rsidRPr="00C46C26">
        <w:rPr>
          <w:snapToGrid w:val="0"/>
        </w:rPr>
        <w:tab/>
      </w:r>
      <w:r w:rsidRPr="00C46C26">
        <w:t>mivel a C-799/23. sz. Bizottság kontra Szlovákia ügy továbbra is folyamatban van az EUB előtt; mivel Szlovákia továbbra is megerősített eljárás alatt áll az Emberi Jogok Európai Bírósága által a roma gyermekeknek az értelmi fogyatékossággal élő gyermekek számára fenntartott általános iskolák speciális osztályaiba való diszkriminatív beíratásával és iskoláztatásával kapcsolatban hozott ítélet</w:t>
      </w:r>
      <w:r w:rsidRPr="00C46C26">
        <w:rPr>
          <w:rStyle w:val="FootnoteReference"/>
          <w:color w:val="000000"/>
          <w:spacing w:val="-2"/>
        </w:rPr>
        <w:footnoteReference w:id="13"/>
      </w:r>
      <w:r w:rsidRPr="00C46C26">
        <w:t xml:space="preserve"> végrehajtása tekintetében; mivel 2025. február 25-én az Európa Tanács emberi jogi biztosa sürgős intézkedésekre szólított fel a marginalizált roma közösségek nem megfelelő életkörülményeinek kezelése érdekében; mivel a biztos ajánlásokat fogalmazott meg a roma gyermekek inkluzív és minőségi oktatáshoz való hozzáférésének garantálására és szegregációjuk megszüntetésére, valamint a cigányellenesség és a megkülönböztetés kezelésére vonatkozóan, különösen a rendfenntartás terén; mivel Szlovákia továbbra is </w:t>
      </w:r>
      <w:r w:rsidRPr="00C46C26">
        <w:lastRenderedPageBreak/>
        <w:t>megerősített eljárás alatt áll az Emberi Jogok Európai Bírósága romákkal szembeni rendőri bánásmódra vonatkozó ítéleteinek</w:t>
      </w:r>
      <w:r w:rsidRPr="00C46C26">
        <w:rPr>
          <w:rStyle w:val="FootnoteReference"/>
          <w:color w:val="000000"/>
          <w:spacing w:val="-2"/>
        </w:rPr>
        <w:footnoteReference w:id="14"/>
      </w:r>
      <w:r w:rsidRPr="00C46C26">
        <w:t xml:space="preserve"> végrehajtása tekintetében;</w:t>
      </w:r>
    </w:p>
    <w:p w14:paraId="0604D223" w14:textId="77777777" w:rsidR="0032157C" w:rsidRPr="00C46C26" w:rsidRDefault="0032157C" w:rsidP="007B0F7A">
      <w:pPr>
        <w:pStyle w:val="NormalHanging12a"/>
        <w:widowControl/>
        <w:rPr>
          <w:spacing w:val="-2"/>
          <w:szCs w:val="24"/>
        </w:rPr>
      </w:pPr>
      <w:r w:rsidRPr="00C46C26">
        <w:rPr>
          <w:snapToGrid w:val="0"/>
        </w:rPr>
        <w:t>V.</w:t>
      </w:r>
      <w:r w:rsidRPr="00C46C26">
        <w:rPr>
          <w:snapToGrid w:val="0"/>
        </w:rPr>
        <w:tab/>
      </w:r>
      <w:r w:rsidRPr="00C46C26">
        <w:t>mivel az Európai Szövetség a Szabadságjogokért 2025. évi jogállamisági jelentése</w:t>
      </w:r>
      <w:r w:rsidRPr="00C46C26">
        <w:rPr>
          <w:rStyle w:val="FootnoteReference"/>
          <w:color w:val="000000"/>
          <w:spacing w:val="-2"/>
          <w:szCs w:val="24"/>
        </w:rPr>
        <w:footnoteReference w:id="15"/>
      </w:r>
      <w:r w:rsidRPr="00C46C26">
        <w:t xml:space="preserve"> kiemeli a Szlovákiában az igazságszolgáltatás függetlensége, a korrupcióellenes keret, a tömegtájékoztatás szabadsága, a gyorsított jogalkotási eljárások alkalmazása, a civil társadalmi tér és az alapvető jogok terén fennálló folyamatos aggályokat, különösen a kisebbségek és a kiszolgáltatott csoportok tekintetében;</w:t>
      </w:r>
    </w:p>
    <w:p w14:paraId="01FE4ABB" w14:textId="50EA47AA" w:rsidR="0032157C" w:rsidRPr="00C46C26" w:rsidRDefault="0032157C" w:rsidP="007B0F7A">
      <w:pPr>
        <w:pStyle w:val="NormalHanging12a"/>
        <w:widowControl/>
        <w:rPr>
          <w:spacing w:val="-2"/>
          <w:szCs w:val="24"/>
        </w:rPr>
      </w:pPr>
      <w:r w:rsidRPr="00C46C26">
        <w:rPr>
          <w:snapToGrid w:val="0"/>
        </w:rPr>
        <w:t>W.</w:t>
      </w:r>
      <w:r w:rsidRPr="00C46C26">
        <w:rPr>
          <w:snapToGrid w:val="0"/>
        </w:rPr>
        <w:tab/>
      </w:r>
      <w:r w:rsidR="00C46C26" w:rsidRPr="00C46C26">
        <w:t>mivel 2025. december 11-én a szlovák parlament módosította a büntető törvénykönyvet annak érdekében, hogy bűncselekménnyé nyilvánítsa „a II. világháború utáni rendeletek megkérdőjelezését”; mivel ez a nemrég elfogadott törvény azzal a veszéllyel jár, hogy visszatartó hatást gyakorol a véleménynyilvánítás szabadságára és a tudományos élet szabadságára, amelyeket az Európai Unió Alapjogi Chartája véd; mivel a fent említett, különösen a magyar nemzeti kisebbséghez tartozó állampolgárokra alkalmazott rendeletek alapján történő folytatódó földelkobzás valójában nagyarányú földszerzési program, amely több száz tulajdonost fosztott meg értékes földjeitől, és aggályokat vet fel a jogbiztonsággal és a jogállamiság tiszteletben tartásával kapcsolatban; mivel 2022. február 2-án a nemzeti kisebbségek védelméről szóló keretegyezmény tanácsadó bizottsága felkérte a szlovák hatóságokat, hogy kezdjenek párbeszédet az érintett nemzeti kisebbségek képviselőivel a vagyonelkobzásról szóló 1945. évi rendeletnek az etnikumok közötti jelenlegi kapcsolatokra gyakorolt esetleges negatív hatásairól</w:t>
      </w:r>
      <w:r w:rsidRPr="00C46C26">
        <w:t>;</w:t>
      </w:r>
    </w:p>
    <w:p w14:paraId="13859C63" w14:textId="77777777" w:rsidR="0032157C" w:rsidRPr="00C46C26" w:rsidRDefault="0032157C" w:rsidP="007B0F7A">
      <w:pPr>
        <w:pStyle w:val="NormalHanging12a"/>
        <w:widowControl/>
        <w:rPr>
          <w:rFonts w:eastAsiaTheme="majorEastAsia"/>
        </w:rPr>
      </w:pPr>
      <w:r w:rsidRPr="00C46C26">
        <w:t>1.</w:t>
      </w:r>
      <w:r w:rsidRPr="00C46C26">
        <w:tab/>
        <w:t>rendkívül aggasztónak tartja a demokrácia, a jogállamiság és az alapvető jogok helyzetének romlását Szlovákiában; kiemeli, hogy a jogállamiság és a Charta tagállamok általi igazolt tiszteletben tartását az uniós forrásokhoz való hozzáférés alapvető előfeltételének kell tekinteni; hangsúlyozza, hogy az uniós költségvetésből finanszírozott valamennyi programnak és beruházásnak a közérdeket kell szolgálnia; hangsúlyozza, hogy a jogállamiság rendszerszintű, különösen az igazságszolgáltatás függetlensége, valamint az ellenőrzési és kontrollrendszerek terén fennálló hiányosságai veszélyeztetik az EU pénzügyi érdekeinek védelmét;</w:t>
      </w:r>
    </w:p>
    <w:p w14:paraId="07CD3B24" w14:textId="77777777" w:rsidR="0032157C" w:rsidRPr="00C46C26" w:rsidRDefault="0032157C" w:rsidP="007B0F7A">
      <w:pPr>
        <w:pStyle w:val="NormalHanging12a"/>
        <w:widowControl/>
        <w:rPr>
          <w:rFonts w:eastAsiaTheme="majorEastAsia"/>
        </w:rPr>
      </w:pPr>
      <w:r w:rsidRPr="00C46C26">
        <w:t>2.</w:t>
      </w:r>
      <w:r w:rsidRPr="00C46C26">
        <w:tab/>
        <w:t>felhívja a Bizottságot annak értékelésére, hogy fennállhat-e annak egyértelmű kockázata, hogy Szlovákia súlyosan megsérti az EUSZ 2. cikkében említett értékeket;</w:t>
      </w:r>
      <w:r w:rsidRPr="00C46C26">
        <w:rPr>
          <w:rStyle w:val="Hyperlink0"/>
        </w:rPr>
        <w:t xml:space="preserve"> felhívja továbbá a Bizottságot</w:t>
      </w:r>
      <w:r w:rsidRPr="00C46C26">
        <w:t xml:space="preserve">, hogy teljes mértékben használja ki az összes rendelkezésre álló eszközt a demokráciával, a jogállamisággal és az alapvető jogokkal kapcsolatos aggályok kezelésére, kezdve az éves jogállamisági jelentése keretében rendelkezésre álló megelőző és együttműködési eszközökkel, az EUSZ 2. cikkében foglalt értékeknek való megfelelés biztosítása érdekében; hangsúlyozza azonban, hogy amennyiben az aggályok továbbra is fennállnak és kellően megalapozottak, a Bizottságnak habozás nélkül alkalmaznia kell a rendelkezésére álló valamennyi végrehajtási intézkedést az uniós költségvetés védelme és az EUSZ 2. cikkében foglalt értékek fenntartása érdekében, beleértve a kötelezettségszegési eljárásokat és különösen a gyorsított kötelezettségszegési eljárásokat, az EUB-hoz benyújtott, ideiglenes intézkedés iránti kérelmeket és az EUB ítéletei végrehajtásának elmulasztásával </w:t>
      </w:r>
      <w:r w:rsidRPr="00C46C26">
        <w:lastRenderedPageBreak/>
        <w:t>kapcsolatos intézkedéseket, valamint a megerősített ellenőrzéseket, a kifizetések felfüggesztését, a pénzügyi korrekciók szisztematikus alkalmazását és a visszafizettetési eljárásokat;</w:t>
      </w:r>
    </w:p>
    <w:p w14:paraId="67628EE5" w14:textId="77777777" w:rsidR="0032157C" w:rsidRPr="00C46C26" w:rsidRDefault="0032157C" w:rsidP="007B0F7A">
      <w:pPr>
        <w:pStyle w:val="NormalHanging12a"/>
        <w:widowControl/>
      </w:pPr>
      <w:r w:rsidRPr="00C46C26">
        <w:t>3.</w:t>
      </w:r>
      <w:r w:rsidRPr="00C46C26">
        <w:tab/>
        <w:t>sajnálatosnak tartja, hogy Szlovákia számos módosítást fogadott el büntetőjogára és büntetőeljárási törvényére vonatkozóan, beleértve a korrupció és a pénzügyi bűncselekmények büntetésének csökkentését, az elévülési idők lerövidítését, valamint a szakosodott korrupcióellenes szervek, a Nemzeti Bűnügyi Ügynökség és a Különleges Ügyészség felszámolását, ami más szervekhez áttett nyomozások késedelméhez és a korrupciós ügyek számának jelentős csökkenéséhez vezetett, és aláássa az uniós forrásokat érintő bűncselekmények büntetőeljárás alá vonását; aggodalmát fejezi ki a szlovák büntetőeljárási törvénykönyv 363. cikke által a szlovák főügyészre ruházott széles mérlegelési jogkör miatt, amely lehetővé teheti a büntetőeljárás formális okokból, megfelelő biztosítékok nélkül történő megszakítását vagy késleltetését, ami kockázatot jelent az ügyek, különösen a korrupcióval kapcsolatos bűncselekmények hatékony nyomozására és vádeljárás lefolytatására nézve; aggodalmát fejezi ki a korábbi korrupcióellenes nyomozók zaklatásáról és az ellenük indított vizsgálatokról szóló jelentések miatt, és úgy véli, hogy ezek az intézkedések gyengítik a korrupció elleni küzdelmet, alááshatják az EU pénzügyi érdekeinek védelmét, és visszatartó hatást gyakorolhatnak a független vizsgálatokra; aggodalmát fejezi ki továbbá a Helyreállítási és Rezilienciaépítési Eszköz végrehajtásával kapcsolatban feltárt összeférhetetlenségek miatt;</w:t>
      </w:r>
    </w:p>
    <w:p w14:paraId="4B10D795" w14:textId="77777777" w:rsidR="0032157C" w:rsidRPr="00C46C26" w:rsidRDefault="0032157C" w:rsidP="007B0F7A">
      <w:pPr>
        <w:pStyle w:val="NormalHanging12a"/>
        <w:widowControl/>
        <w:rPr>
          <w:rFonts w:eastAsiaTheme="majorEastAsia"/>
        </w:rPr>
      </w:pPr>
      <w:r w:rsidRPr="00C46C26">
        <w:t>4.</w:t>
      </w:r>
      <w:r w:rsidRPr="00C46C26">
        <w:tab/>
        <w:t>rendkívül aggasztónak tartja a szlovákiai alkotmánymódosításokat, különösen az alapvető jogokat, a jogállamiságot és az uniós jog elsőbbségét korlátozó módosításokat; aggodalommal állapítja meg, hogy a civil társadalmi szervezetek figyelmeztettek arra, hogy ezek a módosítások sérthetik az alapvető jogokat; hangsúlyozza, hogy az alkotmányos rendelkezéseket kellő pontossággal kell megfogalmazni az önkényes értelmezés megelőzése érdekében, és azoknak teljes mértékben meg kell felelniük az uniós jog, többek között a Charta szerinti kötelezettségeknek, valamint a nemzetközi emberi jogi normáknak; emlékeztet arra, hogy teljes mértékben tiszteletben kell tartani az uniós jog elsőbbségét és a nemzetközi kötelezettségek kötelező jellegét, és hogy egyetlen alkotmányos rendelkezés sem indokolhatja az EUB vagy az Emberi Jogok Európai Bírósága ítéleteinek való meg nem felelést; felhívja a szlovák hatóságokat annak biztosítására, hogy az ország alkotmánya teljes mértékben feleljen meg az uniós jognak és a nemzetközi emberi jogi normáknak, és vegye figyelembe a Velencei Bizottság és a nemzetközi emberi jogi szervek ajánlásait, különös tekintettel az uniós jog elsőbbségére, a magán- és családi élethez való jogra, a nemen és szexuális irányultságon alapuló megkülönböztetésmentességre és az oktatáshoz való jogra;</w:t>
      </w:r>
    </w:p>
    <w:p w14:paraId="602B5AA6" w14:textId="77777777" w:rsidR="0032157C" w:rsidRPr="00C46C26" w:rsidRDefault="0032157C" w:rsidP="007B0F7A">
      <w:pPr>
        <w:pStyle w:val="NormalHanging12a"/>
        <w:widowControl/>
        <w:rPr>
          <w:rFonts w:eastAsiaTheme="majorEastAsia"/>
        </w:rPr>
      </w:pPr>
      <w:r w:rsidRPr="00C46C26">
        <w:t>5.</w:t>
      </w:r>
      <w:r w:rsidRPr="00C46C26">
        <w:tab/>
        <w:t>felhívja a Bizottságot, hogy értékelje a közelmúltbeli jogszabályi változások uniós jognak való megfelelését, és alkalmazza a közös rendelkezésekről szóló rendelet rendelkezéseit az abban foglalt horizontális feljogosító feltételeknek való meg nem felelés esetén</w:t>
      </w:r>
      <w:r w:rsidRPr="00C46C26">
        <w:rPr>
          <w:rStyle w:val="Hyperlink0"/>
        </w:rPr>
        <w:t>;</w:t>
      </w:r>
    </w:p>
    <w:p w14:paraId="7A41853E" w14:textId="77777777" w:rsidR="0032157C" w:rsidRPr="00C46C26" w:rsidRDefault="0032157C" w:rsidP="007B0F7A">
      <w:pPr>
        <w:pStyle w:val="NormalHanging12a"/>
        <w:widowControl/>
      </w:pPr>
      <w:r w:rsidRPr="00C46C26">
        <w:t>6.</w:t>
      </w:r>
      <w:r w:rsidRPr="00C46C26">
        <w:tab/>
        <w:t xml:space="preserve">hangsúlyozza, hogy a jogállamiságra vonatkozó feltételrendszerről szóló rendelet nem korlátozódik a végső megoldásként alkalmazott intézkedésekre, hanem lehetővé teszi a részleges felfüggesztéssel járó korai fellépést is, amennyiben a jogállamiság olyan megsértését állapítják meg, amely komoly kockázatot jelent a hatékony és eredményes pénzgazdálkodásra nézve az uniós költségvetésben; megismétli a Bizottság 2024. évi költségvetési mentesítésével összefüggésben tett azon felhívását, hogy indítsák meg a </w:t>
      </w:r>
      <w:r w:rsidRPr="00C46C26">
        <w:lastRenderedPageBreak/>
        <w:t>jogállamiságra vonatkozó feltételrendszerről szóló rendelet 6. cikkének (1) bekezdésében meghatározott eljárás első lépését;</w:t>
      </w:r>
    </w:p>
    <w:p w14:paraId="3EA18DCA" w14:textId="77777777" w:rsidR="0032157C" w:rsidRPr="00C46C26" w:rsidRDefault="0032157C" w:rsidP="007B0F7A">
      <w:pPr>
        <w:pStyle w:val="NormalHanging12a"/>
        <w:widowControl/>
        <w:rPr>
          <w:rFonts w:eastAsiaTheme="majorEastAsia"/>
        </w:rPr>
      </w:pPr>
      <w:r w:rsidRPr="00C46C26">
        <w:t>7.</w:t>
      </w:r>
      <w:r w:rsidRPr="00C46C26">
        <w:tab/>
        <w:t>mély aggodalmát fejezi ki a Bejelentővédelmi Hivatal megszüntetésére irányuló kísérlet miatt, amely a visszaélést bejelentő személyek számára biztosított védelem szintjének jelentős csökkenéséhez vezetett volna, beleértve a megtorlásnak való fokozott kitettséget és a jogi biztosítékokhoz való korlátozott hozzáférést; elutasítja azokat a rendelkezéseket, amelyek „felülvizsgálati mechanizmust” vezetnek be, lehetővé téve a hatóságok vagy a munkáltatók számára, hogy bírósági ellenőrzés nélkül megvonják a visszaélést bejelentő személyektől az őket megillető védelmet, veszélyeztetve ezáltal a Chartában rögzített, hatékony jogorvoslathoz való alapvető jogot; hangsúlyozza, hogy a visszaélést bejelentő személyek védelmének korlátozása összeegyeztethetetlen a visszaélést bejelentő személyek védelméről szóló uniós irányelvvel, és aláássa a jogállamiságot; üdvözli a szlovák parlament 2026. március 17-i határozatát, amely hatályon kívül helyezi a vitatott törvényt és nem szünteti meg a Bejelentővédelmi Hivatalt; felhívja a Bizottságot, hogy szorosan kövesse nyomon a szlovák Bejelentővédelmi Hivatal megszüntetését elrendelő jogszabály hatályon kívül helyezésének végrehajtását annak biztosítása érdekében, hogy e hatályon kívül helyezés teljes mértékben helyreállítsa a védelem korábbi szintjét és igazodjon az uniós joghoz, és a további intézkedések mérlegelése előtt értékelje a hatályon kívül helyezés hatókörét és hatékonyságát; felhívja a szlovák hatóságokat, hogy biztosítsák a visszaélést bejelentő személyek védelmére vonatkozó uniós jogszabályoknak és normáknak való megfelelést;</w:t>
      </w:r>
    </w:p>
    <w:p w14:paraId="56C9585F" w14:textId="77777777" w:rsidR="0032157C" w:rsidRPr="00C46C26" w:rsidRDefault="0032157C" w:rsidP="007B0F7A">
      <w:pPr>
        <w:pStyle w:val="NormalHanging12a"/>
        <w:widowControl/>
        <w:rPr>
          <w:szCs w:val="24"/>
        </w:rPr>
      </w:pPr>
      <w:r w:rsidRPr="00C46C26">
        <w:rPr>
          <w:snapToGrid w:val="0"/>
        </w:rPr>
        <w:t>8.</w:t>
      </w:r>
      <w:r w:rsidRPr="00C46C26">
        <w:rPr>
          <w:snapToGrid w:val="0"/>
        </w:rPr>
        <w:tab/>
      </w:r>
      <w:r w:rsidRPr="00C46C26">
        <w:t>sürgeti a Bizottságot, hogy a nemzeti végrehajtási kapacitások gyengülésének ellensúlyozása és a folyamatban lévő vizsgálatok hatékony nyomon követésének biztosítása érdekében fokozza a célzott ellenőrzéseket és a helyszíni ellenőrzéseket Szlovákiában, többek között az OLAF-fal és az Európai Ügyészséggel való megerősített és szisztematikus együttműködés révén; hangsúlyozza, hogy ezeket az ellenőrzéseket valamennyi releváns uniós finanszírozási forrás tekintetében szisztematikusan alkalmazni kell, beleértve mind a többéves pénzügyi keret, mind a Helyreállítási és Rezilienciaépítési Eszköz forrásait;</w:t>
      </w:r>
    </w:p>
    <w:p w14:paraId="05501420" w14:textId="77777777" w:rsidR="0032157C" w:rsidRPr="00C46C26" w:rsidRDefault="0032157C" w:rsidP="007B0F7A">
      <w:pPr>
        <w:pStyle w:val="NormalHanging12a"/>
        <w:widowControl/>
        <w:rPr>
          <w:szCs w:val="24"/>
        </w:rPr>
      </w:pPr>
      <w:r w:rsidRPr="00C46C26">
        <w:rPr>
          <w:snapToGrid w:val="0"/>
        </w:rPr>
        <w:t>9.</w:t>
      </w:r>
      <w:r w:rsidRPr="00C46C26">
        <w:rPr>
          <w:snapToGrid w:val="0"/>
        </w:rPr>
        <w:tab/>
      </w:r>
      <w:r w:rsidRPr="00C46C26">
        <w:t>megerősíti, hogy kész a lojális együttműködés szellemében együttműködni a szlovák hatóságokkal, valamint a civil társadalommal és a független intézményekkel a feltárt hiányosságok kezelése érdekében; hangsúlyozza, hogy a Parlament általi ellenőrzés és a Parlament látogatásainak célja a demokratikus intézmények, a jogállamiság és az uniós források megfelelő felhasználásának támogatása; felhívja a szlovák hatóságokat, hogy konstruktívan és proaktívan működjenek együtt az uniós intézményekkel ebben a folyamatban;</w:t>
      </w:r>
    </w:p>
    <w:p w14:paraId="6C20BA68" w14:textId="77777777" w:rsidR="0032157C" w:rsidRPr="00C46C26" w:rsidRDefault="0032157C" w:rsidP="007B0F7A">
      <w:pPr>
        <w:pStyle w:val="NormalHanging12a"/>
        <w:widowControl/>
        <w:rPr>
          <w:szCs w:val="24"/>
        </w:rPr>
      </w:pPr>
      <w:r w:rsidRPr="00C46C26">
        <w:rPr>
          <w:snapToGrid w:val="0"/>
        </w:rPr>
        <w:t>10.</w:t>
      </w:r>
      <w:r w:rsidRPr="00C46C26">
        <w:rPr>
          <w:snapToGrid w:val="0"/>
        </w:rPr>
        <w:tab/>
      </w:r>
      <w:r w:rsidRPr="00C46C26">
        <w:t>felhívja a szlovák hatóságokat, hogy teljes körűen hajtsák végre a Bizottság, a GRECO és a Velencei Bizottság igazságszolgáltatásra és korrupció elleni küzdelemre vonatkozó ajánlásait, különösen a joggal való visszaélés bűncselekményének hatályon kívül helyezése és a Bírói Tanács függetlenségének és pártatlanságának jogi és gyakorlati biztosítása, a szakosodott korrupcióellenes szervek működése, az anyagi és eljárási büntetőjog, valamint az ügyészek függetlensége tekintetében;</w:t>
      </w:r>
    </w:p>
    <w:p w14:paraId="3E9C1D1F" w14:textId="77777777" w:rsidR="0032157C" w:rsidRPr="00C46C26" w:rsidRDefault="0032157C" w:rsidP="007B0F7A">
      <w:pPr>
        <w:pStyle w:val="NormalHanging12a"/>
        <w:widowControl/>
        <w:rPr>
          <w:szCs w:val="24"/>
        </w:rPr>
      </w:pPr>
      <w:r w:rsidRPr="00C46C26">
        <w:rPr>
          <w:snapToGrid w:val="0"/>
        </w:rPr>
        <w:t>11.</w:t>
      </w:r>
      <w:r w:rsidRPr="00C46C26">
        <w:rPr>
          <w:snapToGrid w:val="0"/>
        </w:rPr>
        <w:tab/>
      </w:r>
      <w:r w:rsidRPr="00C46C26">
        <w:t xml:space="preserve">határozottan elítéli a Különleges Ügyészség bezárását, tekintettel annak a korrupció kivizsgálására és üldözésére gyakorolt nyilvánvaló hatására, amelyet az Európai Ügyészség tevékenységei nem ellensúlyozhatnak, különösen annak fényében, hogy a </w:t>
      </w:r>
      <w:r w:rsidRPr="00C46C26">
        <w:lastRenderedPageBreak/>
        <w:t>jelentések szerint a csalárd tevékenységeket oly módon „szabdalják fel”, hogy a feltételezett ügyérték az Európai Ügyészség részvételéhez szükséges küszöb alatt maradjon; hangsúlyozza, hogy sürgősen újra kell értékelni a közelmúltbeli változásokat; felhívja a szlovák hatóságokat, hogy biztosítsák a teljes körű, időben történő és proaktív együttműködést az Európai Ügyészséggel és az OLAF-fal;</w:t>
      </w:r>
    </w:p>
    <w:p w14:paraId="0615F320" w14:textId="77777777" w:rsidR="0032157C" w:rsidRPr="00C46C26" w:rsidRDefault="0032157C" w:rsidP="007B0F7A">
      <w:pPr>
        <w:pStyle w:val="NormalHanging12a"/>
        <w:widowControl/>
        <w:rPr>
          <w:szCs w:val="24"/>
        </w:rPr>
      </w:pPr>
      <w:r w:rsidRPr="00C46C26">
        <w:rPr>
          <w:snapToGrid w:val="0"/>
        </w:rPr>
        <w:t>12.</w:t>
      </w:r>
      <w:r w:rsidRPr="00C46C26">
        <w:rPr>
          <w:snapToGrid w:val="0"/>
        </w:rPr>
        <w:tab/>
      </w:r>
      <w:r w:rsidRPr="00C46C26">
        <w:t>ismételten aggodalmát fejezi ki a szlovák Agrárkifizető Ügynökség működésével és a közös agrárpolitika finanszírozásának kezelésével, többek között a Szlovák Köztársaság Legfőbb Ellenőrző Hivatala által megerősített strukturális hiányosságokkal, a nem megfelelő ellenőrzési mechanizmusokkal, az elégtelen korrekciós intézkedésekkel, valamint a kifizetések gyenge ellenőrzés melletti növelésével kapcsolatban; úgy véli, hogy ezek a hiányosságok megerősítik, hogy a szlovákiai mezőgazdasági kiadásokat szabályozó irányítási és kontrollrendszerben súlyos és rendszerszintű gyengeségek tapasztalhatók;</w:t>
      </w:r>
    </w:p>
    <w:p w14:paraId="131CC355" w14:textId="77777777" w:rsidR="0032157C" w:rsidRPr="00C46C26" w:rsidRDefault="0032157C" w:rsidP="007B0F7A">
      <w:pPr>
        <w:pStyle w:val="NormalHanging12a"/>
        <w:widowControl/>
        <w:rPr>
          <w:szCs w:val="24"/>
        </w:rPr>
      </w:pPr>
      <w:r w:rsidRPr="00C46C26">
        <w:rPr>
          <w:snapToGrid w:val="0"/>
        </w:rPr>
        <w:t>13.</w:t>
      </w:r>
      <w:r w:rsidRPr="00C46C26">
        <w:rPr>
          <w:snapToGrid w:val="0"/>
        </w:rPr>
        <w:tab/>
      </w:r>
      <w:r w:rsidRPr="00C46C26">
        <w:t>aggodalmát fejezi ki az uniós finanszírozású szlovákiai vidékfejlesztési és idegenforgalmi projektek végrehajtásával összefüggésben történt állítólagos visszaélések és szabálytalanságok miatt, többek között olyan uniós finanszírozású vendégházi projektekkel kapcsolatban, amelyek esetében a mezőgazdasági és vidékfejlesztési forrásokkal való állítólagos visszaéléseket uniós hozzáadott értékkel korlátozottan vagy nem egyértelműen rendelkező luxusingatlanok építése vagy felújítása céljából követték el; hangsúlyozza, hogy az ilyen gyakorlatok – amennyiben megerősítést nyernek – súlyosan sértenék a hatékony és eredményes pénzgazdálkodás, az átláthatóság és az egyenlő bánásmód elvét, és aláásnák az uniós költségvetésbe vetett közbizalmat;</w:t>
      </w:r>
    </w:p>
    <w:p w14:paraId="517E49E7" w14:textId="77777777" w:rsidR="0032157C" w:rsidRPr="00C46C26" w:rsidRDefault="0032157C" w:rsidP="007B0F7A">
      <w:pPr>
        <w:pStyle w:val="NormalHanging12a"/>
        <w:widowControl/>
        <w:rPr>
          <w:szCs w:val="24"/>
        </w:rPr>
      </w:pPr>
      <w:r w:rsidRPr="00C46C26">
        <w:rPr>
          <w:snapToGrid w:val="0"/>
        </w:rPr>
        <w:t>14.</w:t>
      </w:r>
      <w:r w:rsidRPr="00C46C26">
        <w:rPr>
          <w:snapToGrid w:val="0"/>
        </w:rPr>
        <w:tab/>
      </w:r>
      <w:r w:rsidRPr="00C46C26">
        <w:t>emlékeztet a tagállamok azon kötelezettségére, hogy biztosítsák az uniós források hatékony, átlátható és elszámoltatható kezelését; felhívja a szlovák hatóságokat, hogy a Bizottsággal teljes együttműködésben hozzanak azonnali és hatékony korrekciós intézkedéseket, többek között erősítsék meg a belső ellenőrzési rendszereket, biztosítsák az összeférhetetlenségek megfelelő felderítését és kezelését, valamint javítsák a szabálytalan kifizetések visszafizettetését annak érdekében, hogy konkrét előnyöket biztosítsanak a polgárok számára;</w:t>
      </w:r>
    </w:p>
    <w:p w14:paraId="74E5FB55" w14:textId="77777777" w:rsidR="0032157C" w:rsidRPr="00C46C26" w:rsidRDefault="0032157C" w:rsidP="007B0F7A">
      <w:pPr>
        <w:pStyle w:val="NormalHanging12a"/>
        <w:widowControl/>
        <w:rPr>
          <w:szCs w:val="24"/>
        </w:rPr>
      </w:pPr>
      <w:r w:rsidRPr="00C46C26">
        <w:rPr>
          <w:snapToGrid w:val="0"/>
        </w:rPr>
        <w:t>15.</w:t>
      </w:r>
      <w:r w:rsidRPr="00C46C26">
        <w:rPr>
          <w:snapToGrid w:val="0"/>
        </w:rPr>
        <w:tab/>
      </w:r>
      <w:r w:rsidRPr="00C46C26">
        <w:t xml:space="preserve">mély aggodalmát fejezi ki a tömegtájékoztatás szabadságának és sokszínűségének szlovákiai romló helyzete miatt, beleértve a közszolgálati médiába való politikai beavatkozást, az ellenséges légkör révén az újságírókra gyakorolt nyomást, a lejárató kampányokat és a dezinformációt, a közéleti részvételt akadályozó stratégiai perek – többek között magas rangú politikai szereplők általi – alkalmazását, valamint a médiatulajdon politikai szempontból összehangolt kezekben való koncentrációjának kockázatát, amely a kulturális intézmények kulcsfontosságú vezetőinek elbocsátásával párosul, ami visszatartó hatást gyakorolhat a sajtószabadságra és a nyilvános diskurzusra; hangsúlyozza, hogy a meggyengült médiakörnyezet jelentősen csökkenti az uniós források végrehajtása feletti demokratikus ellenőrzést és megkönnyíti a korrupciót; felhívja a szlovák hatóságokat, hogy teljes mértékben hajtsák végre a Bizottság médiával kapcsolatos ajánlásait, különös tekintettel a közszolgálati médiára vonatkozó jogi keretre, összhangban a tömegtájékoztatás szabadságáról szóló európai rendelettel, valamint biztosítva a szerkesztői függetlenséget és az újságírók védelmét; felszólítja Szlovákiát, hogy teljes mértékben és ténylegesen tegyen eleget a tömegtájékoztatás szabadságáról szóló európai rendeletnek, és sürgeti a Bizottságot, hogy szorosan és proaktívan kövesse nyomon annak végrehajtását; emlékeztet arra, </w:t>
      </w:r>
      <w:r w:rsidRPr="00C46C26">
        <w:lastRenderedPageBreak/>
        <w:t>hogy a szlovák hatóságoknak a kulturális intézmények működése és finanszírozása során tiszteletben kell tartaniuk a véleménynyilvánítás és a művészet szabadságát, és tartózkodniuk kell a jogi eljárások nyilvános vitát korlátozó, visszaélésésszerű alkalmazásától; tisztelettel adózik Ján Kuciak előtt meggyilkolását követően, valamint az oknyomozó újságíróként végzett alapvető fontosságú munkájára tekintettel; felhívja a szlovák hatóságokat, hogy biztosítsák az igazságtételt ebben az ügyben;</w:t>
      </w:r>
    </w:p>
    <w:p w14:paraId="35E7D29B" w14:textId="77777777" w:rsidR="0032157C" w:rsidRPr="00C46C26" w:rsidRDefault="0032157C" w:rsidP="007B0F7A">
      <w:pPr>
        <w:pStyle w:val="NormalHanging12a"/>
        <w:widowControl/>
        <w:rPr>
          <w:spacing w:val="-2"/>
        </w:rPr>
      </w:pPr>
      <w:r w:rsidRPr="00C46C26">
        <w:rPr>
          <w:snapToGrid w:val="0"/>
        </w:rPr>
        <w:t>16.</w:t>
      </w:r>
      <w:r w:rsidRPr="00C46C26">
        <w:rPr>
          <w:snapToGrid w:val="0"/>
        </w:rPr>
        <w:tab/>
      </w:r>
      <w:r w:rsidRPr="00C46C26">
        <w:t>sajnálatát fejezi ki amiatt, hogy jelentős reformok végrehajtására ismételten és indokolatlanul gyorsított jogalkotási eljárásokat alkalmaznak; hangsúlyozza, hogy az ilyen eljárások nem válhatnak általánossá, és azok szigorúan csak kellően indokolt körülmények között igazolhatók, mivel aláássák a nyilvánosság általi ellenőrzést, az átláthatóságot és az inkluzív jogalkotást, továbbá korlátozzák az érdemi konzultációt és a parlamenti vitát; felhívja a szlovák hatóságokat, hogy teljes mértékben hajtsák végre a Bizottság és a GRECO fékekre és ellensúlyokra vonatkozó ajánlásait, különösen a hatékony nyilvános konzultáció és az érdekelt felek jogalkotási folyamatba való bevonása tekintetében, többek között a gyorsított eljárás gyakori alkalmazásának visszaszorítása révén; ismételten aggodalmát fejezi ki az újságírók és a civil társadalmi szervezetek információkhoz való hozzáférésével kapcsolatban, többek között a Legfőbb Ellenőrző Hivatal és a Kormányhivatal Ellenőrzési Szekciójának jelentéseihez való hozzáférés tekintetében is;</w:t>
      </w:r>
    </w:p>
    <w:p w14:paraId="19875F59" w14:textId="77777777" w:rsidR="0032157C" w:rsidRPr="00C46C26" w:rsidRDefault="0032157C" w:rsidP="007B0F7A">
      <w:pPr>
        <w:pStyle w:val="NormalHanging12a"/>
        <w:widowControl/>
        <w:rPr>
          <w:szCs w:val="24"/>
        </w:rPr>
      </w:pPr>
      <w:r w:rsidRPr="00C46C26">
        <w:rPr>
          <w:snapToGrid w:val="0"/>
        </w:rPr>
        <w:t>17.</w:t>
      </w:r>
      <w:r w:rsidRPr="00C46C26">
        <w:rPr>
          <w:snapToGrid w:val="0"/>
        </w:rPr>
        <w:tab/>
      </w:r>
      <w:r w:rsidRPr="00C46C26">
        <w:t>határozottan elítéli a civil társadalmi szervezetekre, a felügyeleti szervekre és az igazságügyi szakemberekre nehezedő növekvő nyomást, beleértve az adminisztratív terheket és a munkájuk legitimitásának megkérdőjelezésére irányuló kísérleteket; úgy véli, hogy ezek az intézkedések aláássák az elszámoltathatóságot és az alapvető jogok hatékony védelmét; felhívja a szlovák hatóságokat, hogy vessenek véget a civil társadalmi szervezetek megbélyegzésének és üldözésének, és biztosítsák, hogy a civil társadalmat érintő jogszabályok – többek között a finanszírozásra és a jelentéstételre vonatkozó jogszabályok – teljes mértékben tiszteletben tartsák az uniós jogot és a nemzetközi emberi jogi normákat, különös tekintettel a magánélethez való jogra, a véleménynyilvánítás szabadságára, a gyülekezés szabadságára és az egyesülés szabadságára;</w:t>
      </w:r>
    </w:p>
    <w:p w14:paraId="7961A767" w14:textId="77777777" w:rsidR="0032157C" w:rsidRPr="00C46C26" w:rsidRDefault="0032157C" w:rsidP="007B0F7A">
      <w:pPr>
        <w:pStyle w:val="NormalHanging12a"/>
        <w:widowControl/>
        <w:rPr>
          <w:szCs w:val="24"/>
        </w:rPr>
      </w:pPr>
      <w:r w:rsidRPr="00C46C26">
        <w:rPr>
          <w:snapToGrid w:val="0"/>
        </w:rPr>
        <w:t>18.</w:t>
      </w:r>
      <w:r w:rsidRPr="00C46C26">
        <w:rPr>
          <w:snapToGrid w:val="0"/>
        </w:rPr>
        <w:tab/>
      </w:r>
      <w:r w:rsidRPr="00C46C26">
        <w:t>felhívja a szlovák hatóságokat annak biztosítására, hogy a választási jogszabályok – többek között a levélszavazásról szóló jogszabályok – és az ilyen jogszabályok megsértésével kapcsolatos büntetőjogi szankciók teljes mértékben tartsák tiszteletben az uniós jogot és a nemzetközi emberi jogi normákat, különös tekintettel az aktív és a passzív választójogra, a véleménynyilvánítás szabadságára és az egyesülés szabadságára; emlékeztet arra, hogy a levélszavazásra vonatkozó korlátozásoknak kellően indokoltnak és arányosnak kell lenniük, különösen, ha nem állnak fenn igazoltan az ilyen szavazás integritását érintően rendszerszintű hiányosságok, és hangsúlyozza, hogy biztosítani kell a külföldön élő szlovák állampolgárok számára a választási részvételhez való egyenlő hozzáférést;</w:t>
      </w:r>
    </w:p>
    <w:p w14:paraId="326024F6" w14:textId="77777777" w:rsidR="0032157C" w:rsidRPr="00C46C26" w:rsidRDefault="0032157C" w:rsidP="007B0F7A">
      <w:pPr>
        <w:pStyle w:val="NormalHanging12a"/>
        <w:widowControl/>
        <w:rPr>
          <w:spacing w:val="-2"/>
        </w:rPr>
      </w:pPr>
      <w:r w:rsidRPr="00C46C26">
        <w:rPr>
          <w:snapToGrid w:val="0"/>
        </w:rPr>
        <w:t>19.</w:t>
      </w:r>
      <w:r w:rsidRPr="00C46C26">
        <w:rPr>
          <w:snapToGrid w:val="0"/>
        </w:rPr>
        <w:tab/>
      </w:r>
      <w:r w:rsidRPr="00C46C26">
        <w:t>felhívja a szlovák hatóságokat, hogy az uniós joggal és a nemzetközi emberi jogi normákkal összhangban biztosítsák a jogszabályokban és a gyakorlatban a nők elleni erőszak és a kapcsolati erőszak hatékony megelőzését és leküzdését; ismételten hangsúlyozza az Európa Tanácsnak a nőkkel szembeni erőszak és a kapcsolati erőszak elleni küzdelemről és azok megelőzéséről szóló egyezménye haladéktalan ratifikálásának, valamint annak fontosságát, hogy a szexuális kényszerítés fogalmának jogi meghatározását összhangba hozzák a nemzetközi emberi jogi normákkal</w:t>
      </w:r>
      <w:bookmarkStart w:id="7" w:name="_Hlk228978064"/>
      <w:r w:rsidRPr="00C46C26">
        <w:t>;</w:t>
      </w:r>
    </w:p>
    <w:p w14:paraId="2D76C5AA" w14:textId="512D7081" w:rsidR="0032157C" w:rsidRPr="00C46C26" w:rsidRDefault="0032157C" w:rsidP="007B0F7A">
      <w:pPr>
        <w:pStyle w:val="NormalHanging12a"/>
        <w:widowControl/>
        <w:rPr>
          <w:spacing w:val="-2"/>
        </w:rPr>
      </w:pPr>
      <w:r w:rsidRPr="00C46C26">
        <w:rPr>
          <w:snapToGrid w:val="0"/>
        </w:rPr>
        <w:lastRenderedPageBreak/>
        <w:t>20.</w:t>
      </w:r>
      <w:r w:rsidRPr="00C46C26">
        <w:rPr>
          <w:snapToGrid w:val="0"/>
        </w:rPr>
        <w:tab/>
      </w:r>
      <w:r w:rsidRPr="00C46C26">
        <w:t>felhívja a szlovák hatóságokat, hogy tekintettel arra, hogy számos szlovákiai jogalkotási kezdeményezés – különösen 2023 óta – visszaesést idézett elő, biztosítsák a szexuális és reproduktív egészséghez és jogokhoz való hatékony, időben történő és megkülönböztetésmentes hozzáférés biztosítására vonatkozó kötelezettségeik teljes körű betartását</w:t>
      </w:r>
      <w:r w:rsidR="00C46C26" w:rsidRPr="00C46C26">
        <w:t>, beleértve a biztonságos és legális abortuszhoz való hozzáférést is</w:t>
      </w:r>
      <w:r w:rsidRPr="00C46C26">
        <w:t>; emlékeztet arra, hogy ezek a kötelezettségek a nemzetközi emberi jogi normákból erednek, és szerves részét képezik az alapvető jogok, többek között a magán- és családi élethez, az egészséghez és a megkülönböztetésmentességhez való jog védelmének;</w:t>
      </w:r>
      <w:bookmarkEnd w:id="7"/>
    </w:p>
    <w:p w14:paraId="4089CB7F" w14:textId="77777777" w:rsidR="0032157C" w:rsidRPr="00C46C26" w:rsidRDefault="0032157C" w:rsidP="007B0F7A">
      <w:pPr>
        <w:pStyle w:val="NormalHanging12a"/>
        <w:widowControl/>
        <w:rPr>
          <w:spacing w:val="-2"/>
        </w:rPr>
      </w:pPr>
      <w:r w:rsidRPr="00C46C26">
        <w:rPr>
          <w:snapToGrid w:val="0"/>
        </w:rPr>
        <w:t>21.</w:t>
      </w:r>
      <w:r w:rsidRPr="00C46C26">
        <w:rPr>
          <w:snapToGrid w:val="0"/>
        </w:rPr>
        <w:tab/>
      </w:r>
      <w:r w:rsidRPr="00C46C26">
        <w:t>felhívja a szlovák hatóságokat, hogy az uniós joggal és a nemzetközi emberi jogi normákkal összhangban biztosítsák az LMBTIQ+-személyek jogainak hatékony védelmét a jogszabályokban és a gyakorlatban;</w:t>
      </w:r>
    </w:p>
    <w:p w14:paraId="01509E95" w14:textId="77777777" w:rsidR="0032157C" w:rsidRPr="00C46C26" w:rsidRDefault="0032157C" w:rsidP="007B0F7A">
      <w:pPr>
        <w:pStyle w:val="NormalHanging12a"/>
        <w:widowControl/>
        <w:rPr>
          <w:spacing w:val="-2"/>
        </w:rPr>
      </w:pPr>
      <w:r w:rsidRPr="00C46C26">
        <w:rPr>
          <w:snapToGrid w:val="0"/>
        </w:rPr>
        <w:t>22.</w:t>
      </w:r>
      <w:r w:rsidRPr="00C46C26">
        <w:rPr>
          <w:snapToGrid w:val="0"/>
        </w:rPr>
        <w:tab/>
      </w:r>
      <w:r w:rsidRPr="00C46C26">
        <w:t>felhívja a szlovák hatóságokat, hogy az uniós joggal és a nemzetközi emberi jogi normákkal összhangban biztosítsák a romák jogainak hatékony jogszabályi és gyakorlati védelmét, különös tekintettel az oktatásban tapasztalható szegregáció megszüntetésére, az egészségügyi ellátáshoz való hozzáférésre és a rendfenntartásra; ismételten aggodalmának ad hangot a szlovákiai roma közösségeknek szánt uniós források végrehajtásával kapcsolatban;</w:t>
      </w:r>
    </w:p>
    <w:p w14:paraId="0CE06CA2" w14:textId="77777777" w:rsidR="0032157C" w:rsidRDefault="0032157C" w:rsidP="007B0F7A">
      <w:pPr>
        <w:pStyle w:val="NormalHanging12a"/>
        <w:widowControl/>
      </w:pPr>
      <w:r w:rsidRPr="00C46C26">
        <w:rPr>
          <w:snapToGrid w:val="0"/>
        </w:rPr>
        <w:t>23.</w:t>
      </w:r>
      <w:r w:rsidRPr="00C46C26">
        <w:rPr>
          <w:snapToGrid w:val="0"/>
        </w:rPr>
        <w:tab/>
      </w:r>
      <w:r w:rsidRPr="00C46C26">
        <w:t>különös aggodalmát fejezi ki a szlovákiai kisebbségek jogai miatt, tekintettel a megkülönböztetés, megbélyegzés vagy kirekesztés kockázatához vezető politikai diskurzusra, jogalkotási kezdeményezésekre és közigazgatási gyakorlatokra, valamint a különböző etnikai származású uniós polgárok kollektív bűnössége alapján történő visszamenőleges hatályú vagyonelkobzás miatt; úgy véli, hogy a történelmi sérelmeket a bűncselekménnyé nyilvánítás helyett párbeszéd útján kell kezelni; hangsúlyozza, hogy a kisebbségi jogok védelme a jogállamiság és a demokratikus kormányzás alapvető eleme; felhívja a szlovák hatóságokat, hogy az uniós joggal és a nemzetközi emberi jogi normákkal összhangban biztosítsák a kisebbségekhez tartozó személyek jogainak hatékony jogszabályi és gyakorlati védelmét, különös tekintettel a véleménynyilvánítás szabadságára és a tulajdonhoz való jogra;</w:t>
      </w:r>
    </w:p>
    <w:p w14:paraId="13E70F67" w14:textId="3BAEFA88" w:rsidR="00C46C26" w:rsidRPr="00C46C26" w:rsidRDefault="00C46C26" w:rsidP="007B0F7A">
      <w:pPr>
        <w:pStyle w:val="NormalHanging12a"/>
        <w:widowControl/>
        <w:rPr>
          <w:spacing w:val="-2"/>
        </w:rPr>
      </w:pPr>
      <w:r>
        <w:rPr>
          <w:spacing w:val="-2"/>
        </w:rPr>
        <w:t>24</w:t>
      </w:r>
      <w:r w:rsidRPr="00C46C26">
        <w:rPr>
          <w:spacing w:val="-2"/>
        </w:rPr>
        <w:t>.</w:t>
      </w:r>
      <w:r w:rsidRPr="00C46C26">
        <w:rPr>
          <w:spacing w:val="-2"/>
        </w:rPr>
        <w:tab/>
        <w:t>súlyos aggodalmának ad hangot a szlovák földalapot és a Szlovák Köztársaság erdészeti állami vállalatát érintő közigazgatási és bírósági gyakorlatok miatt, amelyek a háború utáni rendeletek alapján kompenzáció nélküli föld- és erdőelkobzásokat eredményeztek; felhívja a szlovák hatóságokat, hogy helyezzék hatályon kívül a büntető törvénykönyv módosítását, függesszék fel az összes jogi eljárást, és vessenek véget a zajló földelkobzásoknak;</w:t>
      </w:r>
    </w:p>
    <w:p w14:paraId="18B446AA" w14:textId="42CE03F4" w:rsidR="0032157C" w:rsidRPr="00C46C26" w:rsidRDefault="00C46C26" w:rsidP="007B0F7A">
      <w:pPr>
        <w:pStyle w:val="NormalHanging12a"/>
        <w:widowControl/>
        <w:rPr>
          <w:spacing w:val="-2"/>
        </w:rPr>
      </w:pPr>
      <w:r>
        <w:rPr>
          <w:snapToGrid w:val="0"/>
        </w:rPr>
        <w:t>25</w:t>
      </w:r>
      <w:r w:rsidR="0032157C" w:rsidRPr="00C46C26">
        <w:rPr>
          <w:snapToGrid w:val="0"/>
        </w:rPr>
        <w:t>.</w:t>
      </w:r>
      <w:r w:rsidR="0032157C" w:rsidRPr="00C46C26">
        <w:rPr>
          <w:snapToGrid w:val="0"/>
        </w:rPr>
        <w:tab/>
      </w:r>
      <w:r w:rsidR="0032157C" w:rsidRPr="00C46C26">
        <w:t>felhívja a szlovák hatóságokat, hogy vizsgálják ki a rendőrség általi rossz bánásmóddal kapcsolatos panaszok kezelése terén továbbra is fennálló rendszerszintű hiányosságokat, többek között a rossz bánásmódra vonatkozó, hitelt érdemlő állítások pártatlan és hatékony kivizsgálásának hiányát; felszólít a bűnüldöző hatóságok általi rossz bánásmód elleni biztosítékoknak, többek között az intézményi függetlenség garanciáinak, a hatékony felügyeleti mechanizmusoknak és a megfelelő eljárási biztosítékoknak a megerősítésére az elszámoltathatóság és a bűnüldöző intézményekbe vetett közbizalom biztosítása érdekében;</w:t>
      </w:r>
    </w:p>
    <w:p w14:paraId="5707B57F" w14:textId="747A8B98" w:rsidR="00EE4030" w:rsidRPr="00EE4030" w:rsidRDefault="00C46C26" w:rsidP="007B0F7A">
      <w:pPr>
        <w:pStyle w:val="NormalHanging12a"/>
        <w:widowControl/>
      </w:pPr>
      <w:r>
        <w:rPr>
          <w:snapToGrid w:val="0"/>
        </w:rPr>
        <w:t>26</w:t>
      </w:r>
      <w:r w:rsidR="0032157C" w:rsidRPr="00C46C26">
        <w:rPr>
          <w:snapToGrid w:val="0"/>
        </w:rPr>
        <w:t>.</w:t>
      </w:r>
      <w:r w:rsidR="0032157C" w:rsidRPr="00C46C26">
        <w:rPr>
          <w:snapToGrid w:val="0"/>
        </w:rPr>
        <w:tab/>
      </w:r>
      <w:r w:rsidR="0032157C" w:rsidRPr="00C46C26">
        <w:t>utasítja elnökét, hogy továbbítsa ezt az állásfoglalást a Tanácsnak, a Bizottságnak, a tagállamok kormányainak és parlamentjeinek, az Európa Tanácsnak, az Európai Biztonsági és Együttműködési Szervezetnek és az Egyesült Nemzetek Szervezetének.</w:t>
      </w:r>
    </w:p>
    <w:sectPr w:rsidR="00EE4030" w:rsidRPr="00EE4030" w:rsidSect="00EE40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7274" w14:textId="77777777" w:rsidR="00B277F0" w:rsidRPr="00EE4030" w:rsidRDefault="00B277F0">
      <w:r w:rsidRPr="00EE4030">
        <w:separator/>
      </w:r>
    </w:p>
  </w:endnote>
  <w:endnote w:type="continuationSeparator" w:id="0">
    <w:p w14:paraId="6922DE4D" w14:textId="77777777" w:rsidR="00B277F0" w:rsidRPr="00EE4030" w:rsidRDefault="00B277F0">
      <w:r w:rsidRPr="00EE4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D35F" w14:textId="77777777" w:rsidR="00064002" w:rsidRPr="00EE40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2C30" w14:textId="77777777" w:rsidR="00064002" w:rsidRPr="00EE40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FF7B" w14:textId="77777777" w:rsidR="00064002" w:rsidRPr="00EE40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EAFAE" w14:textId="77777777" w:rsidR="00B277F0" w:rsidRPr="00EE4030" w:rsidRDefault="00B277F0">
      <w:r w:rsidRPr="00EE4030">
        <w:separator/>
      </w:r>
    </w:p>
  </w:footnote>
  <w:footnote w:type="continuationSeparator" w:id="0">
    <w:p w14:paraId="385A3B15" w14:textId="77777777" w:rsidR="00B277F0" w:rsidRPr="00EE4030" w:rsidRDefault="00B277F0">
      <w:r w:rsidRPr="00EE4030">
        <w:continuationSeparator/>
      </w:r>
    </w:p>
  </w:footnote>
  <w:footnote w:id="1">
    <w:p w14:paraId="010B62C8" w14:textId="652F17D0"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HL L 305., 2019.11.26., 17. o., ELI: </w:t>
      </w:r>
      <w:hyperlink r:id="rId1" w:tooltip="Az ELI (európai jogszabály-azonosító) URI-hivatkozása révén biztosít hozzáférést a dokumentumhoz." w:history="1">
        <w:r w:rsidRPr="00EE4030">
          <w:rPr>
            <w:rStyle w:val="Hyperlink"/>
            <w:sz w:val="24"/>
            <w:lang w:val="hu-HU"/>
          </w:rPr>
          <w:t>http://data.europa.eu/eli/dir/2019/1937/oj</w:t>
        </w:r>
      </w:hyperlink>
      <w:r w:rsidRPr="00EE4030">
        <w:rPr>
          <w:sz w:val="24"/>
          <w:lang w:val="hu-HU"/>
        </w:rPr>
        <w:t>.</w:t>
      </w:r>
    </w:p>
  </w:footnote>
  <w:footnote w:id="2">
    <w:p w14:paraId="2CD94276" w14:textId="6694A9FF"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HL L 433. I, 2020.12.22., 1. o., ELI: </w:t>
      </w:r>
      <w:hyperlink r:id="rId2" w:tooltip="Az ELI (európai jogszabály-azonosító) URI-hivatkozása révén biztosít hozzáférést a dokumentumhoz." w:history="1">
        <w:r w:rsidRPr="00EE4030">
          <w:rPr>
            <w:rStyle w:val="Hyperlink"/>
            <w:sz w:val="24"/>
            <w:lang w:val="hu-HU"/>
          </w:rPr>
          <w:t>http://data.europa.eu/eli/reg/2020/2092/oj</w:t>
        </w:r>
      </w:hyperlink>
      <w:r w:rsidRPr="00EE4030">
        <w:rPr>
          <w:sz w:val="24"/>
          <w:lang w:val="hu-HU"/>
        </w:rPr>
        <w:t>.</w:t>
      </w:r>
    </w:p>
  </w:footnote>
  <w:footnote w:id="3">
    <w:p w14:paraId="25D77E5D" w14:textId="74D70BFD"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HL L 231., 2021.6.30., 159. o., ELI: </w:t>
      </w:r>
      <w:hyperlink r:id="rId3" w:tooltip="Az ELI (európai jogszabály-azonosító) URI-hivatkozása révén biztosít hozzáférést a dokumentumhoz." w:history="1">
        <w:r w:rsidRPr="00EE4030">
          <w:rPr>
            <w:rStyle w:val="Hyperlink"/>
            <w:sz w:val="24"/>
            <w:lang w:val="hu-HU"/>
          </w:rPr>
          <w:t>http://data.europa.eu/eli/reg/2021/1060/oj</w:t>
        </w:r>
      </w:hyperlink>
      <w:r w:rsidRPr="00EE4030">
        <w:rPr>
          <w:sz w:val="24"/>
          <w:lang w:val="hu-HU"/>
        </w:rPr>
        <w:t>.</w:t>
      </w:r>
    </w:p>
  </w:footnote>
  <w:footnote w:id="4">
    <w:p w14:paraId="57177E6D" w14:textId="3D90EE52"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 xml:space="preserve">HL C 390., 2019.11.18., 111. o., </w:t>
      </w:r>
    </w:p>
  </w:footnote>
  <w:footnote w:id="5">
    <w:p w14:paraId="3B5A0C7A" w14:textId="16B48A44"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HL C 108., 2021.3.26., 107. o.</w:t>
      </w:r>
    </w:p>
  </w:footnote>
  <w:footnote w:id="6">
    <w:p w14:paraId="089D83A2" w14:textId="6F263E9E"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HL C 149., 2023.4.28., 22. o.</w:t>
      </w:r>
    </w:p>
  </w:footnote>
  <w:footnote w:id="7">
    <w:p w14:paraId="1DCF9321" w14:textId="29C3C5C8"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HL C, C/2024/5712, 2024.10.17., ELI: </w:t>
      </w:r>
      <w:hyperlink r:id="rId4" w:tgtFrame="_blank" w:tooltip="Az ELI (európai jogszabály-azonosító) URI-hivatkozása révén biztosít hozzáférést a dokumentumhoz." w:history="1">
        <w:r w:rsidRPr="00EE4030">
          <w:rPr>
            <w:rStyle w:val="Hyperlink"/>
            <w:sz w:val="24"/>
            <w:lang w:val="hu-HU"/>
          </w:rPr>
          <w:t>http://data.europa.eu/eli/C/2024/5712/oj</w:t>
        </w:r>
      </w:hyperlink>
      <w:r w:rsidRPr="00EE4030">
        <w:rPr>
          <w:sz w:val="24"/>
          <w:lang w:val="hu-HU"/>
        </w:rPr>
        <w:t>.</w:t>
      </w:r>
    </w:p>
  </w:footnote>
  <w:footnote w:id="8">
    <w:p w14:paraId="3F4C1216" w14:textId="230F302A"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Elfogadott szövegek, P10_TA(2026)0125.</w:t>
      </w:r>
    </w:p>
  </w:footnote>
  <w:footnote w:id="9">
    <w:p w14:paraId="645E9933" w14:textId="52B7F618"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w:t>
      </w:r>
      <w:hyperlink r:id="rId5" w:tgtFrame="_blank" w:tooltip="Az ELI (európai jogszabály-azonosító) URI-hivatkozása révén biztosít hozzáférést a dokumentumhoz." w:history="1">
        <w:r w:rsidRPr="00EE4030">
          <w:rPr>
            <w:rStyle w:val="Hyperlink"/>
            <w:sz w:val="24"/>
            <w:lang w:val="hu-HU"/>
          </w:rPr>
          <w:t>http://data.europa.eu/eli/reg/2024/1083/oj</w:t>
        </w:r>
      </w:hyperlink>
      <w:r w:rsidRPr="00EE4030">
        <w:rPr>
          <w:sz w:val="24"/>
          <w:lang w:val="hu-HU"/>
        </w:rPr>
        <w:t>).</w:t>
      </w:r>
    </w:p>
  </w:footnote>
  <w:footnote w:id="10">
    <w:p w14:paraId="1C28371C" w14:textId="2F15A41D"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Európai Szövetség a Szabadságjogokért (Liberties), 2025. évi jogállamisági jelentés: Szlovákia; Európai Bizottság, 2025. évi jogállamisági jelentés – A Szlovákiáról szóló országfejezet; a Szlovák Köztársaság Állampolgári Jogok Biztosának Hivatala (ombudsman) tájékoztatója, 2025.</w:t>
      </w:r>
    </w:p>
  </w:footnote>
  <w:footnote w:id="11">
    <w:p w14:paraId="4DD6F122" w14:textId="4890C84F" w:rsidR="0032157C" w:rsidRPr="007B0F7A"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 xml:space="preserve">Az Emberi Jogok Európai Bírósága </w:t>
      </w:r>
      <w:r w:rsidRPr="007B0F7A">
        <w:rPr>
          <w:sz w:val="24"/>
          <w:lang w:val="hu-HU"/>
        </w:rPr>
        <w:t xml:space="preserve">által a </w:t>
      </w:r>
      <w:r w:rsidRPr="00C46C26">
        <w:rPr>
          <w:sz w:val="24"/>
          <w:lang w:val="hu-HU"/>
        </w:rPr>
        <w:t>Plechlo kontra Szlovákia</w:t>
      </w:r>
      <w:r w:rsidRPr="007B0F7A">
        <w:rPr>
          <w:sz w:val="24"/>
          <w:lang w:val="hu-HU"/>
        </w:rPr>
        <w:t xml:space="preserve"> ügyben 2023. október 26-án hozott ítélet (18593/19) és a </w:t>
      </w:r>
      <w:r w:rsidRPr="00C46C26">
        <w:rPr>
          <w:sz w:val="24"/>
          <w:lang w:val="hu-HU"/>
        </w:rPr>
        <w:t>Varga Zoltán kontra Szlovákia</w:t>
      </w:r>
      <w:r w:rsidRPr="007B0F7A">
        <w:rPr>
          <w:sz w:val="24"/>
          <w:lang w:val="hu-HU"/>
        </w:rPr>
        <w:t xml:space="preserve"> ügyben 2021. július 20-án hozott ítélet (58361/12).</w:t>
      </w:r>
    </w:p>
  </w:footnote>
  <w:footnote w:id="12">
    <w:p w14:paraId="49ED7586" w14:textId="349F6002" w:rsidR="0032157C" w:rsidRPr="007B0F7A" w:rsidRDefault="0032157C" w:rsidP="00EE4030">
      <w:pPr>
        <w:pStyle w:val="FootnoteText"/>
        <w:ind w:left="567" w:hanging="567"/>
        <w:rPr>
          <w:sz w:val="24"/>
          <w:lang w:val="hu-HU"/>
        </w:rPr>
      </w:pPr>
      <w:r w:rsidRPr="007B0F7A">
        <w:rPr>
          <w:rStyle w:val="FootnoteReference"/>
          <w:sz w:val="24"/>
          <w:lang w:val="hu-HU"/>
        </w:rPr>
        <w:footnoteRef/>
      </w:r>
      <w:r w:rsidR="00EE4030" w:rsidRPr="007B0F7A">
        <w:rPr>
          <w:sz w:val="24"/>
          <w:lang w:val="hu-HU"/>
        </w:rPr>
        <w:t xml:space="preserve"> </w:t>
      </w:r>
      <w:r w:rsidR="00EE4030" w:rsidRPr="007B0F7A">
        <w:rPr>
          <w:sz w:val="24"/>
          <w:lang w:val="hu-HU"/>
        </w:rPr>
        <w:tab/>
      </w:r>
      <w:r w:rsidRPr="007B0F7A">
        <w:rPr>
          <w:sz w:val="24"/>
          <w:lang w:val="hu-HU"/>
        </w:rPr>
        <w:t xml:space="preserve">Az Emberi Jogok Európai Bírósága által a </w:t>
      </w:r>
      <w:r w:rsidRPr="00C46C26">
        <w:rPr>
          <w:sz w:val="24"/>
          <w:lang w:val="hu-HU"/>
        </w:rPr>
        <w:t>J.S. kontra Szlovákia</w:t>
      </w:r>
      <w:r w:rsidRPr="007B0F7A">
        <w:rPr>
          <w:sz w:val="24"/>
          <w:lang w:val="hu-HU"/>
        </w:rPr>
        <w:t xml:space="preserve"> ügyben 2026. január 22-én hozott ítélet (35767/23).</w:t>
      </w:r>
    </w:p>
  </w:footnote>
  <w:footnote w:id="13">
    <w:p w14:paraId="35C27D28" w14:textId="7EDD2B58" w:rsidR="0032157C" w:rsidRPr="00EE4030" w:rsidRDefault="0032157C" w:rsidP="00EE4030">
      <w:pPr>
        <w:pStyle w:val="FootnoteText"/>
        <w:ind w:left="567" w:hanging="567"/>
        <w:rPr>
          <w:i/>
          <w:iCs/>
          <w:sz w:val="24"/>
          <w:lang w:val="hu-HU"/>
        </w:rPr>
      </w:pPr>
      <w:r w:rsidRPr="007B0F7A">
        <w:rPr>
          <w:rStyle w:val="FootnoteReference"/>
          <w:sz w:val="24"/>
          <w:lang w:val="hu-HU"/>
        </w:rPr>
        <w:footnoteRef/>
      </w:r>
      <w:r w:rsidR="00EE4030" w:rsidRPr="007B0F7A">
        <w:rPr>
          <w:sz w:val="24"/>
          <w:lang w:val="hu-HU"/>
        </w:rPr>
        <w:t xml:space="preserve"> </w:t>
      </w:r>
      <w:r w:rsidR="00EE4030" w:rsidRPr="007B0F7A">
        <w:rPr>
          <w:sz w:val="24"/>
          <w:lang w:val="hu-HU"/>
        </w:rPr>
        <w:tab/>
      </w:r>
      <w:r w:rsidRPr="007B0F7A">
        <w:rPr>
          <w:sz w:val="24"/>
          <w:lang w:val="hu-HU"/>
        </w:rPr>
        <w:t xml:space="preserve">Az Emberi Jogok Európai Bírósága által a </w:t>
      </w:r>
      <w:r w:rsidRPr="00C46C26">
        <w:rPr>
          <w:sz w:val="24"/>
          <w:lang w:val="hu-HU"/>
        </w:rPr>
        <w:t>Salay kontra Szlovákia</w:t>
      </w:r>
      <w:r w:rsidRPr="007B0F7A">
        <w:rPr>
          <w:sz w:val="24"/>
          <w:lang w:val="hu-HU"/>
        </w:rPr>
        <w:t xml:space="preserve"> ügyben 2025</w:t>
      </w:r>
      <w:r w:rsidRPr="00EE4030">
        <w:rPr>
          <w:sz w:val="24"/>
          <w:lang w:val="hu-HU"/>
        </w:rPr>
        <w:t>. február 27-én hozott ítélet (29359/22).</w:t>
      </w:r>
    </w:p>
  </w:footnote>
  <w:footnote w:id="14">
    <w:p w14:paraId="01483B75" w14:textId="4D64FC07" w:rsidR="0032157C" w:rsidRPr="007B0F7A"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r w:rsidRPr="00EE4030">
        <w:rPr>
          <w:sz w:val="24"/>
          <w:lang w:val="hu-HU"/>
        </w:rPr>
        <w:t xml:space="preserve">Az Emberi Jogok </w:t>
      </w:r>
      <w:r w:rsidRPr="007B0F7A">
        <w:rPr>
          <w:sz w:val="24"/>
          <w:lang w:val="hu-HU"/>
        </w:rPr>
        <w:t xml:space="preserve">Európai Bírósága által az </w:t>
      </w:r>
      <w:r w:rsidRPr="00C46C26">
        <w:rPr>
          <w:sz w:val="24"/>
          <w:lang w:val="hu-HU"/>
        </w:rPr>
        <w:t>R. R. és R. D. kontra Szlovákia</w:t>
      </w:r>
      <w:r w:rsidRPr="007B0F7A">
        <w:rPr>
          <w:sz w:val="24"/>
          <w:lang w:val="hu-HU"/>
        </w:rPr>
        <w:t xml:space="preserve"> ügyben 2020. szeptember 1-jén, a </w:t>
      </w:r>
      <w:r w:rsidRPr="00C46C26">
        <w:rPr>
          <w:sz w:val="24"/>
          <w:lang w:val="hu-HU"/>
        </w:rPr>
        <w:t>P. H. kontra Szlovákia</w:t>
      </w:r>
      <w:r w:rsidRPr="007B0F7A">
        <w:rPr>
          <w:sz w:val="24"/>
          <w:lang w:val="hu-HU"/>
        </w:rPr>
        <w:t xml:space="preserve"> ügyben 2022. szeptember 8-án (37574/19), valamint a </w:t>
      </w:r>
      <w:r w:rsidRPr="00C46C26">
        <w:rPr>
          <w:sz w:val="24"/>
          <w:lang w:val="hu-HU"/>
        </w:rPr>
        <w:t>B. B. kontra Szlovákia</w:t>
      </w:r>
      <w:r w:rsidRPr="007B0F7A">
        <w:rPr>
          <w:sz w:val="24"/>
          <w:lang w:val="hu-HU"/>
        </w:rPr>
        <w:t xml:space="preserve"> ügyben 2024. október 24-én hozott ítélet (48587/21).</w:t>
      </w:r>
    </w:p>
  </w:footnote>
  <w:footnote w:id="15">
    <w:p w14:paraId="4B1D9566" w14:textId="78B3B91E" w:rsidR="0032157C" w:rsidRPr="00EE4030" w:rsidRDefault="0032157C" w:rsidP="00EE4030">
      <w:pPr>
        <w:pStyle w:val="FootnoteText"/>
        <w:ind w:left="567" w:hanging="567"/>
        <w:rPr>
          <w:sz w:val="24"/>
          <w:lang w:val="hu-HU"/>
        </w:rPr>
      </w:pPr>
      <w:r w:rsidRPr="00EE4030">
        <w:rPr>
          <w:rStyle w:val="FootnoteReference"/>
          <w:sz w:val="24"/>
          <w:lang w:val="hu-HU"/>
        </w:rPr>
        <w:footnoteRef/>
      </w:r>
      <w:r w:rsidR="00EE4030" w:rsidRPr="00EE4030">
        <w:rPr>
          <w:sz w:val="24"/>
          <w:lang w:val="hu-HU"/>
        </w:rPr>
        <w:t xml:space="preserve"> </w:t>
      </w:r>
      <w:r w:rsidR="00EE4030" w:rsidRPr="00EE4030">
        <w:rPr>
          <w:sz w:val="24"/>
          <w:lang w:val="hu-HU"/>
        </w:rPr>
        <w:tab/>
      </w:r>
      <w:hyperlink r:id="rId6" w:history="1">
        <w:r w:rsidRPr="007B0F7A">
          <w:rPr>
            <w:rStyle w:val="Hyperlink"/>
            <w:sz w:val="24"/>
            <w:lang w:val="hu-HU"/>
          </w:rPr>
          <w:t>https://www.liberties.eu/f/vdxw3e</w:t>
        </w:r>
      </w:hyperlink>
      <w:r w:rsidRPr="00EE403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53F1" w14:textId="77777777" w:rsidR="00064002" w:rsidRPr="00EE40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1542" w14:textId="77777777" w:rsidR="00064002" w:rsidRPr="00EE40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ADA8" w14:textId="77777777" w:rsidR="00064002" w:rsidRPr="00EE40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7044718">
    <w:abstractNumId w:val="9"/>
  </w:num>
  <w:num w:numId="2" w16cid:durableId="872421151">
    <w:abstractNumId w:val="9"/>
  </w:num>
  <w:num w:numId="3" w16cid:durableId="144976895">
    <w:abstractNumId w:val="7"/>
  </w:num>
  <w:num w:numId="4" w16cid:durableId="1843622457">
    <w:abstractNumId w:val="7"/>
  </w:num>
  <w:num w:numId="5" w16cid:durableId="1753316491">
    <w:abstractNumId w:val="6"/>
  </w:num>
  <w:num w:numId="6" w16cid:durableId="1098478098">
    <w:abstractNumId w:val="6"/>
  </w:num>
  <w:num w:numId="7" w16cid:durableId="130749583">
    <w:abstractNumId w:val="5"/>
  </w:num>
  <w:num w:numId="8" w16cid:durableId="1636835744">
    <w:abstractNumId w:val="5"/>
  </w:num>
  <w:num w:numId="9" w16cid:durableId="1584409278">
    <w:abstractNumId w:val="4"/>
  </w:num>
  <w:num w:numId="10" w16cid:durableId="2023316916">
    <w:abstractNumId w:val="4"/>
  </w:num>
  <w:num w:numId="11" w16cid:durableId="1922375569">
    <w:abstractNumId w:val="8"/>
  </w:num>
  <w:num w:numId="12" w16cid:durableId="1623926168">
    <w:abstractNumId w:val="8"/>
  </w:num>
  <w:num w:numId="13" w16cid:durableId="1952201742">
    <w:abstractNumId w:val="3"/>
  </w:num>
  <w:num w:numId="14" w16cid:durableId="1665088408">
    <w:abstractNumId w:val="3"/>
  </w:num>
  <w:num w:numId="15" w16cid:durableId="1262224926">
    <w:abstractNumId w:val="2"/>
  </w:num>
  <w:num w:numId="16" w16cid:durableId="404840437">
    <w:abstractNumId w:val="2"/>
  </w:num>
  <w:num w:numId="17" w16cid:durableId="707343389">
    <w:abstractNumId w:val="1"/>
  </w:num>
  <w:num w:numId="18" w16cid:durableId="2118940375">
    <w:abstractNumId w:val="1"/>
  </w:num>
  <w:num w:numId="19" w16cid:durableId="1162811932">
    <w:abstractNumId w:val="0"/>
  </w:num>
  <w:num w:numId="20" w16cid:durableId="2023044512">
    <w:abstractNumId w:val="0"/>
  </w:num>
  <w:num w:numId="21" w16cid:durableId="2063013679">
    <w:abstractNumId w:val="9"/>
  </w:num>
  <w:num w:numId="22" w16cid:durableId="114373872">
    <w:abstractNumId w:val="7"/>
  </w:num>
  <w:num w:numId="23" w16cid:durableId="531961108">
    <w:abstractNumId w:val="6"/>
  </w:num>
  <w:num w:numId="24" w16cid:durableId="1017535053">
    <w:abstractNumId w:val="5"/>
  </w:num>
  <w:num w:numId="25" w16cid:durableId="1198738067">
    <w:abstractNumId w:val="4"/>
  </w:num>
  <w:num w:numId="26" w16cid:durableId="190144349">
    <w:abstractNumId w:val="8"/>
  </w:num>
  <w:num w:numId="27" w16cid:durableId="1133981002">
    <w:abstractNumId w:val="3"/>
  </w:num>
  <w:num w:numId="28" w16cid:durableId="1478763013">
    <w:abstractNumId w:val="2"/>
  </w:num>
  <w:num w:numId="29" w16cid:durableId="1815682150">
    <w:abstractNumId w:val="1"/>
  </w:num>
  <w:num w:numId="30" w16cid:durableId="2131894051">
    <w:abstractNumId w:val="0"/>
  </w:num>
  <w:num w:numId="31" w16cid:durableId="1301690276">
    <w:abstractNumId w:val="9"/>
  </w:num>
  <w:num w:numId="32" w16cid:durableId="1148284252">
    <w:abstractNumId w:val="7"/>
  </w:num>
  <w:num w:numId="33" w16cid:durableId="1553422577">
    <w:abstractNumId w:val="6"/>
  </w:num>
  <w:num w:numId="34" w16cid:durableId="1119490327">
    <w:abstractNumId w:val="5"/>
  </w:num>
  <w:num w:numId="35" w16cid:durableId="1586458909">
    <w:abstractNumId w:val="4"/>
  </w:num>
  <w:num w:numId="36" w16cid:durableId="835538225">
    <w:abstractNumId w:val="8"/>
  </w:num>
  <w:num w:numId="37" w16cid:durableId="1502088678">
    <w:abstractNumId w:val="3"/>
  </w:num>
  <w:num w:numId="38" w16cid:durableId="1913392030">
    <w:abstractNumId w:val="2"/>
  </w:num>
  <w:num w:numId="39" w16cid:durableId="520052034">
    <w:abstractNumId w:val="1"/>
  </w:num>
  <w:num w:numId="40" w16cid:durableId="494105762">
    <w:abstractNumId w:val="0"/>
  </w:num>
  <w:num w:numId="41" w16cid:durableId="54008752">
    <w:abstractNumId w:val="10"/>
  </w:num>
  <w:num w:numId="42" w16cid:durableId="524101081">
    <w:abstractNumId w:val="10"/>
  </w:num>
  <w:num w:numId="43" w16cid:durableId="922110170">
    <w:abstractNumId w:val="10"/>
  </w:num>
  <w:num w:numId="44" w16cid:durableId="115491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HU"/>
    <w:docVar w:name="dvnumam" w:val="0"/>
    <w:docVar w:name="dvpe" w:val="783.288"/>
    <w:docVar w:name="dvtitre" w:val="Az Európai Parlament 2026.  ...-i állásfoglalása a jogállamiságról, az alapvető jogokról és az uniós forrásokkal való visszaélésről Szlovákiában: az uniós válasz szükségességéről(2026/2607(RSP))"/>
  </w:docVars>
  <w:rsids>
    <w:rsidRoot w:val="00B277F0"/>
    <w:rsid w:val="00002272"/>
    <w:rsid w:val="00064002"/>
    <w:rsid w:val="000677B9"/>
    <w:rsid w:val="000831BA"/>
    <w:rsid w:val="000A42CC"/>
    <w:rsid w:val="000E7DD9"/>
    <w:rsid w:val="0010095E"/>
    <w:rsid w:val="00125B37"/>
    <w:rsid w:val="00187494"/>
    <w:rsid w:val="001F32AE"/>
    <w:rsid w:val="002767FF"/>
    <w:rsid w:val="002B18FE"/>
    <w:rsid w:val="002B5493"/>
    <w:rsid w:val="0032157C"/>
    <w:rsid w:val="00343214"/>
    <w:rsid w:val="00361C00"/>
    <w:rsid w:val="00367B6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C85"/>
    <w:rsid w:val="006F74FA"/>
    <w:rsid w:val="00731ADD"/>
    <w:rsid w:val="00734777"/>
    <w:rsid w:val="00747932"/>
    <w:rsid w:val="00751A4A"/>
    <w:rsid w:val="00756632"/>
    <w:rsid w:val="00762C74"/>
    <w:rsid w:val="00786EC0"/>
    <w:rsid w:val="007B0F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B04"/>
    <w:rsid w:val="00A1687D"/>
    <w:rsid w:val="00A43E52"/>
    <w:rsid w:val="00A4678D"/>
    <w:rsid w:val="00A778C7"/>
    <w:rsid w:val="00AB441E"/>
    <w:rsid w:val="00AB6293"/>
    <w:rsid w:val="00AE0928"/>
    <w:rsid w:val="00AF3B82"/>
    <w:rsid w:val="00B12E95"/>
    <w:rsid w:val="00B22876"/>
    <w:rsid w:val="00B277F0"/>
    <w:rsid w:val="00B558F0"/>
    <w:rsid w:val="00BD48FE"/>
    <w:rsid w:val="00BD7BD8"/>
    <w:rsid w:val="00BE6ADC"/>
    <w:rsid w:val="00C05BFE"/>
    <w:rsid w:val="00C23CD4"/>
    <w:rsid w:val="00C46C2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03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7FB7B"/>
  <w15:chartTrackingRefBased/>
  <w15:docId w15:val="{18611096-E561-4603-9A90-F71CAD13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157C"/>
    <w:pPr>
      <w:spacing w:before="480" w:after="240"/>
    </w:pPr>
  </w:style>
  <w:style w:type="paragraph" w:customStyle="1" w:styleId="NormalHanging12a">
    <w:name w:val="NormalHanging12a"/>
    <w:basedOn w:val="Normal"/>
    <w:link w:val="NormalHanging12aChar"/>
    <w:rsid w:val="0032157C"/>
    <w:pPr>
      <w:spacing w:after="240"/>
      <w:ind w:left="567" w:hanging="567"/>
    </w:pPr>
  </w:style>
  <w:style w:type="character" w:styleId="Hyperlink">
    <w:name w:val="Hyperlink"/>
    <w:basedOn w:val="DefaultParagraphFont"/>
    <w:uiPriority w:val="99"/>
    <w:unhideWhenUsed/>
    <w:rsid w:val="0032157C"/>
    <w:rPr>
      <w:color w:val="0563C1" w:themeColor="hyperlink"/>
      <w:u w:val="single"/>
    </w:rPr>
  </w:style>
  <w:style w:type="character" w:customStyle="1" w:styleId="Hyperlink0">
    <w:name w:val="Hyperlink.0"/>
    <w:basedOn w:val="DefaultParagraphFont"/>
    <w:rsid w:val="0032157C"/>
    <w:rPr>
      <w:outline w:val="0"/>
      <w:color w:val="000000"/>
      <w:u w:color="000000"/>
    </w:rPr>
  </w:style>
  <w:style w:type="character" w:customStyle="1" w:styleId="NormalHanging12aChar">
    <w:name w:val="NormalHanging12a Char"/>
    <w:basedOn w:val="DefaultParagraphFont"/>
    <w:link w:val="NormalHanging12a"/>
    <w:rsid w:val="0032157C"/>
    <w:rPr>
      <w:sz w:val="24"/>
      <w:lang w:val="hu-HU"/>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32157C"/>
    <w:pPr>
      <w:widowControl/>
      <w:spacing w:after="160" w:line="240" w:lineRule="exact"/>
    </w:pPr>
    <w:rPr>
      <w:sz w:val="20"/>
      <w:vertAlign w:val="superscript"/>
      <w:lang w:val="en-GB"/>
    </w:rPr>
  </w:style>
  <w:style w:type="paragraph" w:styleId="Revision">
    <w:name w:val="Revision"/>
    <w:hidden/>
    <w:uiPriority w:val="99"/>
    <w:semiHidden/>
    <w:rsid w:val="007B0F7A"/>
    <w:rPr>
      <w:sz w:val="24"/>
      <w:lang w:val="hu-HU"/>
    </w:rPr>
  </w:style>
  <w:style w:type="character" w:styleId="UnresolvedMention">
    <w:name w:val="Unresolved Mention"/>
    <w:basedOn w:val="DefaultParagraphFont"/>
    <w:uiPriority w:val="99"/>
    <w:semiHidden/>
    <w:unhideWhenUsed/>
    <w:rsid w:val="007B0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6244</Words>
  <Characters>35597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2026-05-20T14:00:00Z</dcterms:created>
  <dcterms:modified xsi:type="dcterms:W3CDTF">2026-05-20T14:00:00Z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B10-0245/2026</vt:lpwstr>
  </property>
  <property fmtid="{D5CDD505-2E9C-101B-9397-08002B2CF9AE}" pid="4" name="&lt;Type&gt;">
    <vt:lpwstr>RR</vt:lpwstr>
  </property>
</Properties>
</file>