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0C5B" w14:paraId="2C27C05C" w14:textId="77777777" w:rsidTr="0010095E">
        <w:trPr>
          <w:trHeight w:hRule="exact" w:val="1418"/>
        </w:trPr>
        <w:tc>
          <w:tcPr>
            <w:tcW w:w="6804" w:type="dxa"/>
            <w:shd w:val="clear" w:color="auto" w:fill="auto"/>
            <w:vAlign w:val="center"/>
          </w:tcPr>
          <w:p w14:paraId="5FAE49D9" w14:textId="77777777" w:rsidR="00751A4A" w:rsidRPr="00ED0C5B" w:rsidRDefault="00053AFF" w:rsidP="0010095E">
            <w:pPr>
              <w:pStyle w:val="EPName"/>
            </w:pPr>
            <w:r w:rsidRPr="00ED0C5B">
              <w:t>Europos Parlamentas</w:t>
            </w:r>
          </w:p>
          <w:p w14:paraId="3C53FF78" w14:textId="77777777" w:rsidR="00751A4A" w:rsidRPr="00ED0C5B" w:rsidRDefault="005F1B17" w:rsidP="005F1B17">
            <w:pPr>
              <w:pStyle w:val="EPTerm"/>
              <w:rPr>
                <w:rStyle w:val="HideTWBExt"/>
                <w:noProof w:val="0"/>
                <w:vanish w:val="0"/>
                <w:color w:val="auto"/>
              </w:rPr>
            </w:pPr>
            <w:r w:rsidRPr="00ED0C5B">
              <w:t>2024</w:t>
            </w:r>
            <w:r w:rsidR="00817416" w:rsidRPr="00ED0C5B">
              <w:t>-202</w:t>
            </w:r>
            <w:r w:rsidRPr="00ED0C5B">
              <w:t>9</w:t>
            </w:r>
          </w:p>
        </w:tc>
        <w:tc>
          <w:tcPr>
            <w:tcW w:w="2268" w:type="dxa"/>
            <w:shd w:val="clear" w:color="auto" w:fill="auto"/>
          </w:tcPr>
          <w:p w14:paraId="7D7C7F2C" w14:textId="77777777" w:rsidR="00751A4A" w:rsidRPr="00ED0C5B" w:rsidRDefault="00187494" w:rsidP="0010095E">
            <w:pPr>
              <w:pStyle w:val="EPLogo"/>
            </w:pPr>
            <w:r w:rsidRPr="00ED0C5B">
              <w:rPr>
                <w:noProof/>
                <w:lang w:eastAsia="ja-JP"/>
              </w:rPr>
              <w:drawing>
                <wp:inline distT="0" distB="0" distL="0" distR="0" wp14:anchorId="71B337C3" wp14:editId="036F2D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0B4930" w14:textId="77777777" w:rsidR="00D058B8" w:rsidRPr="00ED0C5B" w:rsidRDefault="00D058B8" w:rsidP="004C5D52">
      <w:pPr>
        <w:pStyle w:val="LineTop"/>
      </w:pPr>
    </w:p>
    <w:p w14:paraId="28038005" w14:textId="77777777" w:rsidR="00680577" w:rsidRPr="00ED0C5B" w:rsidRDefault="00053AFF" w:rsidP="00680577">
      <w:pPr>
        <w:pStyle w:val="EPBodyTA1"/>
      </w:pPr>
      <w:r w:rsidRPr="00ED0C5B">
        <w:t>PRIIMTI TEKSTAI</w:t>
      </w:r>
    </w:p>
    <w:p w14:paraId="29530188" w14:textId="77777777" w:rsidR="00D058B8" w:rsidRPr="00ED0C5B" w:rsidRDefault="00D058B8" w:rsidP="00D058B8">
      <w:pPr>
        <w:pStyle w:val="LineBottom"/>
      </w:pPr>
    </w:p>
    <w:p w14:paraId="706E7D58" w14:textId="3492B039" w:rsidR="00053AFF" w:rsidRPr="00ED0C5B" w:rsidRDefault="00053AFF" w:rsidP="00053AFF">
      <w:pPr>
        <w:pStyle w:val="ATHeading1"/>
      </w:pPr>
      <w:bookmarkStart w:id="0" w:name="TANumber"/>
      <w:r w:rsidRPr="00ED0C5B">
        <w:t>P10_TA(2026)0</w:t>
      </w:r>
      <w:r w:rsidR="003B25D2">
        <w:t>184</w:t>
      </w:r>
      <w:bookmarkEnd w:id="0"/>
    </w:p>
    <w:p w14:paraId="59CB88FC" w14:textId="66B22D37" w:rsidR="00053AFF" w:rsidRPr="00ED0C5B" w:rsidRDefault="00465EC3" w:rsidP="00465EC3">
      <w:pPr>
        <w:pStyle w:val="ATHeading2"/>
      </w:pPr>
      <w:bookmarkStart w:id="1" w:name="title"/>
      <w:r w:rsidRPr="00465EC3">
        <w:rPr>
          <w:bCs/>
          <w:lang w:val="en-GB"/>
        </w:rPr>
        <w:t>Teisinė valstybė, pagrindinės teisės ir netinkamas ES lėšų naudojimas Slovakijoje: reikalingas ES</w:t>
      </w:r>
      <w:r>
        <w:rPr>
          <w:bCs/>
          <w:lang w:val="en-GB"/>
        </w:rPr>
        <w:t xml:space="preserve"> </w:t>
      </w:r>
      <w:r w:rsidRPr="00465EC3">
        <w:rPr>
          <w:bCs/>
          <w:lang w:val="en-GB"/>
        </w:rPr>
        <w:t>atsakas</w:t>
      </w:r>
      <w:bookmarkEnd w:id="1"/>
    </w:p>
    <w:p w14:paraId="70531AAA" w14:textId="77777777" w:rsidR="00053AFF" w:rsidRPr="00ED0C5B" w:rsidRDefault="00053AFF" w:rsidP="00053AFF">
      <w:pPr>
        <w:rPr>
          <w:i/>
          <w:vanish/>
        </w:rPr>
      </w:pPr>
      <w:r w:rsidRPr="00ED0C5B">
        <w:rPr>
          <w:i/>
        </w:rPr>
        <w:fldChar w:fldCharType="begin"/>
      </w:r>
      <w:r w:rsidRPr="00ED0C5B">
        <w:rPr>
          <w:i/>
        </w:rPr>
        <w:instrText xml:space="preserve"> TC"(</w:instrText>
      </w:r>
      <w:bookmarkStart w:id="2" w:name="DocNumber"/>
      <w:r w:rsidRPr="00ED0C5B">
        <w:rPr>
          <w:i/>
        </w:rPr>
        <w:instrText>B10-0245/2026</w:instrText>
      </w:r>
      <w:bookmarkEnd w:id="2"/>
      <w:r w:rsidRPr="00ED0C5B">
        <w:rPr>
          <w:i/>
        </w:rPr>
        <w:instrText xml:space="preserve">)"\l3 \n&gt; \* MERGEFORMAT </w:instrText>
      </w:r>
      <w:r w:rsidRPr="00ED0C5B">
        <w:rPr>
          <w:i/>
        </w:rPr>
        <w:fldChar w:fldCharType="end"/>
      </w:r>
    </w:p>
    <w:p w14:paraId="3F32D3E9" w14:textId="77777777" w:rsidR="00053AFF" w:rsidRPr="00ED0C5B" w:rsidRDefault="00053AFF" w:rsidP="00053AFF">
      <w:pPr>
        <w:rPr>
          <w:vanish/>
        </w:rPr>
      </w:pPr>
      <w:bookmarkStart w:id="3" w:name="PE"/>
      <w:r w:rsidRPr="00ED0C5B">
        <w:rPr>
          <w:vanish/>
        </w:rPr>
        <w:t>PE783.288</w:t>
      </w:r>
      <w:bookmarkEnd w:id="3"/>
    </w:p>
    <w:p w14:paraId="214967DD" w14:textId="64EE5443" w:rsidR="00053AFF" w:rsidRPr="00ED0C5B" w:rsidRDefault="00053AFF" w:rsidP="00F73A12">
      <w:pPr>
        <w:pStyle w:val="ATHeading3"/>
      </w:pPr>
      <w:bookmarkStart w:id="4" w:name="Sujet"/>
      <w:r w:rsidRPr="00ED0C5B">
        <w:t xml:space="preserve">2026 m. </w:t>
      </w:r>
      <w:r w:rsidR="00F73A12" w:rsidRPr="00ED0C5B">
        <w:t>gegužės</w:t>
      </w:r>
      <w:r w:rsidRPr="00ED0C5B">
        <w:t xml:space="preserve"> 20 d. Europos Parlamento rezoliucija dėl teisinės valstybės, pagrindinių teisių ir netinkamo ES lėšų naudojimo Slovakijoje: reikalingas ES atsakas</w:t>
      </w:r>
      <w:bookmarkEnd w:id="4"/>
      <w:r w:rsidRPr="00ED0C5B">
        <w:t xml:space="preserve"> </w:t>
      </w:r>
      <w:bookmarkStart w:id="5" w:name="References"/>
      <w:r w:rsidRPr="00ED0C5B">
        <w:t>(</w:t>
      </w:r>
      <w:r w:rsidR="00B9712B">
        <w:t>2026</w:t>
      </w:r>
      <w:r w:rsidRPr="00ED0C5B">
        <w:t>/2</w:t>
      </w:r>
      <w:r w:rsidR="00B9712B">
        <w:t>607</w:t>
      </w:r>
      <w:r w:rsidRPr="00ED0C5B">
        <w:t>(RSP))</w:t>
      </w:r>
      <w:bookmarkEnd w:id="5"/>
    </w:p>
    <w:p w14:paraId="70F71229" w14:textId="77777777" w:rsidR="00045D87" w:rsidRPr="00ED0C5B" w:rsidRDefault="00045D87" w:rsidP="00045D87">
      <w:pPr>
        <w:pStyle w:val="EPComma"/>
      </w:pPr>
      <w:bookmarkStart w:id="6" w:name="TextBodyBegin"/>
      <w:bookmarkEnd w:id="6"/>
      <w:r w:rsidRPr="00ED0C5B">
        <w:rPr>
          <w:i/>
        </w:rPr>
        <w:t>Europos Parlamentas</w:t>
      </w:r>
      <w:r w:rsidRPr="00ED0C5B">
        <w:t>,</w:t>
      </w:r>
    </w:p>
    <w:p w14:paraId="5180AA73" w14:textId="77777777" w:rsidR="00045D87" w:rsidRPr="00ED0C5B" w:rsidRDefault="00045D87" w:rsidP="00045D87">
      <w:pPr>
        <w:pStyle w:val="NormalHanging12a"/>
        <w:widowControl/>
      </w:pPr>
      <w:r w:rsidRPr="00ED0C5B">
        <w:t>–</w:t>
      </w:r>
      <w:r w:rsidRPr="00ED0C5B">
        <w:tab/>
        <w:t>atsižvelgdamas į Europos Sąjungos sutartį, ypač į jos 2 ir 4 straipsnius, 4 straipsnio 3 dalį, taip pat 5, 6, 9 ir 10 straipsnius, ir į Sutartį dėl Europos Sąjungos veikimo (SESV), ypač į jos 20 straipsnį,</w:t>
      </w:r>
    </w:p>
    <w:p w14:paraId="5017EBD9" w14:textId="77777777" w:rsidR="00045D87" w:rsidRPr="00ED0C5B" w:rsidRDefault="00045D87" w:rsidP="00045D87">
      <w:pPr>
        <w:pStyle w:val="NormalHanging12a"/>
        <w:widowControl/>
      </w:pPr>
      <w:r w:rsidRPr="00ED0C5B">
        <w:t>–</w:t>
      </w:r>
      <w:r w:rsidRPr="00ED0C5B">
        <w:tab/>
        <w:t>atsižvelgdamas į Europos Sąjungos pagrindinių teisių chartiją (toliau – Chartija),</w:t>
      </w:r>
    </w:p>
    <w:p w14:paraId="40BFB727" w14:textId="77777777" w:rsidR="00045D87" w:rsidRPr="00ED0C5B" w:rsidRDefault="00045D87" w:rsidP="00045D87">
      <w:pPr>
        <w:pStyle w:val="NormalHanging12a"/>
        <w:widowControl/>
      </w:pPr>
      <w:r w:rsidRPr="00ED0C5B">
        <w:t>–</w:t>
      </w:r>
      <w:r w:rsidRPr="00ED0C5B">
        <w:tab/>
        <w:t>atsižvelgdamas į Europos žmogaus teisių konvenciją (EŽTK) ir jos protokolus, taip pat į Europos Žmogaus Teisių Teismo sprendimus dėl Slovakijos,</w:t>
      </w:r>
    </w:p>
    <w:p w14:paraId="15E22C69" w14:textId="77777777" w:rsidR="00045D87" w:rsidRPr="00ED0C5B" w:rsidRDefault="00045D87" w:rsidP="00045D87">
      <w:pPr>
        <w:pStyle w:val="NormalHanging12a"/>
        <w:widowControl/>
      </w:pPr>
      <w:r w:rsidRPr="00ED0C5B">
        <w:t>–</w:t>
      </w:r>
      <w:r w:rsidRPr="00ED0C5B">
        <w:tab/>
        <w:t>atsižvelgdamas į Visuotinę žmogaus teisių deklaraciją,</w:t>
      </w:r>
    </w:p>
    <w:p w14:paraId="20CE786F" w14:textId="77777777" w:rsidR="00045D87" w:rsidRPr="00ED0C5B" w:rsidRDefault="00045D87" w:rsidP="00045D87">
      <w:pPr>
        <w:pStyle w:val="NormalHanging12a"/>
        <w:widowControl/>
      </w:pPr>
      <w:r w:rsidRPr="00ED0C5B">
        <w:t>–</w:t>
      </w:r>
      <w:r w:rsidRPr="00ED0C5B">
        <w:tab/>
        <w:t>atsižvelgdamas į Jungtinių Tautų ir Europos Tarybos tarptautines sutartis žmogaus teisių srityje,</w:t>
      </w:r>
    </w:p>
    <w:p w14:paraId="2BEF0E52" w14:textId="77777777" w:rsidR="00045D87" w:rsidRPr="00ED0C5B" w:rsidRDefault="00045D87" w:rsidP="00045D87">
      <w:pPr>
        <w:pStyle w:val="NormalHanging12a"/>
        <w:widowControl/>
      </w:pPr>
      <w:r w:rsidRPr="00ED0C5B">
        <w:t>–</w:t>
      </w:r>
      <w:r w:rsidRPr="00ED0C5B">
        <w:tab/>
        <w:t>atsižvelgdamas į 2019 m. spalio 23 d. Europos Parlamento ir Tarybos direktyvą (ES) 2019/1937 dėl asmenų, pranešančių apie Sąjungos teisės pažeidimus, apsaugos</w:t>
      </w:r>
      <w:r w:rsidRPr="00ED0C5B">
        <w:rPr>
          <w:rStyle w:val="FootnoteReference"/>
        </w:rPr>
        <w:footnoteReference w:id="1"/>
      </w:r>
      <w:r w:rsidRPr="00ED0C5B">
        <w:t xml:space="preserve"> (Pranešėjų apsaugos direktyva),</w:t>
      </w:r>
    </w:p>
    <w:p w14:paraId="0D052B05" w14:textId="77777777" w:rsidR="00045D87" w:rsidRPr="00ED0C5B" w:rsidRDefault="00045D87" w:rsidP="00045D87">
      <w:pPr>
        <w:pStyle w:val="NormalHanging12a"/>
        <w:widowControl/>
      </w:pPr>
      <w:r w:rsidRPr="00ED0C5B">
        <w:t>–</w:t>
      </w:r>
      <w:r w:rsidRPr="00ED0C5B">
        <w:tab/>
        <w:t>atsižvelgdamas į 2020 m. gruodžio 16 d. Europos Parlamento ir Tarybos reglamentą (ES, Euratomas) 2020/2092 dėl bendro Sąjungos biudžeto apsaugos sąlygų režimo</w:t>
      </w:r>
      <w:r w:rsidRPr="00ED0C5B">
        <w:rPr>
          <w:rStyle w:val="FootnoteReference"/>
        </w:rPr>
        <w:footnoteReference w:id="2"/>
      </w:r>
      <w:r w:rsidRPr="00ED0C5B">
        <w:t xml:space="preserve"> (Teisinės valstybės sąlygų reglamentas),</w:t>
      </w:r>
    </w:p>
    <w:p w14:paraId="1A502062" w14:textId="77777777" w:rsidR="00045D87" w:rsidRPr="00ED0C5B" w:rsidRDefault="00045D87" w:rsidP="00045D87">
      <w:pPr>
        <w:pStyle w:val="NormalHanging12a"/>
        <w:widowControl/>
      </w:pPr>
      <w:r w:rsidRPr="00ED0C5B">
        <w:t>–</w:t>
      </w:r>
      <w:r w:rsidRPr="00ED0C5B">
        <w:tab/>
        <w:t xml:space="preserve">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w:t>
      </w:r>
      <w:r w:rsidRPr="00ED0C5B">
        <w:lastRenderedPageBreak/>
        <w:t>migracijos ir integracijos fondo, Vidaus saugumo fondo ir Sienų valdymo ir vizų politikos finansinės paramos priemonės taisyklės</w:t>
      </w:r>
      <w:r w:rsidRPr="00ED0C5B">
        <w:rPr>
          <w:rStyle w:val="FootnoteReference"/>
        </w:rPr>
        <w:footnoteReference w:id="3"/>
      </w:r>
      <w:r w:rsidRPr="00ED0C5B">
        <w:t xml:space="preserve"> (Bendrųjų nuostatų reglamentas),</w:t>
      </w:r>
    </w:p>
    <w:p w14:paraId="0EF7009C" w14:textId="77777777" w:rsidR="00045D87" w:rsidRPr="00ED0C5B" w:rsidRDefault="00045D87" w:rsidP="00045D87">
      <w:pPr>
        <w:spacing w:before="100" w:beforeAutospacing="1" w:after="240"/>
        <w:ind w:left="567" w:right="-1" w:hanging="567"/>
        <w:rPr>
          <w:color w:val="000000" w:themeColor="text1"/>
          <w:szCs w:val="24"/>
        </w:rPr>
      </w:pPr>
      <w:r w:rsidRPr="00ED0C5B">
        <w:rPr>
          <w:color w:val="000000" w:themeColor="text1"/>
        </w:rPr>
        <w:t>–</w:t>
      </w:r>
      <w:r w:rsidRPr="00ED0C5B">
        <w:rPr>
          <w:color w:val="000000" w:themeColor="text1"/>
        </w:rPr>
        <w:tab/>
        <w:t>atsižvelgdamas į savo 2018 m. balandžio 19 d. rezoliuciją „Tiriamosios žurnalistikos atstovų apsauga Europoje: Slovakijos žurnalistų Jáno Kuciako ir Martinos Kušnírovos atvejis“</w:t>
      </w:r>
      <w:r w:rsidRPr="00ED0C5B">
        <w:rPr>
          <w:rStyle w:val="FootnoteReference"/>
          <w:color w:val="000000" w:themeColor="text1"/>
          <w:szCs w:val="24"/>
        </w:rPr>
        <w:footnoteReference w:id="4"/>
      </w:r>
      <w:r w:rsidRPr="00ED0C5B">
        <w:rPr>
          <w:color w:val="000000" w:themeColor="text1"/>
        </w:rPr>
        <w:t>,</w:t>
      </w:r>
    </w:p>
    <w:p w14:paraId="34DF0C35" w14:textId="77777777" w:rsidR="00045D87" w:rsidRPr="00ED0C5B" w:rsidRDefault="00045D87" w:rsidP="00045D87">
      <w:pPr>
        <w:pStyle w:val="NormalHanging12a"/>
        <w:rPr>
          <w:szCs w:val="24"/>
        </w:rPr>
      </w:pPr>
      <w:r w:rsidRPr="00ED0C5B">
        <w:t>–</w:t>
      </w:r>
      <w:r w:rsidRPr="00ED0C5B">
        <w:tab/>
        <w:t>atsižvelgdamas į savo 2019 m. kovo 28 d. rezoliuciją dėl teisinės valstybės ir kovos su korupcija ES, ypač Maltoje ir Slovakijoje, padėties</w:t>
      </w:r>
      <w:r w:rsidRPr="00ED0C5B">
        <w:rPr>
          <w:rStyle w:val="FootnoteReference"/>
          <w:szCs w:val="24"/>
        </w:rPr>
        <w:footnoteReference w:id="5"/>
      </w:r>
      <w:r w:rsidRPr="00ED0C5B">
        <w:t>,</w:t>
      </w:r>
    </w:p>
    <w:p w14:paraId="6BE4152F" w14:textId="77777777" w:rsidR="00045D87" w:rsidRPr="00ED0C5B" w:rsidRDefault="00045D87" w:rsidP="00045D87">
      <w:pPr>
        <w:pStyle w:val="NormalHanging12a"/>
        <w:rPr>
          <w:szCs w:val="24"/>
        </w:rPr>
      </w:pPr>
      <w:r w:rsidRPr="00ED0C5B">
        <w:t>–</w:t>
      </w:r>
      <w:r w:rsidRPr="00ED0C5B">
        <w:tab/>
        <w:t>atsižvelgdamas į savo 2022 m. spalio 20 d. rezoliuciją dėl augančio neapykantos nusikaltimų prieš LGBTIQ+ asmenis visoje Europoje skaičiaus, atsižvelgiant į neseniai Slovakijoje įvykusias homofobines žmogžudystes</w:t>
      </w:r>
      <w:r w:rsidRPr="00ED0C5B">
        <w:rPr>
          <w:rStyle w:val="FootnoteReference"/>
          <w:szCs w:val="24"/>
        </w:rPr>
        <w:footnoteReference w:id="6"/>
      </w:r>
      <w:r w:rsidRPr="00ED0C5B">
        <w:t>,</w:t>
      </w:r>
    </w:p>
    <w:p w14:paraId="280D944D" w14:textId="77777777" w:rsidR="00045D87" w:rsidRPr="00ED0C5B" w:rsidRDefault="00045D87" w:rsidP="00045D87">
      <w:pPr>
        <w:pStyle w:val="NormalHanging12a"/>
        <w:rPr>
          <w:spacing w:val="-2"/>
          <w:szCs w:val="24"/>
        </w:rPr>
      </w:pPr>
      <w:r w:rsidRPr="00ED0C5B">
        <w:t>–</w:t>
      </w:r>
      <w:r w:rsidRPr="00ED0C5B">
        <w:tab/>
        <w:t>atsižvelgdamas į savo 2024 m. sausio 17 d. rezoliuciją dėl planuojamo pagrindinių kovos su korupcija struktūrų Slovakijoje panaikinimo ir jo poveikio teisinei valstybei</w:t>
      </w:r>
      <w:r w:rsidRPr="00ED0C5B">
        <w:rPr>
          <w:rStyle w:val="FootnoteReference"/>
          <w:szCs w:val="24"/>
        </w:rPr>
        <w:footnoteReference w:id="7"/>
      </w:r>
      <w:r w:rsidRPr="00ED0C5B">
        <w:t>,</w:t>
      </w:r>
    </w:p>
    <w:p w14:paraId="2BFF1AED" w14:textId="77777777" w:rsidR="00045D87" w:rsidRPr="00ED0C5B" w:rsidRDefault="00045D87" w:rsidP="00045D87">
      <w:pPr>
        <w:pStyle w:val="NormalHanging12a"/>
      </w:pPr>
      <w:r w:rsidRPr="00ED0C5B">
        <w:t>–</w:t>
      </w:r>
      <w:r w:rsidRPr="00ED0C5B">
        <w:tab/>
        <w:t>atsižvelgdamas į savo pranešimus po Biudžeto kontrolės komiteto komandiruotės į Slovakiją 2025 m. gegužės 26–28 d. ir Piliečių laisvių, teisingumo ir vidaus reikalų komiteto darbo grupės demokratijos, teisinės valstybės ir pagrindinių teisių klausimais (DRFMG) komandiruotės į Bratislavą (Slovakija) 2025 m. birželio 1–3 d.,</w:t>
      </w:r>
    </w:p>
    <w:p w14:paraId="74B8BE7A" w14:textId="77777777" w:rsidR="00045D87" w:rsidRPr="00ED0C5B" w:rsidRDefault="00045D87" w:rsidP="00045D87">
      <w:pPr>
        <w:pStyle w:val="NormalHanging12a"/>
      </w:pPr>
      <w:r w:rsidRPr="00ED0C5B">
        <w:t>–</w:t>
      </w:r>
      <w:r w:rsidRPr="00ED0C5B">
        <w:tab/>
        <w:t>atsižvelgdamas į Komisijos metinės teisinės valstybės principo taikymo ataskaitos Slovakijai skirtus šalies skyrius,</w:t>
      </w:r>
    </w:p>
    <w:p w14:paraId="6E7039FD" w14:textId="77777777" w:rsidR="00045D87" w:rsidRPr="00ED0C5B" w:rsidRDefault="00045D87" w:rsidP="00045D87">
      <w:pPr>
        <w:pStyle w:val="NormalHanging12a"/>
      </w:pPr>
      <w:r w:rsidRPr="00ED0C5B">
        <w:t>–</w:t>
      </w:r>
      <w:r w:rsidRPr="00ED0C5B">
        <w:tab/>
        <w:t>atsižvelgdamas į Europos Sąjungos pagrindinių teisių agentūros ataskaitas, apklausas ir nuomones,</w:t>
      </w:r>
    </w:p>
    <w:p w14:paraId="626D9FDC" w14:textId="77777777" w:rsidR="00045D87" w:rsidRPr="00ED0C5B" w:rsidRDefault="00045D87" w:rsidP="00045D87">
      <w:pPr>
        <w:pStyle w:val="NormalHanging12a"/>
      </w:pPr>
      <w:r w:rsidRPr="00ED0C5B">
        <w:t>–</w:t>
      </w:r>
      <w:r w:rsidRPr="00ED0C5B">
        <w:tab/>
        <w:t>atsižvelgdamas į Europos Tarybos platformą, skirtą žurnalistikos apsaugai ir žurnalistų saugumui skatinti, ir į jos 2025 m. metinę ataskaitą,</w:t>
      </w:r>
    </w:p>
    <w:p w14:paraId="229AABFE" w14:textId="77777777" w:rsidR="00045D87" w:rsidRPr="00ED0C5B" w:rsidRDefault="00045D87" w:rsidP="00045D87">
      <w:pPr>
        <w:pStyle w:val="NormalHanging12a"/>
      </w:pPr>
      <w:r w:rsidRPr="00ED0C5B">
        <w:t>–</w:t>
      </w:r>
      <w:r w:rsidRPr="00ED0C5B">
        <w:tab/>
        <w:t>atsižvelgdamas į Europos Tarybos Ministrų komiteto 2014 m. balandžio 30 d. deklaraciją dėl žurnalistikos apsaugos ir žurnalistų bei kitų žiniasklaidos atstovų saugumo,</w:t>
      </w:r>
    </w:p>
    <w:p w14:paraId="22C4E66C" w14:textId="77777777" w:rsidR="00045D87" w:rsidRPr="00ED0C5B" w:rsidRDefault="00045D87" w:rsidP="00045D87">
      <w:pPr>
        <w:pStyle w:val="NormalHanging12a"/>
      </w:pPr>
      <w:r w:rsidRPr="00ED0C5B">
        <w:t>–</w:t>
      </w:r>
      <w:r w:rsidRPr="00ED0C5B">
        <w:tab/>
        <w:t>atsižvelgdamas į Europos saugumo ir bendradarbiavimo organizacijos dalyvaujančiųjų valstybių įsipareigojimus dėl žiniasklaidos laisvės, saviraiškos laisvės ir laisvo informacijos judėjimo,</w:t>
      </w:r>
    </w:p>
    <w:p w14:paraId="76C88B15" w14:textId="77777777" w:rsidR="00045D87" w:rsidRPr="00ED0C5B" w:rsidRDefault="00045D87" w:rsidP="00045D87">
      <w:pPr>
        <w:pStyle w:val="NormalHanging12a"/>
      </w:pPr>
      <w:r w:rsidRPr="00ED0C5B">
        <w:t>–</w:t>
      </w:r>
      <w:r w:rsidRPr="00ED0C5B">
        <w:tab/>
        <w:t>atsižvelgdamas į 2024 m. lapkričio 20 d. Slovakijos Respublikos teisėjų tarybos rezoliuciją Nr. 464/2024, kurioje išreiškiamas susirūpinimas, kad „piktnaudžiavimas teise“ laikomas nusikalstama veika, ir rekomenduojama ją panaikinti arba iš dalies pakeisti, kad būtų užtikrintos griežtesnės apsaugos priemonės, užtikrinančios teismų nepriklausomumą,</w:t>
      </w:r>
    </w:p>
    <w:p w14:paraId="068C9A45" w14:textId="77777777" w:rsidR="00045D87" w:rsidRPr="00ED0C5B" w:rsidRDefault="00045D87" w:rsidP="00045D87">
      <w:pPr>
        <w:pStyle w:val="NormalHanging12a"/>
      </w:pPr>
      <w:r w:rsidRPr="00ED0C5B">
        <w:t>–</w:t>
      </w:r>
      <w:r w:rsidRPr="00ED0C5B">
        <w:tab/>
        <w:t xml:space="preserve">atsižvelgdamas į 2025 m. vasario 14 d. Tarptautinės teisininkų komisijos pareiškimą, </w:t>
      </w:r>
      <w:r w:rsidRPr="00ED0C5B">
        <w:lastRenderedPageBreak/>
        <w:t>kuriame išreiškiamas susirūpinimas dėl akivaizdaus vykdomosios valdžios kišimosi į Slovakijos Respublikos teisėjų tarybos darbą ir pabrėžiama, kad reikia apsaugoti teisėjų tarybų nepriklausomumą nuo parlamentinės ir vykdomosios valdžios įtakos,</w:t>
      </w:r>
    </w:p>
    <w:p w14:paraId="5B07036F" w14:textId="77777777" w:rsidR="00045D87" w:rsidRPr="00ED0C5B" w:rsidRDefault="00045D87" w:rsidP="00045D87">
      <w:pPr>
        <w:pStyle w:val="NormalHanging12a"/>
      </w:pPr>
      <w:r w:rsidRPr="00ED0C5B">
        <w:t>–</w:t>
      </w:r>
      <w:r w:rsidRPr="00ED0C5B">
        <w:tab/>
        <w:t>atsižvelgdamas į 2025 m. spalio 16 d. 56 pilietinės visuomenės organizacijų pasirašytą bendrą atvirą laišką, kuriame reiškiamas didelis susirūpinimas dėl neseniai Slovakijoje priimtų konstitucinių pakeitimų, o ES raginama imtis skubių veiksmų,</w:t>
      </w:r>
    </w:p>
    <w:p w14:paraId="371BA645" w14:textId="77777777" w:rsidR="00045D87" w:rsidRPr="00ED0C5B" w:rsidRDefault="00045D87" w:rsidP="00045D87">
      <w:pPr>
        <w:pStyle w:val="NormalHanging12a"/>
      </w:pPr>
      <w:r w:rsidRPr="00ED0C5B">
        <w:t>–</w:t>
      </w:r>
      <w:r w:rsidRPr="00ED0C5B">
        <w:tab/>
        <w:t>atsižvelgdamas į 2025 m. lapkričio 28 d. Europos prokuratūros laišką Komisijai, kuriame reiškiamas susirūpinimas, kad siūlomi informatorių apsaugos teisės aktų pakeitimai Slovakijoje gali būti nesuderinami su teisinės valstybės principais, apriboti tam tikrų kategorijų pranešėjų apsaugą, būti taikomi atgaline data tebenagrinėjamose bylose ir neigiamai paveikti ES finansinių interesų apsaugą,</w:t>
      </w:r>
    </w:p>
    <w:p w14:paraId="3AC682F4" w14:textId="77777777" w:rsidR="00045D87" w:rsidRPr="00ED0C5B" w:rsidRDefault="00045D87" w:rsidP="00045D87">
      <w:pPr>
        <w:pStyle w:val="NormalHanging12a"/>
      </w:pPr>
      <w:r w:rsidRPr="00ED0C5B">
        <w:t>–</w:t>
      </w:r>
      <w:r w:rsidRPr="00ED0C5B">
        <w:tab/>
        <w:t>atsižvelgdamas į 2026 m. sausio 27 d. Biudžeto kontrolės komiteto viešąjį klausymą dėl ES finansinių interesų apsaugos Slovakijoje,</w:t>
      </w:r>
    </w:p>
    <w:p w14:paraId="6C9A94F8" w14:textId="77777777" w:rsidR="00045D87" w:rsidRPr="00ED0C5B" w:rsidRDefault="00045D87" w:rsidP="00045D87">
      <w:pPr>
        <w:pStyle w:val="NormalHanging12a"/>
      </w:pPr>
      <w:r w:rsidRPr="00ED0C5B">
        <w:t>–</w:t>
      </w:r>
      <w:r w:rsidRPr="00ED0C5B">
        <w:tab/>
        <w:t>atsižvelgdamas į 2025 m. korupcijos suvokimo indeksą, pagal kurį Slovakija surinko 48 balus iš 100 ir užėmė 61 vietą pasaulyje,</w:t>
      </w:r>
    </w:p>
    <w:p w14:paraId="0151CF21" w14:textId="77777777" w:rsidR="00045D87" w:rsidRPr="00ED0C5B" w:rsidRDefault="00045D87" w:rsidP="00045D87">
      <w:pPr>
        <w:pStyle w:val="NormalHanging12a"/>
      </w:pPr>
      <w:r w:rsidRPr="00ED0C5B">
        <w:t>–</w:t>
      </w:r>
      <w:r w:rsidRPr="00ED0C5B">
        <w:tab/>
        <w:t>atsižvelgdamas į Europos lyčių lygybės instituto 2025 m. lyčių lygybės indeksą, pagal kurį Slovakija surinko 57,2 balo iš 100 ir užėmė 20 vietą ES, o tai rodo, kad laikui bėgant ji padarė pažangą, tačiau jos rezultatai tebėra prastesni už ES vidurkį,</w:t>
      </w:r>
    </w:p>
    <w:p w14:paraId="3A83E128" w14:textId="77777777" w:rsidR="00045D87" w:rsidRPr="00ED0C5B" w:rsidRDefault="00045D87" w:rsidP="00045D87">
      <w:pPr>
        <w:pStyle w:val="NormalHanging12a"/>
        <w:rPr>
          <w:szCs w:val="24"/>
        </w:rPr>
      </w:pPr>
      <w:r w:rsidRPr="00ED0C5B">
        <w:t>–</w:t>
      </w:r>
      <w:r w:rsidRPr="00ED0C5B">
        <w:tab/>
        <w:t>atsižvelgdamas į 2026 m. vasario 11 d. Tarybos ir Komisijos pareiškimus dėl teisinės valstybės, pagrindinių teisių ir netinkamo ES lėšų naudojimo Slovakijoje: reikalingas ES atsakas,</w:t>
      </w:r>
    </w:p>
    <w:p w14:paraId="70618FE6" w14:textId="77777777" w:rsidR="00045D87" w:rsidRPr="00ED0C5B" w:rsidRDefault="00045D87" w:rsidP="00045D87">
      <w:pPr>
        <w:pStyle w:val="NormalHanging12a"/>
        <w:rPr>
          <w:szCs w:val="24"/>
        </w:rPr>
      </w:pPr>
      <w:r w:rsidRPr="00ED0C5B">
        <w:t>–</w:t>
      </w:r>
      <w:r w:rsidRPr="00ED0C5B">
        <w:tab/>
        <w:t>atsižvelgdamas į savo 2026 m. balandžio 29 d. rezoliuciją su pastabomis, sudarančiomis neatskiriamą sprendimų dėl Europos Sąjungos 2024 finansinių metų bendrojo biudžeto įvykdymo patvirtinimo, III skirsnis – Komisija, vykdomosios įstaigos ir devintasis, dešimtasis ir vienuoliktasis Europos plėtros fondai, dalį</w:t>
      </w:r>
      <w:r w:rsidRPr="00ED0C5B">
        <w:rPr>
          <w:rStyle w:val="FootnoteReference"/>
          <w:szCs w:val="24"/>
        </w:rPr>
        <w:footnoteReference w:id="8"/>
      </w:r>
      <w:r w:rsidRPr="00ED0C5B">
        <w:t>,</w:t>
      </w:r>
    </w:p>
    <w:p w14:paraId="69DA6416" w14:textId="77777777" w:rsidR="00045D87" w:rsidRPr="00ED0C5B" w:rsidRDefault="00045D87" w:rsidP="00045D87">
      <w:pPr>
        <w:pStyle w:val="NormalHanging12a"/>
      </w:pPr>
      <w:r w:rsidRPr="00ED0C5B">
        <w:t>–</w:t>
      </w:r>
      <w:r w:rsidRPr="00ED0C5B">
        <w:tab/>
        <w:t>atsižvelgdamas į Darbo tvarkos taisyklių 136 straipsnio 2 dalį,</w:t>
      </w:r>
    </w:p>
    <w:p w14:paraId="7A3E91CE" w14:textId="77777777" w:rsidR="00045D87" w:rsidRPr="00ED0C5B" w:rsidRDefault="00045D87" w:rsidP="00045D87">
      <w:pPr>
        <w:pStyle w:val="NormalHanging12a"/>
        <w:rPr>
          <w:spacing w:val="-2"/>
          <w:szCs w:val="24"/>
        </w:rPr>
      </w:pPr>
      <w:r w:rsidRPr="00ED0C5B">
        <w:t>A.</w:t>
      </w:r>
      <w:r w:rsidRPr="00ED0C5B">
        <w:rPr>
          <w:snapToGrid w:val="0"/>
        </w:rPr>
        <w:tab/>
      </w:r>
      <w:r w:rsidRPr="00ED0C5B">
        <w:t>kadangi ES grindžiama pagarbos žmogaus orumui, laisvės, demokratijos, lygybės, teisinės valstybės ir pagarbos žmogaus teisėms, įskaitant mažumoms priklausančių asmenų teises, vertybėmis, kaip išdėstyta ES sutarties 2 straipsnyje ir atspindima Chartijoje bei įtvirtinta tarptautinėse žmogaus teisių sutartyse; kadangi šios vertybės yra bendros visoms valstybėms narėms, tad ES ir kiekviena valstybė narė atskirai turi nuosekliai jų laikytis ir aktyviai propaguoti visose savo politikos srityse – tiek vidaus, tiek išorės; kadangi valstybės narės turėtų užtikrinti, kad nebūtų ES sutarties 2 straipsnyje įtvirtintų vertybių apsaugos regreso; kadangi kaip nors pamynus šias vertybes kyla pavojus ES gyventojų teisėms ir laisvėms;</w:t>
      </w:r>
    </w:p>
    <w:p w14:paraId="4D6C88AA" w14:textId="77777777" w:rsidR="00045D87" w:rsidRPr="00ED0C5B" w:rsidRDefault="00045D87" w:rsidP="00045D87">
      <w:pPr>
        <w:pStyle w:val="NormalHanging12a"/>
        <w:rPr>
          <w:spacing w:val="-2"/>
          <w:szCs w:val="24"/>
        </w:rPr>
      </w:pPr>
      <w:r w:rsidRPr="00ED0C5B">
        <w:rPr>
          <w:snapToGrid w:val="0"/>
        </w:rPr>
        <w:t>B.</w:t>
      </w:r>
      <w:r w:rsidRPr="00ED0C5B">
        <w:rPr>
          <w:snapToGrid w:val="0"/>
        </w:rPr>
        <w:tab/>
      </w:r>
      <w:r w:rsidRPr="00ED0C5B">
        <w:t>kadangi ES sutarties 6 straipsnio 3 dalyje pripažįstama, kad pagrindinės teisės, kurios garantuojamos EŽTK ir kurios kyla iš valstybėms narėms bendrų konstitucinių tradicijų, sudaro ES teisės bendruosius principus;</w:t>
      </w:r>
    </w:p>
    <w:p w14:paraId="57C3D346" w14:textId="77777777" w:rsidR="00045D87" w:rsidRPr="00ED0C5B" w:rsidRDefault="00045D87" w:rsidP="00045D87">
      <w:pPr>
        <w:pStyle w:val="NormalHanging12a"/>
        <w:rPr>
          <w:spacing w:val="-2"/>
          <w:szCs w:val="24"/>
        </w:rPr>
      </w:pPr>
      <w:r w:rsidRPr="00ED0C5B">
        <w:rPr>
          <w:snapToGrid w:val="0"/>
        </w:rPr>
        <w:t>C.</w:t>
      </w:r>
      <w:r w:rsidRPr="00ED0C5B">
        <w:rPr>
          <w:snapToGrid w:val="0"/>
        </w:rPr>
        <w:tab/>
      </w:r>
      <w:r w:rsidRPr="00ED0C5B">
        <w:t xml:space="preserve">kadangi ES veikimas priklauso nuo valstybių narių tarpusavio pasitikėjimo, grindžiamo </w:t>
      </w:r>
      <w:r w:rsidRPr="00ED0C5B">
        <w:lastRenderedPageBreak/>
        <w:t>prielaida, kad jos puoselėja demokratiją, teisinę valstybę ir pagrindines teises, kurias garantuoja EŽTK ir Chartija;</w:t>
      </w:r>
    </w:p>
    <w:p w14:paraId="0E8D0564" w14:textId="77777777" w:rsidR="00045D87" w:rsidRPr="00ED0C5B" w:rsidRDefault="00045D87" w:rsidP="00045D87">
      <w:pPr>
        <w:pStyle w:val="NormalHanging12a"/>
        <w:rPr>
          <w:szCs w:val="24"/>
        </w:rPr>
      </w:pPr>
      <w:r w:rsidRPr="00ED0C5B">
        <w:rPr>
          <w:snapToGrid w:val="0"/>
        </w:rPr>
        <w:t>D.</w:t>
      </w:r>
      <w:r w:rsidRPr="00ED0C5B">
        <w:rPr>
          <w:snapToGrid w:val="0"/>
        </w:rPr>
        <w:tab/>
      </w:r>
      <w:r w:rsidRPr="00ED0C5B">
        <w:t>kadangi DRFMG faktų nustatymo misija į Slovakiją 2025 m. birželio 1–3 d. išreiškė didelį susirūpinimą dėl baudžiamosios teisės reformų, kuriomis silpninamos kovos su korupcija pastangos, trumpinami senaties terminai ir taikomos paspartintos procedūros tinkamai nepasikonsultavus; kadangi misija taip pat atkreipė dėmesį į riziką, susijusią su baudžiamojo persekiojimo veiksmų laisve, išsamios kovos su korupcija strategijos nebuvimu, didėjančiu spaudimu teisminėms institucijoms, žiniasklaidai ir pilietinei visuomenei, mažėjančia žiniasklaidos laisve ir pasiūlymais, kuriais ginčijama ES teisės viršenybė; kadangi visų pirma buvo pažymėta, jog kova su korupcija nebėra vyriausybės prioritetas, o korupcijos bylų keliama mažiau ne dėl sumažėjusio korupcijos lygio, o dėl silpnesnio vykdymo užtikrinimo, ir kad nebus nagrinėjamos jokios svarbios naujos bylos, išskyrus bylas, susijusias su ankstesne ministro pirmininko vyriausybe; kadangi vertinama, jog 1 324 nuteistiesiems neva buvo naudingos teisinės reformos ir kad 446 iš jų buvo paleisti anksčiau laiko, taip pat kad daugelis jų yra politiškai susiję;</w:t>
      </w:r>
    </w:p>
    <w:p w14:paraId="53148274" w14:textId="77777777" w:rsidR="00045D87" w:rsidRPr="00ED0C5B" w:rsidRDefault="00045D87" w:rsidP="00045D87">
      <w:pPr>
        <w:pStyle w:val="NormalHanging12a"/>
        <w:rPr>
          <w:spacing w:val="-2"/>
        </w:rPr>
      </w:pPr>
      <w:r w:rsidRPr="00ED0C5B">
        <w:rPr>
          <w:snapToGrid w:val="0"/>
        </w:rPr>
        <w:t>E.</w:t>
      </w:r>
      <w:r w:rsidRPr="00ED0C5B">
        <w:rPr>
          <w:snapToGrid w:val="0"/>
        </w:rPr>
        <w:tab/>
      </w:r>
      <w:r w:rsidRPr="00ED0C5B">
        <w:t>kadangi Biudžeto kontrolės komitetas po 2025 m. gegužės 26–28 d. komandiruotės į Slovakiją išreiškė didelį susirūpinimą dėl kontrolės ir audito sistemų veikimo, ES lėšų valdymo ir platesnės teisinės valstybės aplinkos; kadangi komandiruotė vyko įtemptos politinės aplinkos sąlygomis ir prieš jos narius buvo vykdomi vieši išpuoliai, taip pat atvėrė rimtas problemas, susijusias su skaidrumu, prieštaringa valdžios institucijų ir suinteresuotųjų subjektų pateikta informacija ir pilietinei visuomenei bei tiriamosios žurnalistikos atstovams priešiška aplinka; kadangi jos metu taip pat atkreiptas dėmesys į riziką, susijusią su ES lėšų valdymu, įskaitant struktūrinius priežiūros mechanizmų trūkumus, nepakankamas apsaugos nuo sukčiavimo priemones ir sumažėjusius tyrimo pajėgumus, nes buvo panaikinta Specialioji prokuratūra ir reformuotas Baudžiamasis kodeksas, o tai kelia nerimą, nes, preliminariais statistiniais duomenimis, pirmaisiais 2025 m. mėnesiais tariamai buvo pateikti tik du kaltinimai dėl nusikalstamų veikų, panašių į tas, kurias anksčiau tyrė Specialioji prokuratūra; kadangi Specialioji prokuratūra anksčiau kasmet ištirdavo po 120–150 kaltinimų; kadangi per komandiruotę taip pat buvo atskleista veiksmingo ES lėšų naudojimo pažeidžiamoms bendruomenėms trūkumų, visų pirma naudojant romų bendruomenėms skirtas ES lėšas;</w:t>
      </w:r>
    </w:p>
    <w:p w14:paraId="54DD6DA9" w14:textId="77777777" w:rsidR="00045D87" w:rsidRPr="00ED0C5B" w:rsidRDefault="00045D87" w:rsidP="00045D87">
      <w:pPr>
        <w:pStyle w:val="NormalHanging12a"/>
        <w:rPr>
          <w:spacing w:val="-2"/>
        </w:rPr>
      </w:pPr>
      <w:r w:rsidRPr="00ED0C5B">
        <w:rPr>
          <w:snapToGrid w:val="0"/>
        </w:rPr>
        <w:t>F.</w:t>
      </w:r>
      <w:r w:rsidRPr="00ED0C5B">
        <w:rPr>
          <w:snapToGrid w:val="0"/>
        </w:rPr>
        <w:tab/>
      </w:r>
      <w:r w:rsidRPr="00ED0C5B">
        <w:t>kadangi 2025 m. rugsėjo 26 d. priimtu Slovakijos Konstitucijos pakeitimu į jos 7 straipsnį buvo įtrauktos papildomos nuostatos dėl nacionalinės tapatybės, pagal kurias Slovakijos valdžios institucijos, įskaitant teismus, gali vertinti, ar ir kokiu mastu Slovakijoje galioja ES teisė, įskaitant Europos Sąjungos Teisingumo Teismo (ESTT) sprendimus; kadangi Europos Tarybos žmogaus teisių komisaras, Venecijos komisija ir JT žmogaus teisių komitetas išreiškė susirūpinimą dėl šio pakeitimo; kadangi 2025 m. lapkričio 21 d. Komisija nusprendė pradėti pažeidimo nagrinėjimo procedūrą išsiųsdama Slovakijai oficialų pranešimą dėl pagrindinių ES teisės principų, visų pirma ES teisės viršenybės, autonomijos, veiksmingumo ir vienodo taikymo principų, pažeidimo;</w:t>
      </w:r>
    </w:p>
    <w:p w14:paraId="4DC4DE36" w14:textId="77777777" w:rsidR="00045D87" w:rsidRPr="00ED0C5B" w:rsidRDefault="00045D87" w:rsidP="00045D87">
      <w:pPr>
        <w:pStyle w:val="NormalHanging12a"/>
        <w:rPr>
          <w:spacing w:val="-2"/>
        </w:rPr>
      </w:pPr>
      <w:r w:rsidRPr="00ED0C5B">
        <w:rPr>
          <w:snapToGrid w:val="0"/>
        </w:rPr>
        <w:t>G.</w:t>
      </w:r>
      <w:r w:rsidRPr="00ED0C5B">
        <w:rPr>
          <w:snapToGrid w:val="0"/>
        </w:rPr>
        <w:tab/>
      </w:r>
      <w:r w:rsidRPr="00ED0C5B">
        <w:t xml:space="preserve">kadangi teisingumo sistema ir toliau patiria sunkumų, susijusių su jos veiksmingumu, ypač administracinėse bylose; kadangi 2025 m. teisinės valstybės principo taikymo ataskaitoje Komisija rekomendavo Slovakijai nustatyti priemones, kuriomis būtų užtikrintos pakankamos nepriklausomumo garantijos, susijusios su Teisėjų tarybos narių, visų pirma tų, kurių neišrinko teisėjai, atleidimu, atsižvelgiant į europinius teisėjų </w:t>
      </w:r>
      <w:r w:rsidRPr="00ED0C5B">
        <w:lastRenderedPageBreak/>
        <w:t>tarybų nepriklausomumo standartus, ir užtikrinti, kad būtų nustatytos pakankamos apsaugos priemonės ir jų būtų tinkamai laikomasi vertinant teisėjų baudžiamąją atsakomybę už „piktnaudžiavimo teise“ nusikaltimą jų teismo sprendimuose;</w:t>
      </w:r>
    </w:p>
    <w:p w14:paraId="148D9416" w14:textId="77777777" w:rsidR="00045D87" w:rsidRPr="00ED0C5B" w:rsidRDefault="00045D87" w:rsidP="00045D87">
      <w:pPr>
        <w:pStyle w:val="NormalHanging12a"/>
        <w:rPr>
          <w:spacing w:val="-2"/>
          <w:szCs w:val="24"/>
        </w:rPr>
      </w:pPr>
      <w:r w:rsidRPr="00ED0C5B">
        <w:rPr>
          <w:snapToGrid w:val="0"/>
        </w:rPr>
        <w:t>H.</w:t>
      </w:r>
      <w:r w:rsidRPr="00ED0C5B">
        <w:rPr>
          <w:snapToGrid w:val="0"/>
        </w:rPr>
        <w:tab/>
      </w:r>
      <w:r w:rsidRPr="00ED0C5B">
        <w:t>kadangi 2025 m. teisinės valstybės principo taikymo ataskaitoje Komisija rekomendavo Slovakijai pateikti pasiūlymų, kaip reguliuoti lobistinę veiklą ir stiprinti turto deklaravimo ir tikrinimo sistemą, ir toliau dėti pastangas reformuoti interesų konfliktų taisykles ir užtikrinti veiksmingus ir nepriklausomus aukšto lygio korupcijos bylų tyrimus ir baudžiamąjį persekiojimą už jas, kad būtų pasiekta patikimų rezultatų, be kita ko, užkertant kelią bet kokiam nederamam kišimuisi ir apribojant naudojimąsi generalinio prokuroro įgaliojimais panaikinti galutinius tyrimo ir baudžiamojo persekiojimo sprendimus;</w:t>
      </w:r>
    </w:p>
    <w:p w14:paraId="1676DB00" w14:textId="77777777" w:rsidR="00045D87" w:rsidRPr="00ED0C5B" w:rsidRDefault="00045D87" w:rsidP="00045D87">
      <w:pPr>
        <w:pStyle w:val="NormalHanging12a"/>
      </w:pPr>
      <w:r w:rsidRPr="00ED0C5B">
        <w:rPr>
          <w:snapToGrid w:val="0"/>
        </w:rPr>
        <w:t>I.</w:t>
      </w:r>
      <w:r w:rsidRPr="00ED0C5B">
        <w:rPr>
          <w:snapToGrid w:val="0"/>
        </w:rPr>
        <w:tab/>
      </w:r>
      <w:r w:rsidRPr="00ED0C5B">
        <w:t>kadangi 2025 m. gegužės 8 d., atsižvelgdama į Europos kovos su sukčiavimu tarnybos (OLAF) rekomendaciją, Komisija priėmė įgyvendinimo sprendimą dėl paramos pagal Ekonomikos gaivinimo ir atsparumo didinimo priemonę sumažinimo interesų konflikto atveju pagal Reglamento (ES) 2021/241 22 straipsnio 5 dalį ir Slovakijos finansavimo susitarimo (C(2025)0294) 19 straipsnio 1 dalį ir 2 dalies a punktą;</w:t>
      </w:r>
    </w:p>
    <w:p w14:paraId="68BC3BA8" w14:textId="77777777" w:rsidR="00045D87" w:rsidRPr="00ED0C5B" w:rsidRDefault="00045D87" w:rsidP="00045D87">
      <w:pPr>
        <w:pStyle w:val="NormalHanging12a"/>
        <w:rPr>
          <w:spacing w:val="-2"/>
          <w:szCs w:val="24"/>
        </w:rPr>
      </w:pPr>
      <w:r w:rsidRPr="00ED0C5B">
        <w:rPr>
          <w:snapToGrid w:val="0"/>
        </w:rPr>
        <w:t>J.</w:t>
      </w:r>
      <w:r w:rsidRPr="00ED0C5B">
        <w:rPr>
          <w:snapToGrid w:val="0"/>
        </w:rPr>
        <w:tab/>
      </w:r>
      <w:r w:rsidRPr="00ED0C5B">
        <w:t xml:space="preserve">kadangi 2025 m. birželio 6 d. Kovos su korupcija valstybių grupė (GRECO) priėmė savo </w:t>
      </w:r>
      <w:r w:rsidRPr="00ED0C5B">
        <w:rPr>
          <w:i/>
          <w:iCs/>
        </w:rPr>
        <w:t>ad hoc</w:t>
      </w:r>
      <w:r w:rsidRPr="00ED0C5B">
        <w:t xml:space="preserve"> ataskaitą dėl Slovakijos Respublikos, kurioje, atsižvelgdama į išvadas dėl paspartintos teisėkūros procedūros naudojimo, senaties terminų sutrumpinimo, baudžiamųjų nuosprendžių sušvelninimo, institucinių reformų, darančių poveikį prokuratūrai ir policijos pajėgoms, taip pat „piktnaudžiavimo teise“ nusikalstamos veikos taikymo, pateikė keletą rekomendacijų; kadangi 2026 m. kovo 6–7 d. Venecijos komisija ir Europos Tarybos Žmogaus teisių ir teisinės valstybės generalinis direktoratas nurodė, kad piktnaudžiavimo teise nusikalstama veika kelia susirūpinimą, nes dėl jos kyla rizika, kad bus pakenkta teismų nepriklausomumui, ir pakartojo, kad pagrindinė teisių gynimo priemonė turėtų būti įprasta apeliacinė peržiūra;</w:t>
      </w:r>
    </w:p>
    <w:p w14:paraId="18497FC3" w14:textId="77777777" w:rsidR="00045D87" w:rsidRPr="00ED0C5B" w:rsidRDefault="00045D87" w:rsidP="00045D87">
      <w:pPr>
        <w:pStyle w:val="NormalHanging12a"/>
        <w:rPr>
          <w:spacing w:val="-2"/>
          <w:szCs w:val="24"/>
        </w:rPr>
      </w:pPr>
      <w:r w:rsidRPr="00ED0C5B">
        <w:rPr>
          <w:snapToGrid w:val="0"/>
        </w:rPr>
        <w:t>K.</w:t>
      </w:r>
      <w:r w:rsidRPr="00ED0C5B">
        <w:rPr>
          <w:snapToGrid w:val="0"/>
        </w:rPr>
        <w:tab/>
      </w:r>
      <w:r w:rsidRPr="00ED0C5B">
        <w:t>kadangi 2025 m. teisinės valstybės principo taikymo ataskaitoje Komisija rekomendavo Slovakijai sugriežtinti taisykles ir mechanizmus siekiant atkurti ir toliau apsaugoti visuomeninės žiniasklaidos nepriklausomą valdymą ir redakcinę nepriklausomybę, atsižvelgiant į Europos visuomeninės žiniasklaidos standartus, taip pat paskatinti teisėkūros ir kitų apsaugos priemonių nustatymo procesą, kad būtų padidintas žurnalistų fizinis saugumas ir pagerinta darbo aplinka, įskaitant garbės ir orumo įžeidimo įstatymo reformą, atsižvelgiant į Europos žurnalistų apsaugos standartus; kadangi Slovakijos vyriausybė ir parlamentas 2025 m. paskyrė Slovakijos televizijos ir radijo (STVR) tarybą ir ją sudaro tik valdančiosios koalicijos paskirti asmenys – tai matyti ir iš to, kas pasirinktas eiti generalinio direktoriaus pareigas, ir iš didelio STVR darbuotojams daromo spaudimo dėl redakcinio turinio;</w:t>
      </w:r>
    </w:p>
    <w:p w14:paraId="56B72C9D" w14:textId="77777777" w:rsidR="00045D87" w:rsidRPr="00ED0C5B" w:rsidRDefault="00045D87" w:rsidP="00045D87">
      <w:pPr>
        <w:pStyle w:val="NormalHanging12a"/>
        <w:rPr>
          <w:szCs w:val="24"/>
        </w:rPr>
      </w:pPr>
      <w:r w:rsidRPr="00ED0C5B">
        <w:rPr>
          <w:snapToGrid w:val="0"/>
        </w:rPr>
        <w:t>L.</w:t>
      </w:r>
      <w:r w:rsidRPr="00ED0C5B">
        <w:rPr>
          <w:snapToGrid w:val="0"/>
        </w:rPr>
        <w:tab/>
      </w:r>
      <w:r w:rsidRPr="00ED0C5B">
        <w:t>kadangi 2026 m. vasario 11 d. Slovakijos Konstitucinis Teismas nusprendė prašyti ESTT priimti prejudicinį sprendimą (C-107/26) dėl Slovakijos televizijos ir radijo įstatymo suderinamumo su Europos žiniasklaidos laisvės aktu</w:t>
      </w:r>
      <w:r w:rsidRPr="00ED0C5B">
        <w:rPr>
          <w:rStyle w:val="FootnoteReference"/>
          <w:szCs w:val="24"/>
        </w:rPr>
        <w:footnoteReference w:id="9"/>
      </w:r>
      <w:r w:rsidRPr="00ED0C5B">
        <w:t>;</w:t>
      </w:r>
    </w:p>
    <w:p w14:paraId="4C375588" w14:textId="77777777" w:rsidR="00045D87" w:rsidRPr="00ED0C5B" w:rsidRDefault="00045D87" w:rsidP="00045D87">
      <w:pPr>
        <w:pStyle w:val="NormalHanging12a"/>
        <w:rPr>
          <w:spacing w:val="-2"/>
          <w:szCs w:val="24"/>
        </w:rPr>
      </w:pPr>
      <w:r w:rsidRPr="00ED0C5B">
        <w:rPr>
          <w:snapToGrid w:val="0"/>
        </w:rPr>
        <w:lastRenderedPageBreak/>
        <w:t>M.</w:t>
      </w:r>
      <w:r w:rsidRPr="00ED0C5B">
        <w:rPr>
          <w:snapToGrid w:val="0"/>
        </w:rPr>
        <w:tab/>
      </w:r>
      <w:r w:rsidRPr="00ED0C5B">
        <w:t>kadangi praeityje vieši politikų išpuoliai prieš žurnalistus, pilietinę visuomenę ir pažeidžiamas grupes Slovakijoje prisidėjo prie tam tikro neapykantos kalbos normalizavimo ir tokiomis aplinkybėmis buvo įvykdyti sunkūs smurtiniai nusikaltimai, įskaitant Jáno Kuciako ir Martinos Kušnírovos nužudymą; kadangi Jáno Kuciako ir Martinos Kušnírovos nužudymas yra viena sudėtingiausių tiriamų bylų; kadangi šią bylą prižiūrėjo Specialioji prokuratūra, o dabar už ją atsako generalinis prokuroras;</w:t>
      </w:r>
    </w:p>
    <w:p w14:paraId="01D91BBA" w14:textId="77777777" w:rsidR="00045D87" w:rsidRPr="00ED0C5B" w:rsidRDefault="00045D87" w:rsidP="00045D87">
      <w:pPr>
        <w:pStyle w:val="NormalHanging12a"/>
        <w:rPr>
          <w:spacing w:val="-2"/>
          <w:szCs w:val="24"/>
        </w:rPr>
      </w:pPr>
      <w:r w:rsidRPr="00ED0C5B">
        <w:rPr>
          <w:snapToGrid w:val="0"/>
        </w:rPr>
        <w:t>N.</w:t>
      </w:r>
      <w:r w:rsidRPr="00ED0C5B">
        <w:rPr>
          <w:snapToGrid w:val="0"/>
        </w:rPr>
        <w:tab/>
      </w:r>
      <w:r w:rsidRPr="00ED0C5B">
        <w:t>kadangi 2025 m. teisinės valstybės principo taikymo ataskaitoje Komisija rekomendavo Slovakijai užtikrinti veiksmingas viešas konsultacijas ir suinteresuotųjų subjektų dalyvavimą teisėkūros procese, be kita ko, sprendžiant dažno paspartintos procedūros naudojimo klausimą; kadangi 2025 m. 20 proc. Slovakijos parlamento priimtų įstatymų buvo aptarti ir priimti pagal paspartintą teisėkūros procedūrą;</w:t>
      </w:r>
    </w:p>
    <w:p w14:paraId="01094F78" w14:textId="77777777" w:rsidR="00045D87" w:rsidRPr="00ED0C5B" w:rsidRDefault="00045D87" w:rsidP="00045D87">
      <w:pPr>
        <w:pStyle w:val="NormalHanging12a"/>
        <w:rPr>
          <w:spacing w:val="-2"/>
          <w:szCs w:val="24"/>
        </w:rPr>
      </w:pPr>
      <w:r w:rsidRPr="00ED0C5B">
        <w:rPr>
          <w:snapToGrid w:val="0"/>
        </w:rPr>
        <w:t>O.</w:t>
      </w:r>
      <w:r w:rsidRPr="00ED0C5B">
        <w:rPr>
          <w:snapToGrid w:val="0"/>
        </w:rPr>
        <w:tab/>
      </w:r>
      <w:r w:rsidRPr="00ED0C5B">
        <w:t>kadangi 2025 m. gruodžio 12 d. Slovakijos parlamentas, taikydamas paspartintą procedūrą, pakeitė informatorių apie pažeidimus apsaugos teisės aktus; kadangi 2025 m. gruodžio 17 d. Slovakijos Konstitucinis Teismas sustabdė šių pakeitimų galiojimą; kadangi 2026 m. sausio 30 d. Komisija nusprendė pradėti pažeidimo nagrinėjimo procedūrą ir išsiuntė Slovakijai oficialų pranešimą dėl ES informatorių apsaugos taisyklių pažeidimo;</w:t>
      </w:r>
    </w:p>
    <w:p w14:paraId="5D3A581B" w14:textId="77777777" w:rsidR="00045D87" w:rsidRPr="00ED0C5B" w:rsidRDefault="00045D87" w:rsidP="00045D87">
      <w:pPr>
        <w:pStyle w:val="NormalHanging12a"/>
        <w:rPr>
          <w:spacing w:val="-2"/>
          <w:szCs w:val="24"/>
        </w:rPr>
      </w:pPr>
      <w:r w:rsidRPr="00ED0C5B">
        <w:rPr>
          <w:snapToGrid w:val="0"/>
        </w:rPr>
        <w:t>P.</w:t>
      </w:r>
      <w:r w:rsidRPr="00ED0C5B">
        <w:rPr>
          <w:snapToGrid w:val="0"/>
        </w:rPr>
        <w:tab/>
      </w:r>
      <w:r w:rsidRPr="00ED0C5B">
        <w:t>kadangi 2025 m. balandžio 16 d. Slovakijos parlamentas iš dalies pakeitė teisės aktus dėl ne pelno organizacijų; kadangi Europos Tarybos žmogaus teisių komisaras ir Venecijos komisija pareiškė susirūpinimą dėl pakeitimo atitikties EŽTK; kadangi prieš nevyriausybines organizacijas (NVO) vykdomos šmeižto kampanijos, joms grasinama ir jos bauginamos</w:t>
      </w:r>
      <w:r w:rsidRPr="00ED0C5B">
        <w:rPr>
          <w:rStyle w:val="FootnoteReference"/>
          <w:color w:val="000000"/>
          <w:spacing w:val="-2"/>
        </w:rPr>
        <w:footnoteReference w:id="10"/>
      </w:r>
      <w:r w:rsidRPr="00ED0C5B">
        <w:t>; kadangi 2025 m. gruodžio 17 d. Konstitucinis Teismas priėjo prie išvados, kad pakeitimas nesuderinamas su Slovakijos Konstitucija ar EŽTK; kadangi, nepaisant šio sprendimo, Slovakijos valdžios institucijos pradėjo taikyti alternatyvias priemones, kuriomis didinama pilietinės visuomenės organizacijų administracinė priežiūra, ir iš dalies pakeitė skaidrumo taisykles, o tai kelia nerimą dėl pilietinei erdvei nuolat daromo spaudimo;</w:t>
      </w:r>
    </w:p>
    <w:p w14:paraId="2252E669" w14:textId="77777777" w:rsidR="00045D87" w:rsidRPr="00ED0C5B" w:rsidRDefault="00045D87" w:rsidP="00045D87">
      <w:pPr>
        <w:pStyle w:val="NormalHanging12a"/>
        <w:rPr>
          <w:spacing w:val="-2"/>
          <w:szCs w:val="24"/>
        </w:rPr>
      </w:pPr>
      <w:r w:rsidRPr="00ED0C5B">
        <w:rPr>
          <w:snapToGrid w:val="0"/>
        </w:rPr>
        <w:t>Q.</w:t>
      </w:r>
      <w:r w:rsidRPr="00ED0C5B">
        <w:rPr>
          <w:snapToGrid w:val="0"/>
        </w:rPr>
        <w:tab/>
      </w:r>
      <w:r w:rsidRPr="00ED0C5B">
        <w:t>kadangi JT žmogaus teisių ekspertai ir JT žmogaus teisių komitetas išreiškė susirūpinimą dėl Slovakijoje vykdomo NVO, žurnalistų ir pilietinės visuomenės organizacijų stigmatizavimo ir persekiojimo, taip pat dėl pilietinės erdvės ribojimo; kadangi minėtas komitetas paragino Slovakiją peržiūrėti ir iš dalies pakeisti savo teisės aktus užtikrinant, kad būtų visapusiškai apsaugota teisė laisvai rinktis į taikius susirinkimus, taip pat garantuoti tinkamą NVO sistemą; kadangi Slovakijai ir toliau taikoma sustiprinta procedūra, susijusi su Europos Žmogaus Teisių Teismo sprendimų vykdymu, nes ji stokoja apsaugos nuo slapto sekimo priemonių</w:t>
      </w:r>
      <w:r w:rsidRPr="00ED0C5B">
        <w:rPr>
          <w:rStyle w:val="FootnoteReference"/>
          <w:color w:val="000000"/>
          <w:spacing w:val="-2"/>
        </w:rPr>
        <w:footnoteReference w:id="11"/>
      </w:r>
      <w:r w:rsidRPr="00ED0C5B">
        <w:t>;</w:t>
      </w:r>
    </w:p>
    <w:p w14:paraId="615E1260" w14:textId="77777777" w:rsidR="00045D87" w:rsidRPr="00ED0C5B" w:rsidRDefault="00045D87" w:rsidP="00045D87">
      <w:pPr>
        <w:pStyle w:val="NormalHanging12a"/>
        <w:rPr>
          <w:szCs w:val="24"/>
        </w:rPr>
      </w:pPr>
      <w:r w:rsidRPr="00ED0C5B">
        <w:rPr>
          <w:snapToGrid w:val="0"/>
        </w:rPr>
        <w:t>R.</w:t>
      </w:r>
      <w:r w:rsidRPr="00ED0C5B">
        <w:rPr>
          <w:snapToGrid w:val="0"/>
        </w:rPr>
        <w:tab/>
      </w:r>
      <w:r w:rsidRPr="00ED0C5B">
        <w:t xml:space="preserve">kadangi 2025 m. gruodžio 11 d. Slovakijos parlamentas iš dalies pakeitė baudžiamąjį kodeksą siekdamas kriminalizuoti trukdymą vykdyti rinkimų kampaniją, „susijusį su užsienio valdžia ar užsienio agentu“; kadangi 2026 m. kovo 27 d. buvo pateiktas </w:t>
      </w:r>
      <w:r w:rsidRPr="00ED0C5B">
        <w:lastRenderedPageBreak/>
        <w:t>pasiūlymas iš dalies pakeisti teisės aktus dėl naudojimosi balsavimo teise sąlygų siekiant pakeisti balsavimą paštu iš užsienio fiziniu balsavimu diplomatinėse ir konsulinėse atstovybėse;</w:t>
      </w:r>
    </w:p>
    <w:p w14:paraId="70F3CA9C" w14:textId="77777777" w:rsidR="00045D87" w:rsidRPr="00ED0C5B" w:rsidRDefault="00045D87" w:rsidP="00045D87">
      <w:pPr>
        <w:pStyle w:val="NormalHanging12a"/>
        <w:rPr>
          <w:spacing w:val="-2"/>
        </w:rPr>
      </w:pPr>
      <w:r w:rsidRPr="00ED0C5B">
        <w:rPr>
          <w:snapToGrid w:val="0"/>
        </w:rPr>
        <w:t>S.</w:t>
      </w:r>
      <w:r w:rsidRPr="00ED0C5B">
        <w:rPr>
          <w:snapToGrid w:val="0"/>
        </w:rPr>
        <w:tab/>
      </w:r>
      <w:r w:rsidRPr="00ED0C5B">
        <w:t>kadangi 2025 m. rugsėjo 26 d. priimtais Konstitucijos pakeitimais įtrauktos nuostatos, susijusios su įvaikinimu, švietimo veikla ir konstitucine lyties apibrėžtimi; kadangi Europos Tarybos žmogaus teisių komisaras ir Venecijos komisija pareiškė susirūpinimą dėl šių pakeitimų;</w:t>
      </w:r>
    </w:p>
    <w:p w14:paraId="53B0A56D" w14:textId="77777777" w:rsidR="00045D87" w:rsidRPr="00ED0C5B" w:rsidRDefault="00045D87" w:rsidP="00045D87">
      <w:pPr>
        <w:pStyle w:val="NormalHanging12a"/>
        <w:rPr>
          <w:spacing w:val="-2"/>
          <w:szCs w:val="24"/>
        </w:rPr>
      </w:pPr>
      <w:r w:rsidRPr="00ED0C5B">
        <w:rPr>
          <w:snapToGrid w:val="0"/>
        </w:rPr>
        <w:t>T.</w:t>
      </w:r>
      <w:r w:rsidRPr="00ED0C5B">
        <w:rPr>
          <w:snapToGrid w:val="0"/>
        </w:rPr>
        <w:tab/>
      </w:r>
      <w:r w:rsidRPr="00ED0C5B">
        <w:t>kadangi, kaip matyti iš Europos Žmogaus Teisių Teismo praktikos</w:t>
      </w:r>
      <w:r w:rsidRPr="00ED0C5B">
        <w:rPr>
          <w:rStyle w:val="FootnoteReference"/>
          <w:color w:val="000000"/>
          <w:spacing w:val="-2"/>
        </w:rPr>
        <w:footnoteReference w:id="12"/>
      </w:r>
      <w:r w:rsidRPr="00ED0C5B">
        <w:t>, Slovakijoje esama sisteminių trūkumų, trukdančių veiksmingai tirti smurto šeimoje atvejus ir vykdyti baudžiamąjį persekiojimą už jį;</w:t>
      </w:r>
    </w:p>
    <w:p w14:paraId="3AC73006" w14:textId="77777777" w:rsidR="00045D87" w:rsidRPr="00ED0C5B" w:rsidRDefault="00045D87" w:rsidP="00045D87">
      <w:pPr>
        <w:pStyle w:val="NormalHanging12a"/>
        <w:rPr>
          <w:spacing w:val="-2"/>
          <w:szCs w:val="24"/>
        </w:rPr>
      </w:pPr>
      <w:r w:rsidRPr="00ED0C5B">
        <w:rPr>
          <w:snapToGrid w:val="0"/>
        </w:rPr>
        <w:t>U.</w:t>
      </w:r>
      <w:r w:rsidRPr="00ED0C5B">
        <w:rPr>
          <w:snapToGrid w:val="0"/>
        </w:rPr>
        <w:tab/>
      </w:r>
      <w:r w:rsidRPr="00ED0C5B">
        <w:t>kadangi ESTT vis dar nagrinėjama byla C-799/23 Komisija prieš Slovakiją; kadangi Slovakijai ir toliau taikoma sustiprinta procedūra, susijusi su Europos Žmogaus Teisių Teismo sprendimo dėl romų vaikų diskriminacinio priėmimo į specialias pradinės mokyklos klases, skirtas intelekto negalią turintiems vaikams, ir jų mokyklinio lavinimo jose</w:t>
      </w:r>
      <w:r w:rsidRPr="00ED0C5B">
        <w:rPr>
          <w:rStyle w:val="FootnoteReference"/>
          <w:color w:val="000000"/>
          <w:spacing w:val="-2"/>
        </w:rPr>
        <w:footnoteReference w:id="13"/>
      </w:r>
      <w:r w:rsidRPr="00ED0C5B">
        <w:t xml:space="preserve"> vykdymu; kadangi 2025 m. vasario 25 d. Europos Tarybos žmogaus teisių komisaras paragino skubiai imtis priemonių siekiant spręsti marginalizuotų romų bendruomenių netinkamų gyvenimo sąlygų problemą; kadangi komisaras pateikė rekomendacijas dėl galimybės romų vaikams gauti įtraukų ir kokybišką išsilavinimą užtikrinimo ir jų segregacijos panaikinimo, taip pat dėl veiksmų siekiant kovoti su priešiškumu romams ir jų diskriminacija, ypač viešosios tvarkos palaikymo srityje; kadangi Slovakijai ir toliau taikoma sustiprinta procedūra, susijusi su Europos Žmogaus Teisių Teismo sprendimų dėl policijos elgesio su romais vykdymu</w:t>
      </w:r>
      <w:r w:rsidRPr="00ED0C5B">
        <w:rPr>
          <w:rStyle w:val="FootnoteReference"/>
          <w:color w:val="000000"/>
          <w:spacing w:val="-2"/>
        </w:rPr>
        <w:footnoteReference w:id="14"/>
      </w:r>
      <w:r w:rsidRPr="00ED0C5B">
        <w:t>;</w:t>
      </w:r>
    </w:p>
    <w:p w14:paraId="068A1F77" w14:textId="77777777" w:rsidR="00045D87" w:rsidRPr="00ED0C5B" w:rsidRDefault="00045D87" w:rsidP="00045D87">
      <w:pPr>
        <w:pStyle w:val="NormalHanging12a"/>
        <w:rPr>
          <w:spacing w:val="-2"/>
          <w:szCs w:val="24"/>
        </w:rPr>
      </w:pPr>
      <w:r w:rsidRPr="00ED0C5B">
        <w:rPr>
          <w:snapToGrid w:val="0"/>
        </w:rPr>
        <w:t>V.</w:t>
      </w:r>
      <w:r w:rsidRPr="00ED0C5B">
        <w:rPr>
          <w:snapToGrid w:val="0"/>
        </w:rPr>
        <w:tab/>
      </w:r>
      <w:r w:rsidRPr="00ED0C5B">
        <w:t>kadangi Europos pilietinių laisvių sąjungos 2025 m. teisinės valstybės principo taikymo ataskaitoje</w:t>
      </w:r>
      <w:r w:rsidRPr="00ED0C5B">
        <w:rPr>
          <w:rStyle w:val="FootnoteReference"/>
          <w:color w:val="000000"/>
          <w:spacing w:val="-2"/>
          <w:szCs w:val="24"/>
        </w:rPr>
        <w:footnoteReference w:id="15"/>
      </w:r>
      <w:r w:rsidRPr="00ED0C5B">
        <w:t xml:space="preserve"> akcentuojamos Slovakijoje nuolat kylančios problemos teisminių institucijų nepriklausomumo, kovos su korupcija sistemos, žiniasklaidos laisvės, paspartintų teisėkūros procedūrų naudojimo, pilietinės erdvės ir pagrindinių teisių srityse, visų pirma kiek tai susiję su mažumomis ir pažeidžiamomis grupėmis;</w:t>
      </w:r>
    </w:p>
    <w:p w14:paraId="7BE5BE11" w14:textId="0F60AE11" w:rsidR="00045D87" w:rsidRPr="00ED0C5B" w:rsidRDefault="00045D87" w:rsidP="00045D87">
      <w:pPr>
        <w:pStyle w:val="NormalHanging12a"/>
        <w:rPr>
          <w:spacing w:val="-2"/>
          <w:szCs w:val="24"/>
        </w:rPr>
      </w:pPr>
      <w:r w:rsidRPr="00ED0C5B">
        <w:rPr>
          <w:snapToGrid w:val="0"/>
        </w:rPr>
        <w:t>W.</w:t>
      </w:r>
      <w:r w:rsidRPr="00ED0C5B">
        <w:rPr>
          <w:snapToGrid w:val="0"/>
        </w:rPr>
        <w:tab/>
      </w:r>
      <w:r w:rsidRPr="009E5312">
        <w:t xml:space="preserve">kadangi 2025 m. gruodžio 11 d. Slovakijos parlamentas iš dalies pakeitė baudžiamąjį kodeksą siekdamas kriminalizuoti „po Antrojo pasaulinio karo </w:t>
      </w:r>
      <w:r w:rsidR="009E5312" w:rsidRPr="009E5312">
        <w:t>sudarytų dekretų kvestionavimą</w:t>
      </w:r>
      <w:r w:rsidRPr="00ED0C5B">
        <w:t xml:space="preserve">“; </w:t>
      </w:r>
      <w:r w:rsidR="009E5312" w:rsidRPr="009E5312">
        <w:t xml:space="preserve">kadangi šis neseniai priimtas įstatymas gali turėti atgrasomąjį poveikį saviraiškos laisvei ir akademinei laisvei, kurios yra saugomos pagal Europos Sąjungos pagrindinių teisių chartiją; kadangi tebesitęsiantis žemės konfiskavimas remiantis pirmiau minėtais dekretais, kurie visų pirma buvo taikomi vengrų tautinei mažumai priklausantiems piliečiams, iš tiesų yra žemės grobimo schema, dėl kurios šimtai vertingos žemės savininkų neteko galimybės naudotis žeme ir kuri kelia susirūpinimą dėl teisinio tikrumo ir teisinės valstybės principo laikymosi; </w:t>
      </w:r>
      <w:r w:rsidRPr="009E5312">
        <w:t>kadangi</w:t>
      </w:r>
      <w:r w:rsidRPr="00ED0C5B">
        <w:t xml:space="preserve"> 2022 m. vasario </w:t>
      </w:r>
      <w:r w:rsidRPr="00ED0C5B">
        <w:lastRenderedPageBreak/>
        <w:t>2 d. Tautinių mažumų apsaugos pagrindų konvencijos patariamasis komitetas paragino Slovakijos valdžios institucijas pradėti dialogą su atitinkamų tautinių mažumų atstovais dėl bet kokio galimo neigiamo poveikio, kurį daro 1945 m. reglamentas dėl turto konfiskavimo dabartiniams etninių grupių santykiams;</w:t>
      </w:r>
    </w:p>
    <w:p w14:paraId="37B987F7" w14:textId="77777777" w:rsidR="00045D87" w:rsidRPr="00ED0C5B" w:rsidRDefault="00045D87" w:rsidP="00045D87">
      <w:pPr>
        <w:pStyle w:val="NormalHanging12a"/>
        <w:rPr>
          <w:rFonts w:eastAsiaTheme="majorEastAsia"/>
        </w:rPr>
      </w:pPr>
      <w:r w:rsidRPr="00ED0C5B">
        <w:t>1.</w:t>
      </w:r>
      <w:r w:rsidRPr="00ED0C5B">
        <w:tab/>
        <w:t>reiškia didelį susirūpinimą dėl Slovakijoje blogėjančios demokratijos, teisinės valstybės principo taikymo ir pagrindinių teisių padėties; akcentuoja, kad patikrinamas valstybių narių teisinės valstybės principo ir Chartijos laikymasis turi būti laikomas esmine išankstine sąlyga norint gauti bet kokias ES lėšas; pabrėžia, kad visos iš ES biudžeto finansuojamos programos ir investicijos turi būti vykdomos viešojo intereso labui; pabrėžia, kad sisteminiai teisinės valstybės principo taikymo trūkumai, visų pirma susiję su teisminių institucijų nepriklausomumu ir audito bei kontrolės sistemomis, kelia pavojų ES finansinių interesų apsaugai;</w:t>
      </w:r>
    </w:p>
    <w:p w14:paraId="63A1D6E2" w14:textId="77777777" w:rsidR="00045D87" w:rsidRPr="00ED0C5B" w:rsidRDefault="00045D87" w:rsidP="00045D87">
      <w:pPr>
        <w:pStyle w:val="NormalHanging12a"/>
        <w:rPr>
          <w:rFonts w:eastAsiaTheme="majorEastAsia"/>
        </w:rPr>
      </w:pPr>
      <w:r w:rsidRPr="00ED0C5B">
        <w:t>2.</w:t>
      </w:r>
      <w:r w:rsidRPr="00ED0C5B">
        <w:tab/>
        <w:t>ragina Komisiją įvertinti, ar esama aiškaus pavojaus, kad Slovakija galėtų šiurkščiai pažeisti ES sutarties 2 straipsnyje nurodytas vertybes;</w:t>
      </w:r>
      <w:r w:rsidRPr="00ED0C5B">
        <w:rPr>
          <w:rStyle w:val="Hyperlink0"/>
        </w:rPr>
        <w:t xml:space="preserve"> be to, ragina Komisiją</w:t>
      </w:r>
      <w:r w:rsidRPr="00ED0C5B">
        <w:t xml:space="preserve"> visapusiškai pasinaudoti visomis turimomis priemonėmis siekiant spręsti susirūpinimą keliančius klausimus dėl demokratijos, teisinės valstybės ir pagrindinių teisių, pradedant prevencinėmis ir bendradarbiavimo priemonėmis pagal metinę teisinės valstybės principo taikymo ataskaitą, kad būtų užtikrintas ES sutarties 2 straipsnyje įtvirtintų vertybių laikymasis; vis dėlto pabrėžia, kad tais atvejais, kai susirūpinimą keliantys klausimai lieka neišspręsti ir yra tinkamai pagrįsti, Komisija turėtų nedvejodama pasinaudoti visomis turimomis vykdymo užtikrinimo priemonėmis, kad apsaugotų ES biudžetą ir garantuotų ES sutarties 2 straipsnyje įtvirtintų vertybių laikymąsi, įskaitant pažeidimo nagrinėjimo procedūras ir, visų pirma, pagreitintas pažeidimo nagrinėjimo procedūras, prašymus ESTT taikyti laikinąsias priemones ir veiksmus, susijusius su ESTT sprendimų nevykdymu, taip pat sustiprintus auditus, mokėjimų sustabdymą, sistemingas finansines pataisas ir susigrąžinimo procedūras;</w:t>
      </w:r>
    </w:p>
    <w:p w14:paraId="52BD993B" w14:textId="77777777" w:rsidR="00045D87" w:rsidRPr="00ED0C5B" w:rsidRDefault="00045D87" w:rsidP="00045D87">
      <w:pPr>
        <w:pStyle w:val="NormalHanging12a"/>
      </w:pPr>
      <w:r w:rsidRPr="00ED0C5B">
        <w:t>3.</w:t>
      </w:r>
      <w:r w:rsidRPr="00ED0C5B">
        <w:tab/>
        <w:t>apgailestauja dėl to, kad Slovakija priėmė keletą savo baudžiamosios teisės ir baudžiamojo proceso teisės pakeitimų, be kita ko, sumažino bausmes už korupciją ir finansinius nusikaltimus, sutrumpino senaties terminus ir uždarė specializuotus kovos su korupcija subjektus, Nacionalinę nusikaltimų tyrimo agentūrą ir Specialiąją prokuratūrą, dėl to vėluojama atlikti tyrimus, kurie yra perduoti kitoms įstaigoms, ir labai sumažėjo korupcijos bylų skaičius, o tai silpnina baudžiamąjį persekiojimą už nusikaltimus, susijusius su ES lėšomis; reiškia susirūpinimą dėl Slovakijos generaliniam prokurorui pagal Slovakijos baudžiamojo proceso kodekso 363 straipsnį suteiktų plačių įgaliojimų veikti savo nuožiūra: pagal juos baudžiamoji byla gali būti nutraukta arba atidėta dėl formalių priežasčių, netaikant pakankamų apsaugos priemonių, o tai kelia pavojų veiksmingam bylų, visų pirma su korupcija susijusių nusikaltimų, tyrimui ir baudžiamajam persekiojimui; reiškia susirūpinimą dėl pranešimų apie priekabiavimą prie buvusių korupcijos atvejų tyrėjų ir jų atžvilgiu atliekamų tyrimų ir mano, kad šie veiksmai silpnina kovą su korupcija, gali pakenkti ES finansinių interesų apsaugai ir gali daryti atgrasomąjį poveikį vykdant nepriklausomus tyrimus; taip pat reiškia susirūpinimą dėl nustatytų interesų konfliktų įgyvendinant Ekonomikos gaivinimo ir atsparumo didinimo priemonę;</w:t>
      </w:r>
    </w:p>
    <w:p w14:paraId="4EAC534F" w14:textId="77777777" w:rsidR="00045D87" w:rsidRPr="00ED0C5B" w:rsidRDefault="00045D87" w:rsidP="00045D87">
      <w:pPr>
        <w:pStyle w:val="NormalHanging12a"/>
        <w:rPr>
          <w:rFonts w:eastAsiaTheme="majorEastAsia"/>
        </w:rPr>
      </w:pPr>
      <w:r w:rsidRPr="00ED0C5B">
        <w:t>4.</w:t>
      </w:r>
      <w:r w:rsidRPr="00ED0C5B">
        <w:tab/>
        <w:t xml:space="preserve">reiškia didelį susirūpinimą dėl konstitucinių pakeitimų Slovakijoje, visų pirma dėl pakeitimų, kuriais ribojamos pagrindinės teisės, teisinės valstybės principo taikymas ir ES teisės viršenybė; susirūpinęs pažymi, kad pilietinės visuomenės organizacijos įspėjo, jog šie pakeitimai gali pažeisti pagrindines teises; pabrėžia, kad konstitucinės nuostatos </w:t>
      </w:r>
      <w:r w:rsidRPr="00ED0C5B">
        <w:lastRenderedPageBreak/>
        <w:t>turi būti suformuluotos pakankamai tiksliai, kad būtų išvengta savavališko aiškinimo, ir turi visapusiškai atitikti pareigas pagal ES teisę, įskaitant Chartiją, taip pat tarptautinius žmogaus teisių standartus; primena, kad turi būti visapusiškai paisoma ES teisės viršenybės ir privalomo tarptautinių įsipareigojimų pobūdžio ir kad jokia konstitucine nuostata negalima pateisinti ESTT ar Europos Žmogaus Teisių Teismo sprendimų nesilaikymo; ragina Slovakijos valdžios institucijas užtikrinti, kad jos Konstitucija visapusiškai atitiktų ES teisę ir tarptautinę žmogaus teisių teisę, ir atsižvelgti į Venecijos komisijos bei tarptautinių žmogaus teisių institucijų rekomendacijas, visų pirma susijusias su ES teisės viršenybe, teisėmis į privatų ir šeimos gyvenimą, nediskriminavimu dėl lyties ir seksualinės orientacijos, taip pat teise į mokslą;</w:t>
      </w:r>
    </w:p>
    <w:p w14:paraId="4404E699" w14:textId="77777777" w:rsidR="00045D87" w:rsidRPr="00ED0C5B" w:rsidRDefault="00045D87" w:rsidP="00045D87">
      <w:pPr>
        <w:pStyle w:val="NormalHanging12a"/>
        <w:rPr>
          <w:rFonts w:eastAsiaTheme="majorEastAsia"/>
        </w:rPr>
      </w:pPr>
      <w:r w:rsidRPr="00ED0C5B">
        <w:t>5.</w:t>
      </w:r>
      <w:r w:rsidRPr="00ED0C5B">
        <w:tab/>
        <w:t>ragina Komisiją įvertinti naujausių teisės aktų pakeitimų atitiktį ES teisei ir taikyti Bendrųjų nuostatų reglamento nuostatas tais atvejais, kai nesilaikoma jame nustatytų horizontaliųjų reikiamų sąlygų</w:t>
      </w:r>
      <w:r w:rsidRPr="00ED0C5B">
        <w:rPr>
          <w:rStyle w:val="Hyperlink0"/>
        </w:rPr>
        <w:t>;</w:t>
      </w:r>
    </w:p>
    <w:p w14:paraId="0B0F60D0" w14:textId="77777777" w:rsidR="00045D87" w:rsidRPr="00ED0C5B" w:rsidRDefault="00045D87" w:rsidP="00045D87">
      <w:pPr>
        <w:pStyle w:val="NormalHanging12a"/>
      </w:pPr>
      <w:r w:rsidRPr="00ED0C5B">
        <w:t>6.</w:t>
      </w:r>
      <w:r w:rsidRPr="00ED0C5B">
        <w:tab/>
        <w:t>pabrėžia, kad Sąlygų reglamentas neapsiriboja tik kraštutinėmis priemonėmis, bet taip pat numato galimybę imtis ankstyvų veiksmų ir iš dalies sustabdyti lėšų skyrimą, kai nustatomi teisinės valstybės principo taikymo pažeidimai, keliantys didelį pavojų patikimam ES biudžeto finansų valdymui; pakartoja savo raginimą, pateiktą tvirtinant 2024 m. Komisijos biudžeto įvykdymą, pradėti pirmąjį Sąlygų reglamento 6 straipsnio 1 dalyje nustatytos procedūros etapą;</w:t>
      </w:r>
    </w:p>
    <w:p w14:paraId="6801CE3F" w14:textId="77777777" w:rsidR="00045D87" w:rsidRPr="00ED0C5B" w:rsidRDefault="00045D87" w:rsidP="00045D87">
      <w:pPr>
        <w:pStyle w:val="NormalHanging12a"/>
        <w:rPr>
          <w:rFonts w:eastAsiaTheme="majorEastAsia"/>
        </w:rPr>
      </w:pPr>
      <w:r w:rsidRPr="00ED0C5B">
        <w:t>7.</w:t>
      </w:r>
      <w:r w:rsidRPr="00ED0C5B">
        <w:tab/>
        <w:t>reiškia didelį susirūpinimą dėl bandymo panaikinti Pranešėjų apsaugos biurą, nes šitaip būtų iš esmės sumažintas pranešėjams teikiamos apsaugos lygis, įskaitant didesnę atsakomųjų veiksmų riziką ir mažesnes galimybes naudotis teisinėmis apsaugos priemonėmis; nepritaria nuostatoms, kuriomis nustatomas peržiūros mechanizmas, pagal kurį valdžios institucijos ar darbdaviai gali panaikinti pranešėjų apsaugą be teisminės priežiūros, taip keliant pavojų Chartijoje įtvirtintai pagrindinei teisei į veiksmingą teisinę gynybą; pabrėžia, kad pranešėjų apsaugos ribojimas yra nesuderinamas su ES pranešėjų apsaugos direktyva ir kenkia teisinei valstybei; palankiai vertina 2026 m. kovo 17 d. Slovakijos parlamento sprendimą panaikinti prieštaringai vertinamą įstatymą ir išlaikyti Pranešėjų apsaugos biurą; ragina Komisiją atidžiai stebėti, kaip įgyvendinamas teisės aktų, kuriais panaikinamas Pranešėjų apsaugos biuras Slovakijoje, panaikinimas, siekiant užtikrinti, kad šiuo panaikinimu būtų visiškai atkurtas ankstesnis apsaugos lygis ir jis būtų suderintas su ES teise, ir prieš svarstant bet kokius tolesnius veiksmus įvertinti panaikinimo mastą ir veiksmingumą; ragina Slovakijos valdžios institucijas užtikrinti, kad būtų laikomasi ES teisės aktų ir pranešėjų apsaugos standartų;</w:t>
      </w:r>
    </w:p>
    <w:p w14:paraId="28523A0E" w14:textId="77777777" w:rsidR="00045D87" w:rsidRPr="00ED0C5B" w:rsidRDefault="00045D87" w:rsidP="00045D87">
      <w:pPr>
        <w:pStyle w:val="NormalHanging12a"/>
        <w:rPr>
          <w:szCs w:val="24"/>
        </w:rPr>
      </w:pPr>
      <w:r w:rsidRPr="00ED0C5B">
        <w:rPr>
          <w:snapToGrid w:val="0"/>
        </w:rPr>
        <w:t>8.</w:t>
      </w:r>
      <w:r w:rsidRPr="00ED0C5B">
        <w:rPr>
          <w:snapToGrid w:val="0"/>
        </w:rPr>
        <w:tab/>
      </w:r>
      <w:r w:rsidRPr="00ED0C5B">
        <w:t>primygtinai ragina Komisiją sustiprinti tikslinę kontrolę ir patikras vietoje Slovakijoje, be kita ko, aktyviau ir sistemingai bendradarbiaujant su OLAF ir Europos prokuratūra, siekiant kompensuoti silpnėjančius nacionalinius vykdymo užtikrinimo pajėgumus ir užtikrinti veiksmingus tolesnius veiksmus, susijusius su vykdomais tyrimais; pabrėžia, kad tokia kontrolė turi būti sistemingai taikoma visiems atitinkamiems ES finansavimo srautams, įskaitant daugiametės finansinės programos ir Ekonomikos gaivinimo ir atsparumo didinimo priemonės lėšas;</w:t>
      </w:r>
    </w:p>
    <w:p w14:paraId="7589E587" w14:textId="77777777" w:rsidR="00045D87" w:rsidRPr="00ED0C5B" w:rsidRDefault="00045D87" w:rsidP="00045D87">
      <w:pPr>
        <w:pStyle w:val="NormalHanging12a"/>
        <w:rPr>
          <w:szCs w:val="24"/>
        </w:rPr>
      </w:pPr>
      <w:r w:rsidRPr="00ED0C5B">
        <w:rPr>
          <w:snapToGrid w:val="0"/>
        </w:rPr>
        <w:t>9.</w:t>
      </w:r>
      <w:r w:rsidRPr="00ED0C5B">
        <w:rPr>
          <w:snapToGrid w:val="0"/>
        </w:rPr>
        <w:tab/>
      </w:r>
      <w:r w:rsidRPr="00ED0C5B">
        <w:t xml:space="preserve">dar kartą patvirtina, kad yra pasirengęs lojaliai bendradarbiauti su Slovakijos valdžios institucijomis, taip pat su pilietine visuomene ir nepriklausomomis institucijomis, kad būtų pašalinti nustatyti trūkumai; atkreipia dėmesį į tai, kad tikrinimo ir misijų tikslas – remti demokratinių institucijų ir teisinės valstybės stiprinimą ir skatinti tinkamą ES lėšų </w:t>
      </w:r>
      <w:r w:rsidRPr="00ED0C5B">
        <w:lastRenderedPageBreak/>
        <w:t>naudojimą; ragina Slovakijos valdžios institucijas šiame procese konstruktyviai ir iniciatyviai bendradarbiauti su ES institucijomis;</w:t>
      </w:r>
    </w:p>
    <w:p w14:paraId="46375FF5" w14:textId="77777777" w:rsidR="00045D87" w:rsidRPr="00ED0C5B" w:rsidRDefault="00045D87" w:rsidP="00045D87">
      <w:pPr>
        <w:pStyle w:val="NormalHanging12a"/>
        <w:rPr>
          <w:szCs w:val="24"/>
        </w:rPr>
      </w:pPr>
      <w:r w:rsidRPr="00ED0C5B">
        <w:rPr>
          <w:snapToGrid w:val="0"/>
        </w:rPr>
        <w:t>10.</w:t>
      </w:r>
      <w:r w:rsidRPr="00ED0C5B">
        <w:rPr>
          <w:snapToGrid w:val="0"/>
        </w:rPr>
        <w:tab/>
      </w:r>
      <w:r w:rsidRPr="00ED0C5B">
        <w:t>ragina Slovakijos valdžios institucijas visapusiškai įgyvendinti Komisijos, GRECO ir Venecijos komisijos rekomendacijas dėl teisminių institucijų ir kovos su korupcija, visų pirma susijusias su piktnaudžiavimo teise nusikalstamos veikos panaikinimu ir Teismų tarybos nepriklausomumo ir nešališkumo teisės ir praktikos srityse užtikrinimu, specializuotų kovos su korupcija subjektų veikimu, materialine ir procesine baudžiamąja teise ir prokurorų nepriklausomumu;</w:t>
      </w:r>
    </w:p>
    <w:p w14:paraId="556913D8" w14:textId="77777777" w:rsidR="00045D87" w:rsidRPr="00ED0C5B" w:rsidRDefault="00045D87" w:rsidP="00045D87">
      <w:pPr>
        <w:pStyle w:val="NormalHanging12a"/>
        <w:rPr>
          <w:szCs w:val="24"/>
        </w:rPr>
      </w:pPr>
      <w:r w:rsidRPr="00ED0C5B">
        <w:rPr>
          <w:snapToGrid w:val="0"/>
        </w:rPr>
        <w:t>11.</w:t>
      </w:r>
      <w:r w:rsidRPr="00ED0C5B">
        <w:rPr>
          <w:snapToGrid w:val="0"/>
        </w:rPr>
        <w:tab/>
      </w:r>
      <w:r w:rsidRPr="00ED0C5B">
        <w:t>griežtai smerkia tai, kad buvo uždaryta specialioji prokuratūra, atsižvelgiant į jos akivaizdų poveikį tiriant korupciją ir vykdant baudžiamąjį persekiojimą – tai, ko negalima kompensuoti Europos prokuratūros veikla, ypač atsižvelgiant į pranešimus apie sukčiavimo veiklos suskaidymą taip, kad tariama bylos vertė išlieka mažesnė už nustatytą ribą, kurią viršijus Europos prokuratūra pradeda tyrimą; pabrėžia, kad reikia skubiai iš naujo įvertinti pastarojo meto pokyčius; ragina Slovakijos valdžios institucijas užtikrinti visapusišką, savalaikį ir aktyvų bendradarbiavimą su Europos prokuratūra ir OLAF;</w:t>
      </w:r>
    </w:p>
    <w:p w14:paraId="3B2B1724" w14:textId="77777777" w:rsidR="00045D87" w:rsidRPr="00ED0C5B" w:rsidRDefault="00045D87" w:rsidP="00045D87">
      <w:pPr>
        <w:pStyle w:val="NormalHanging12a"/>
        <w:rPr>
          <w:szCs w:val="24"/>
        </w:rPr>
      </w:pPr>
      <w:r w:rsidRPr="00ED0C5B">
        <w:rPr>
          <w:snapToGrid w:val="0"/>
        </w:rPr>
        <w:t>12.</w:t>
      </w:r>
      <w:r w:rsidRPr="00ED0C5B">
        <w:rPr>
          <w:snapToGrid w:val="0"/>
        </w:rPr>
        <w:tab/>
      </w:r>
      <w:r w:rsidRPr="00ED0C5B">
        <w:t>pakartoja, kad yra susirūpinęs dėl Slovakijos žemės ūkio mokėjimo agentūros veikimo ir bendros žemės ūkio politikos finansavimo valdymo, įskaitant struktūrinius trūkumus, kuriuos patvirtino Slovakijos Respublikos aukščiausioji valstybės kontrolės tarnyba, netinkamus kontrolės mechanizmus, nepakankamus taisomuosius veiksmus ir didesnis išmokėtų lėšų, kurioms taikoma silpna kontrolė, skaičius; mano, kad šie trūkumai patvirtina rimtas sistemines valdymo ir kontrolės sistemos, kuria reglamentuojamos žemės ūkio išlaidos Slovakijoje, problemas;</w:t>
      </w:r>
    </w:p>
    <w:p w14:paraId="7F239977" w14:textId="77777777" w:rsidR="00045D87" w:rsidRPr="00ED0C5B" w:rsidRDefault="00045D87" w:rsidP="00045D87">
      <w:pPr>
        <w:pStyle w:val="NormalHanging12a"/>
        <w:rPr>
          <w:szCs w:val="24"/>
        </w:rPr>
      </w:pPr>
      <w:r w:rsidRPr="00ED0C5B">
        <w:rPr>
          <w:snapToGrid w:val="0"/>
        </w:rPr>
        <w:t>13.</w:t>
      </w:r>
      <w:r w:rsidRPr="00ED0C5B">
        <w:rPr>
          <w:snapToGrid w:val="0"/>
        </w:rPr>
        <w:tab/>
      </w:r>
      <w:r w:rsidRPr="00ED0C5B">
        <w:t>reiškia susirūpinimą dėl įtarimų dėl piktnaudžiavimo ir pažeidimų įgyvendinant ES finansuojamus kaimo plėtros ir turizmo projektus Slovakijoje, įskaitant atvejus, susijusius su ES finansuojamais svečių namų projektais, kuriuos įgyvendinant, kaip įtariama, buvo netinkamai panaudotos žemės ūkio ir kaimo plėtros lėšos prabangioms privačioms valdoms, turinčioms ribotos ES pridėtinės vertės arba jos neturinčioms, statyti ar renovuoti; pabrėžia, kad tokia praktika, jei ji būtų patvirtinta, būtų šiurkštus patikimo finansų valdymo, skaidrumo ir vienodo požiūrio principų pažeidimas ir pakenktų visuomenės pasitikėjimui ES biudžetu;</w:t>
      </w:r>
    </w:p>
    <w:p w14:paraId="13C35ED2" w14:textId="77777777" w:rsidR="00045D87" w:rsidRPr="00ED0C5B" w:rsidRDefault="00045D87" w:rsidP="00045D87">
      <w:pPr>
        <w:pStyle w:val="NormalHanging12a"/>
        <w:rPr>
          <w:szCs w:val="24"/>
        </w:rPr>
      </w:pPr>
      <w:r w:rsidRPr="00ED0C5B">
        <w:rPr>
          <w:snapToGrid w:val="0"/>
        </w:rPr>
        <w:t>14.</w:t>
      </w:r>
      <w:r w:rsidRPr="00ED0C5B">
        <w:rPr>
          <w:snapToGrid w:val="0"/>
        </w:rPr>
        <w:tab/>
      </w:r>
      <w:r w:rsidRPr="00ED0C5B">
        <w:t>primena valstybių narių pareigą užtikrinti veiksmingą, skaidrų ir atskaitingą ES lėšų valdymą; ragina Slovakijos valdžios institucijas nedelsiant imtis veiksmingų taisomųjų priemonių, kad piliečiai gautų konkrečios naudos, be kita ko, stiprinti vidaus kontrolės sistemas, užtikrinti tinkamą interesų konfliktų nustatymą ir valdymą ir gerinti neteisėtų mokėjimų susigrąžinimą, visapusiškai bendradarbiaujant su Komisija;</w:t>
      </w:r>
    </w:p>
    <w:p w14:paraId="49196A0B" w14:textId="77777777" w:rsidR="00045D87" w:rsidRPr="00ED0C5B" w:rsidRDefault="00045D87" w:rsidP="00045D87">
      <w:pPr>
        <w:pStyle w:val="NormalHanging12a"/>
        <w:rPr>
          <w:szCs w:val="24"/>
        </w:rPr>
      </w:pPr>
      <w:r w:rsidRPr="00ED0C5B">
        <w:rPr>
          <w:snapToGrid w:val="0"/>
        </w:rPr>
        <w:t>15.</w:t>
      </w:r>
      <w:r w:rsidRPr="00ED0C5B">
        <w:rPr>
          <w:snapToGrid w:val="0"/>
        </w:rPr>
        <w:tab/>
      </w:r>
      <w:r w:rsidRPr="00ED0C5B">
        <w:t xml:space="preserve">reiškia didelį susirūpinimą dėl blogėjančios žiniasklaidos laisvės ir pliuralizmo padėties Slovakijoje, įskaitant politinį kišimąsi į visuomeninę žiniasklaidą, žurnalistams daromą spaudimą sukuriant priešišką atmosferą, šmeižto kampanijas ir dezinformaciją, strateginius ieškinius dėl visuomenės dalyvavimo (SLAPP), be kita ko, aukšto rango politinių veikėjų, ir riziką, kad žiniasklaidos nuosavybė bus sutelkta politiškai artimose rankose, kartu su pagrindinių kultūros institucijų vadovų atleidimu iš darbo, o tai gali turėti atgrasomąjį poveikį spaudos laisvei ir viešajam diskursui; pabrėžia, kad dėl susilpnėjusios žiniasklaidos aplinkos labai sumažėja demokratinė priežiūra ir sudaromos palankesnės sąlygos korupcijai, susijusiai su ES lėšų naudojimu; ragina Slovakijos </w:t>
      </w:r>
      <w:r w:rsidRPr="00ED0C5B">
        <w:lastRenderedPageBreak/>
        <w:t>valdžios institucijas visapusiškai įgyvendinti Komisijos rekomendacijas dėl žiniasklaidos, visų pirma dėl visuomeninės žiniasklaidos teisinės sistemos, laikantis Europos žiniasklaidos laisvės akto ir užtikrinant redakcinę nepriklausomybę bei žurnalistų apsaugą; ragina Slovakiją visapusiškai ir veiksmingai laikytis Europos žiniasklaidos laisvės akto ir primygtinai ragina Komisiją atidžiai ir aktyviai stebėti jo įgyvendinimą; primena, kad Slovakijos valdžios institucijos, veikdamos ir finansuodamos kultūros institucijas, turi gerbti saviraiškos ir meno laisvę ir susilaikyti nuo piktnaudžiavimo teisiniais veiksmais, kuriais ribojamos viešos diskusijos; reiškia pagarbą Jáno Kuciako atminimui, praėjus šešeriems metams nuo jo nužudymo ir jo reikšmingam darbui tiriamosios žurnalistikos srityje; ragina Slovakijos valdžios institucijas užtikrinti, kad šioje byloje teisingumas būtų įvykdytas;</w:t>
      </w:r>
    </w:p>
    <w:p w14:paraId="6F05F3F9" w14:textId="77777777" w:rsidR="00045D87" w:rsidRPr="00ED0C5B" w:rsidRDefault="00045D87" w:rsidP="00045D87">
      <w:pPr>
        <w:pStyle w:val="NormalHanging12a"/>
        <w:rPr>
          <w:spacing w:val="-2"/>
        </w:rPr>
      </w:pPr>
      <w:r w:rsidRPr="00ED0C5B">
        <w:rPr>
          <w:snapToGrid w:val="0"/>
        </w:rPr>
        <w:t>16.</w:t>
      </w:r>
      <w:r w:rsidRPr="00ED0C5B">
        <w:rPr>
          <w:snapToGrid w:val="0"/>
        </w:rPr>
        <w:tab/>
      </w:r>
      <w:r w:rsidRPr="00ED0C5B">
        <w:t>apgailestauja dėl to, kad vykdant esmines reformas pakartotinai ir nepagrįstai taikomos paspartintos teisėkūros procedūros; pabrėžia, kad tokios procedūros neturi tapti norma ir turėtų būti griežtai grindžiamos tik tinkamai pagrįstomis aplinkybėmis, nes jos kenkia viešajai kontrolei, skaidrumui bei įtraukiai teisėkūrai ir riboja prasmingas konsultacijas ir parlamentines diskusijas; ragina Slovakijos valdžios institucijas visapusiškai įgyvendinti Komisijos ir GRECO rekomendacijas dėl stabdžių ir atsvarų sistemos, visų pirma dėl veiksmingų viešų konsultacijų ir suinteresuotųjų subjektų dalyvavimo teisėkūros procese, be kita ko, sprendžiant dažno paspartintos procedūros taikymo klausimą; pakartoja, kad yra susirūpinęs dėl galimybių žurnalistams ir pilietinės visuomenės organizacijoms gauti informacijos, įskaitant Aukščiausiosios valstybės kontrolės ir Vyriausybės tarnybos kontrolės skyriaus ataskaitas;</w:t>
      </w:r>
    </w:p>
    <w:p w14:paraId="526D7857" w14:textId="77777777" w:rsidR="00045D87" w:rsidRPr="00ED0C5B" w:rsidRDefault="00045D87" w:rsidP="00045D87">
      <w:pPr>
        <w:pStyle w:val="NormalHanging12a"/>
        <w:rPr>
          <w:szCs w:val="24"/>
        </w:rPr>
      </w:pPr>
      <w:r w:rsidRPr="00ED0C5B">
        <w:rPr>
          <w:snapToGrid w:val="0"/>
        </w:rPr>
        <w:t>17.</w:t>
      </w:r>
      <w:r w:rsidRPr="00ED0C5B">
        <w:rPr>
          <w:snapToGrid w:val="0"/>
        </w:rPr>
        <w:tab/>
      </w:r>
      <w:r w:rsidRPr="00ED0C5B">
        <w:t>griežtai smerkia didėjantį spaudimą pilietinės visuomenės organizacijoms, sergėtojams ir teisingumo srities specialistams, įskaitant administracinę naštą ir bandymus delegitimizuoti jų darbą; mano, kad tokie veiksmai kenkia atskaitomybei ir veiksmingai pagrindinių teisių apsaugai; ragina Slovakijos valdžios institucijas nutraukti pilietinės visuomenės organizacijų stigmatizavimą ir persekiojimą ir užtikrinti, kad teisės aktuose, darančiuose poveikį pilietinei visuomenei, be kita ko, dėl finansavimo ir ataskaitų teikimo, būtų visapusiškai laikomasi ES teisės ir tarptautinės žmogaus teisių teisės, visų pirma teisės į privatų gyvenimą, saviraiškos laisvės, susirinkimų laisvės ir asociacijų laisvės;</w:t>
      </w:r>
    </w:p>
    <w:p w14:paraId="4CAE7633" w14:textId="77777777" w:rsidR="00045D87" w:rsidRPr="00ED0C5B" w:rsidRDefault="00045D87" w:rsidP="00045D87">
      <w:pPr>
        <w:pStyle w:val="NormalHanging12a"/>
        <w:rPr>
          <w:szCs w:val="24"/>
        </w:rPr>
      </w:pPr>
      <w:r w:rsidRPr="00ED0C5B">
        <w:rPr>
          <w:snapToGrid w:val="0"/>
        </w:rPr>
        <w:t>18.</w:t>
      </w:r>
      <w:r w:rsidRPr="00ED0C5B">
        <w:rPr>
          <w:snapToGrid w:val="0"/>
        </w:rPr>
        <w:tab/>
      </w:r>
      <w:r w:rsidRPr="00ED0C5B">
        <w:t>ragina Slovakijos valdžios institucijas užtikrinti, kad rinkimų teisės aktais, be kita ko, dėl balsavimo paštu, ir baudžiamosiomis sankcijomis, susijusiomis su tokių teisės aktų pažeidimais, būtų visapusiškai laikomasi ES teisės ir tarptautinės žmogaus teisių teisės, visų pirma kiek tai susiję su teise balsuoti ir būti išrinktam, saviraiškos laisve ir asociacijų laisve; primena, kad balsavimo paštu apribojimai turėtų būti tinkamai pagrįsti ir proporcingi, visų pirma nesant pagrįstų sisteminių trūkumų, susijusių su tokio balsavimo sąžiningumu, ir pabrėžia, kad užsienyje gyvenantiems Slovakijos piliečiams reikia užtikrinti vienodas galimybes dalyvauti rinkimuose;</w:t>
      </w:r>
    </w:p>
    <w:p w14:paraId="5BF95F23" w14:textId="77777777" w:rsidR="00045D87" w:rsidRPr="00ED0C5B" w:rsidRDefault="00045D87" w:rsidP="00045D87">
      <w:pPr>
        <w:pStyle w:val="NormalHanging12a"/>
        <w:rPr>
          <w:spacing w:val="-2"/>
        </w:rPr>
      </w:pPr>
      <w:r w:rsidRPr="00ED0C5B">
        <w:rPr>
          <w:snapToGrid w:val="0"/>
        </w:rPr>
        <w:t>19.</w:t>
      </w:r>
      <w:r w:rsidRPr="00ED0C5B">
        <w:rPr>
          <w:snapToGrid w:val="0"/>
        </w:rPr>
        <w:tab/>
      </w:r>
      <w:r w:rsidRPr="00ED0C5B">
        <w:t>ragina Slovakijos valdžios institucijas užtikrinti veiksmingą smurto prieš moteris ir smurto šeimoje prevenciją ir kovą su juo teisėje ir praktikoje, laikantis ES teisės ir tarptautinės žmogaus teisių teisės; pakartoja, kad svarbu nedelsiant ratifikuoti Europos Tarybos konvenciją dėl smurto prieš moteris ir smurto šeimoje prevencijos ir kovos su juo ir suderinti teisinę išžaginimo apibrėžtį su tarptautiniais žmogaus teisių standartais</w:t>
      </w:r>
      <w:bookmarkStart w:id="7" w:name="_Hlk228978064"/>
      <w:r w:rsidRPr="00ED0C5B">
        <w:t>;</w:t>
      </w:r>
    </w:p>
    <w:p w14:paraId="08C3AF0A" w14:textId="36A0EC4A" w:rsidR="00045D87" w:rsidRPr="00ED0C5B" w:rsidRDefault="00045D87" w:rsidP="00045D87">
      <w:pPr>
        <w:pStyle w:val="NormalHanging12a"/>
        <w:rPr>
          <w:spacing w:val="-2"/>
        </w:rPr>
      </w:pPr>
      <w:r w:rsidRPr="00ED0C5B">
        <w:rPr>
          <w:snapToGrid w:val="0"/>
        </w:rPr>
        <w:t>20.</w:t>
      </w:r>
      <w:r w:rsidRPr="00ED0C5B">
        <w:rPr>
          <w:snapToGrid w:val="0"/>
        </w:rPr>
        <w:tab/>
      </w:r>
      <w:r w:rsidRPr="00ED0C5B">
        <w:t xml:space="preserve">ragina Slovakijos valdžios institucijas, atsižvelgiant į priešišką reakciją, kurią sukėlė kelios teisėkūros iniciatyvos Slovakijoje, ypač nuo 2023 m., užtikrinti, kad būtų </w:t>
      </w:r>
      <w:r w:rsidRPr="00ED0C5B">
        <w:lastRenderedPageBreak/>
        <w:t>visapusiškai laikomasi įsipareigojimų užtikrinti veiksmingą, savalaikę ir nediskriminacinę prieigą prie lytinės ir reprodukcinės sveikatos paslaugų bei teisių</w:t>
      </w:r>
      <w:r w:rsidR="00F0305C" w:rsidRPr="00F0305C">
        <w:t>, įskaitant galimybę saugiai ir teisėtai nutraukti nėštumą</w:t>
      </w:r>
      <w:r w:rsidRPr="00ED0C5B">
        <w:t>; primena, kad šie įsipareigojimai kyla iš tarptautinių žmogaus teisių standartų ir yra neatsiejama pagrindinių teisių, įskaitant teises į privatų ir šeimos gyvenimą, sveikatą ir nediskriminavimą, apsaugos dalis;</w:t>
      </w:r>
      <w:bookmarkEnd w:id="7"/>
    </w:p>
    <w:p w14:paraId="561EC6A2" w14:textId="77777777" w:rsidR="00045D87" w:rsidRPr="00ED0C5B" w:rsidRDefault="00045D87" w:rsidP="00045D87">
      <w:pPr>
        <w:pStyle w:val="NormalHanging12a"/>
        <w:rPr>
          <w:spacing w:val="-2"/>
        </w:rPr>
      </w:pPr>
      <w:r w:rsidRPr="00ED0C5B">
        <w:rPr>
          <w:snapToGrid w:val="0"/>
        </w:rPr>
        <w:t>21.</w:t>
      </w:r>
      <w:r w:rsidRPr="00ED0C5B">
        <w:rPr>
          <w:snapToGrid w:val="0"/>
        </w:rPr>
        <w:tab/>
      </w:r>
      <w:r w:rsidRPr="00ED0C5B">
        <w:t>ragina Slovakijos valdžios institucijas užtikrinti veiksmingą LGBTIQ+ asmenų teisių apsaugą teisėje ir praktikoje, laikantis ES teisės ir tarptautinės žmogaus teisių teisės;</w:t>
      </w:r>
    </w:p>
    <w:p w14:paraId="75B710EF" w14:textId="77777777" w:rsidR="00045D87" w:rsidRPr="00ED0C5B" w:rsidRDefault="00045D87" w:rsidP="00045D87">
      <w:pPr>
        <w:pStyle w:val="NormalHanging12a"/>
        <w:rPr>
          <w:spacing w:val="-2"/>
        </w:rPr>
      </w:pPr>
      <w:r w:rsidRPr="00ED0C5B">
        <w:rPr>
          <w:snapToGrid w:val="0"/>
        </w:rPr>
        <w:t>22.</w:t>
      </w:r>
      <w:r w:rsidRPr="00ED0C5B">
        <w:rPr>
          <w:snapToGrid w:val="0"/>
        </w:rPr>
        <w:tab/>
      </w:r>
      <w:r w:rsidRPr="00ED0C5B">
        <w:t>ragina Slovakijos valdžios institucijas užtikrinti veiksmingą romų teisių apsaugą teisėje ir praktikoje, laikantis ES teisės ir tarptautinės žmogaus teisių teisės, visų pirma kiek tai susiję su segregacijos švietimo srityje panaikinimu, galimybe naudotis sveikatos priežiūros paslaugomis ir viešosios tvarkos palaikymu; pakartoja, kad yra susirūpinęs dėl ES lėšų, skirtų romų bendruomenėms Slovakijoje, panaudojimo;</w:t>
      </w:r>
    </w:p>
    <w:p w14:paraId="0B11AA19" w14:textId="77777777" w:rsidR="00045D87" w:rsidRDefault="00045D87" w:rsidP="00045D87">
      <w:pPr>
        <w:pStyle w:val="NormalHanging12a"/>
      </w:pPr>
      <w:r w:rsidRPr="00ED0C5B">
        <w:rPr>
          <w:snapToGrid w:val="0"/>
        </w:rPr>
        <w:t>23.</w:t>
      </w:r>
      <w:r w:rsidRPr="00ED0C5B">
        <w:rPr>
          <w:snapToGrid w:val="0"/>
        </w:rPr>
        <w:tab/>
      </w:r>
      <w:r w:rsidRPr="00ED0C5B">
        <w:t>reiškia ypatingą susirūpinimą dėl mažumų teisių Slovakijoje, atsižvelgiant į politinį diskursą, teisėkūros iniciatyvas ir administracinę praktiką, kurie gali lemti diskriminaciją, stigmatizaciją ar atskirtį, ir dėl turto konfiskavimo atgaline data remiantis įvairių etninių grupių ES piliečių kolektyvine kalte; mano, kad istorinės skriaudos turėtų būti sprendžiamos dialogu, o ne kriminalizavimu; pabrėžia, kad mažumų teisių apsauga yra pagrindinė teisinės valstybės ir demokratinio valdymo sudedamoji dalis; ragina Slovakijos valdžios institucijas užtikrinti veiksmingą mažumoms priklausančių asmenų apsaugą teisėje ir praktikoje, laikantis ES teisės ir tarptautinės žmogaus teisių teisės, visų pirma kiek tai susiję su saviraiškos laisve ir teise į nuosavybę;</w:t>
      </w:r>
    </w:p>
    <w:p w14:paraId="16E0EB10" w14:textId="75706F1A" w:rsidR="00C07AF0" w:rsidRPr="00ED0C5B" w:rsidRDefault="00C07AF0" w:rsidP="00045D87">
      <w:pPr>
        <w:pStyle w:val="NormalHanging12a"/>
        <w:rPr>
          <w:spacing w:val="-2"/>
        </w:rPr>
      </w:pPr>
      <w:r>
        <w:rPr>
          <w:spacing w:val="-2"/>
        </w:rPr>
        <w:t>24</w:t>
      </w:r>
      <w:r w:rsidRPr="00C07AF0">
        <w:rPr>
          <w:spacing w:val="-2"/>
        </w:rPr>
        <w:t>.</w:t>
      </w:r>
      <w:r w:rsidRPr="00C07AF0">
        <w:rPr>
          <w:spacing w:val="-2"/>
        </w:rPr>
        <w:tab/>
        <w:t>reiškia didelį susirūpinimą dėl administracinės ir teisminės praktikos, susijusios su Slovakijos žemės fondu ir Slovakijos Respublikos valstybine įmone „Miškai“, dėl kurios remiantis pokario dekretais buvo konfiskuota nekompensuojama žemė ir miškai; ragina Slovakijos valdžios institucijas panaikinti Baudžiamojo kodekso pakeitimą, sustabdyti visus teismo procesus ir nutraukti bet kokį vykdomą žemės konfiskavimą;</w:t>
      </w:r>
    </w:p>
    <w:p w14:paraId="3FB72B91" w14:textId="75632E14" w:rsidR="00045D87" w:rsidRPr="00ED0C5B" w:rsidRDefault="007D017F" w:rsidP="00045D87">
      <w:pPr>
        <w:pStyle w:val="NormalHanging12a"/>
        <w:rPr>
          <w:spacing w:val="-2"/>
        </w:rPr>
      </w:pPr>
      <w:r>
        <w:rPr>
          <w:snapToGrid w:val="0"/>
        </w:rPr>
        <w:t>25</w:t>
      </w:r>
      <w:r w:rsidR="00045D87" w:rsidRPr="00ED0C5B">
        <w:rPr>
          <w:snapToGrid w:val="0"/>
        </w:rPr>
        <w:t>.</w:t>
      </w:r>
      <w:r w:rsidR="00045D87" w:rsidRPr="00ED0C5B">
        <w:rPr>
          <w:snapToGrid w:val="0"/>
        </w:rPr>
        <w:tab/>
      </w:r>
      <w:r w:rsidR="00045D87" w:rsidRPr="00ED0C5B">
        <w:t>ragina Slovakijos valdžios institucijas ištirti sisteminius trūkumus, kurių vis dar esama nagrinėjant skundus dėl netinkamo policijos elgesio, įskaitant nešališkų ir veiksmingų tyrimų, susijusių su patikimais įtarimais dėl netinkamo elgesio, trūkumą; ragina stiprinti apsaugos nuo netinkamo teisėsaugos institucijų elgesio priemones, įskaitant institucinio nepriklausomumo garantijas, veiksmingus priežiūros mechanizmus ir tinkamas procedūrines apsaugos priemones, kad būtų užtikrinta atskaitomybė ir visuomenės pasitikėjimas teisėsaugos institucijomis;</w:t>
      </w:r>
    </w:p>
    <w:p w14:paraId="76817F7D" w14:textId="78EBBC5C" w:rsidR="00E365E1" w:rsidRPr="00ED0C5B" w:rsidRDefault="007D017F" w:rsidP="00952EB0">
      <w:pPr>
        <w:pStyle w:val="NormalHanging12a"/>
      </w:pPr>
      <w:r>
        <w:rPr>
          <w:snapToGrid w:val="0"/>
        </w:rPr>
        <w:t>26</w:t>
      </w:r>
      <w:r w:rsidR="00045D87" w:rsidRPr="00ED0C5B">
        <w:rPr>
          <w:snapToGrid w:val="0"/>
        </w:rPr>
        <w:t>.</w:t>
      </w:r>
      <w:r w:rsidR="00045D87" w:rsidRPr="00ED0C5B">
        <w:rPr>
          <w:snapToGrid w:val="0"/>
        </w:rPr>
        <w:tab/>
      </w:r>
      <w:r w:rsidR="00045D87" w:rsidRPr="00ED0C5B">
        <w:t>paveda Pirmininkei perduoti šią rezoliuciją Tarybai, Komisijai, valstybių narių vyriausybėms ir parlamentams, Europos Tarybai, Europos saugumo ir bendradarbiavimo organizacijai ir Jungtinėms Tautoms.</w:t>
      </w:r>
    </w:p>
    <w:sectPr w:rsidR="00E365E1" w:rsidRPr="00ED0C5B" w:rsidSect="00ED0C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3A993" w14:textId="77777777" w:rsidR="00053AFF" w:rsidRPr="00ED0C5B" w:rsidRDefault="00053AFF">
      <w:r w:rsidRPr="00ED0C5B">
        <w:separator/>
      </w:r>
    </w:p>
  </w:endnote>
  <w:endnote w:type="continuationSeparator" w:id="0">
    <w:p w14:paraId="471529CF" w14:textId="77777777" w:rsidR="00053AFF" w:rsidRPr="00ED0C5B" w:rsidRDefault="00053AFF">
      <w:r w:rsidRPr="00ED0C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986E" w14:textId="77777777" w:rsidR="00064002" w:rsidRPr="00ED0C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73943" w14:textId="77777777" w:rsidR="00064002" w:rsidRPr="00ED0C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16CB" w14:textId="77777777" w:rsidR="00064002" w:rsidRPr="00ED0C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8BC0" w14:textId="77777777" w:rsidR="00053AFF" w:rsidRPr="00ED0C5B" w:rsidRDefault="00053AFF">
      <w:r w:rsidRPr="00ED0C5B">
        <w:separator/>
      </w:r>
    </w:p>
  </w:footnote>
  <w:footnote w:type="continuationSeparator" w:id="0">
    <w:p w14:paraId="0C98E395" w14:textId="77777777" w:rsidR="00053AFF" w:rsidRPr="00ED0C5B" w:rsidRDefault="00053AFF">
      <w:r w:rsidRPr="00ED0C5B">
        <w:continuationSeparator/>
      </w:r>
    </w:p>
  </w:footnote>
  <w:footnote w:id="1">
    <w:p w14:paraId="2643C28D" w14:textId="608AD83D"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OL L 305, 2019 11 26, p. 17, ELI: </w:t>
      </w:r>
      <w:hyperlink r:id="rId1" w:tooltip="Prieiga prie šio dokumento suteikiama per ELI sistemoje jam suteiktą URI." w:history="1">
        <w:r w:rsidRPr="00ED0C5B">
          <w:rPr>
            <w:rStyle w:val="Hyperlink"/>
            <w:sz w:val="24"/>
            <w:lang w:val="lt-LT"/>
          </w:rPr>
          <w:t>http://data.europa.eu/eli/dir/2019/1937/oj</w:t>
        </w:r>
      </w:hyperlink>
      <w:r w:rsidRPr="00ED0C5B">
        <w:rPr>
          <w:sz w:val="24"/>
          <w:lang w:val="lt-LT"/>
        </w:rPr>
        <w:t>.</w:t>
      </w:r>
    </w:p>
  </w:footnote>
  <w:footnote w:id="2">
    <w:p w14:paraId="108B68DA" w14:textId="1B69BFC3"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 xml:space="preserve">OL L </w:t>
      </w:r>
      <w:r w:rsidR="008454D8" w:rsidRPr="003F5E4A">
        <w:rPr>
          <w:sz w:val="24"/>
          <w:lang w:val="pl-PL"/>
        </w:rPr>
        <w:t>433</w:t>
      </w:r>
      <w:r w:rsidR="008454D8">
        <w:rPr>
          <w:sz w:val="24"/>
          <w:lang w:val="pl-PL"/>
        </w:rPr>
        <w:t xml:space="preserve"> </w:t>
      </w:r>
      <w:r w:rsidR="008454D8" w:rsidRPr="003F5E4A">
        <w:rPr>
          <w:sz w:val="24"/>
          <w:lang w:val="pl-PL"/>
        </w:rPr>
        <w:t>I</w:t>
      </w:r>
      <w:r w:rsidRPr="00ED0C5B">
        <w:rPr>
          <w:sz w:val="24"/>
          <w:lang w:val="lt-LT"/>
        </w:rPr>
        <w:t>, 2020 12 22, p. 1, ELI: </w:t>
      </w:r>
      <w:hyperlink r:id="rId2" w:tooltip="Prieiga prie šio dokumento suteikiama per ELI sistemoje jam suteiktą URI." w:history="1">
        <w:r w:rsidRPr="00ED0C5B">
          <w:rPr>
            <w:rStyle w:val="Hyperlink"/>
            <w:sz w:val="24"/>
            <w:lang w:val="lt-LT"/>
          </w:rPr>
          <w:t>http://data.europa.eu/eli/reg/2020/2092/oj</w:t>
        </w:r>
      </w:hyperlink>
      <w:r w:rsidRPr="00ED0C5B">
        <w:rPr>
          <w:sz w:val="24"/>
          <w:lang w:val="lt-LT"/>
        </w:rPr>
        <w:t>.</w:t>
      </w:r>
    </w:p>
  </w:footnote>
  <w:footnote w:id="3">
    <w:p w14:paraId="4F422D90" w14:textId="381DC9D6"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OL L 231, 2021 6 30, p. 159, ELI: </w:t>
      </w:r>
      <w:hyperlink r:id="rId3" w:tooltip="Prieiga prie šio dokumento suteikiama per ELI sistemoje jam suteiktą URI." w:history="1">
        <w:r w:rsidRPr="00ED0C5B">
          <w:rPr>
            <w:rStyle w:val="Hyperlink"/>
            <w:sz w:val="24"/>
            <w:lang w:val="lt-LT"/>
          </w:rPr>
          <w:t>http://data.europa.eu/eli/reg/2021/1060/oj</w:t>
        </w:r>
      </w:hyperlink>
      <w:r w:rsidRPr="00ED0C5B">
        <w:rPr>
          <w:sz w:val="24"/>
          <w:lang w:val="lt-LT"/>
        </w:rPr>
        <w:t>.</w:t>
      </w:r>
    </w:p>
  </w:footnote>
  <w:footnote w:id="4">
    <w:p w14:paraId="38DADA42" w14:textId="2513845C"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OL C 390, 2019 11 18, p. 111.</w:t>
      </w:r>
    </w:p>
  </w:footnote>
  <w:footnote w:id="5">
    <w:p w14:paraId="3EF3F3DD" w14:textId="66C88D83"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OL C 108, 2021 3 26, p. 107.</w:t>
      </w:r>
    </w:p>
  </w:footnote>
  <w:footnote w:id="6">
    <w:p w14:paraId="2FDF2F9E" w14:textId="42A404A1"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OL C 149, 2023 4 28, p. 22.</w:t>
      </w:r>
    </w:p>
  </w:footnote>
  <w:footnote w:id="7">
    <w:p w14:paraId="20327B12" w14:textId="581AB84F"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OL C, C/2024/5712, 2024 10 17, ELI: </w:t>
      </w:r>
      <w:hyperlink r:id="rId4" w:tgtFrame="_blank" w:tooltip="Prieiga prie šio dokumento suteikiama per ELI sistemoje jam suteiktą URI." w:history="1">
        <w:r w:rsidRPr="00ED0C5B">
          <w:rPr>
            <w:rStyle w:val="Hyperlink"/>
            <w:sz w:val="24"/>
            <w:lang w:val="lt-LT"/>
          </w:rPr>
          <w:t>http://data.europa.eu/eli/C/2024/5712/oj</w:t>
        </w:r>
      </w:hyperlink>
      <w:r w:rsidRPr="00ED0C5B">
        <w:rPr>
          <w:sz w:val="24"/>
          <w:lang w:val="lt-LT"/>
        </w:rPr>
        <w:t>.</w:t>
      </w:r>
    </w:p>
  </w:footnote>
  <w:footnote w:id="8">
    <w:p w14:paraId="4BA81DA2" w14:textId="4FFFBA48"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Priimti tekstai, P10_TA(2026)0125.</w:t>
      </w:r>
    </w:p>
  </w:footnote>
  <w:footnote w:id="9">
    <w:p w14:paraId="0B859D42" w14:textId="51DE4E55"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2024 m. balandžio 11 d. Europos Parlamento ir Tarybos reglamentas (ES) 2024/1083, kuriuo nustatoma bendra žiniasklaidos paslaugų vidaus rinkoje sistema ir iš dalies keičiama Direktyva 2010/13/ES (Europos žiniasklaidos laisvės aktas) (OL L, 2024/1083, 2024 4 17, ELI: </w:t>
      </w:r>
      <w:hyperlink r:id="rId5" w:tgtFrame="_blank" w:tooltip="Prieiga prie šio dokumento suteikiama per ELI sistemoje jam suteiktą URI." w:history="1">
        <w:r w:rsidRPr="00ED0C5B">
          <w:rPr>
            <w:rStyle w:val="Hyperlink"/>
            <w:sz w:val="24"/>
            <w:lang w:val="lt-LT"/>
          </w:rPr>
          <w:t>http://data.europa.eu/eli/reg/2024/1083/oj</w:t>
        </w:r>
      </w:hyperlink>
      <w:r w:rsidRPr="00ED0C5B">
        <w:rPr>
          <w:sz w:val="24"/>
          <w:lang w:val="lt-LT"/>
        </w:rPr>
        <w:t>).</w:t>
      </w:r>
    </w:p>
  </w:footnote>
  <w:footnote w:id="10">
    <w:p w14:paraId="1FEE9271" w14:textId="1160B3D5"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Europos pilietinių laisvių sąjunga („Liberties“), „Liberties“ 2025 m. teisinės valstybės principo taikymo ataskaita: Slovakija; Europos Komisija, 2025 m. teisinės valstybės principo taikymo ataskaita. Šalies skyrius dėl Slovakijos; Slovakijos Respublikos viešojo teisių gynėjo tarnybos (ombudsmeno) informacija, 2025 m.</w:t>
      </w:r>
    </w:p>
  </w:footnote>
  <w:footnote w:id="11">
    <w:p w14:paraId="1E74CC00" w14:textId="320CBBA9"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Europos Žmogaus Teisių Teismo sprendimai: 2023 m. spalio 26 d. sprendimas byloje Plechlo prieš Slovakiją (18593/19) ir 2021 m. liepos 20 d. sprendimas byloje Zoltan Varga prieš Slovakiją (58361/12).</w:t>
      </w:r>
    </w:p>
  </w:footnote>
  <w:footnote w:id="12">
    <w:p w14:paraId="01C2D267" w14:textId="57431767"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2026 m. sausio 22 d. Europos Žmogaus Teisių Teismo sprendimas byloje J. S. prieš Slovakiją (35767/23).</w:t>
      </w:r>
    </w:p>
  </w:footnote>
  <w:footnote w:id="13">
    <w:p w14:paraId="2A0E67F3" w14:textId="5CF4FCF9" w:rsidR="00045D87" w:rsidRPr="00ED0C5B" w:rsidRDefault="00045D87" w:rsidP="00ED0C5B">
      <w:pPr>
        <w:pStyle w:val="FootnoteText"/>
        <w:ind w:left="567" w:hanging="567"/>
        <w:rPr>
          <w:i/>
          <w:iCs/>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2025 m. vasario 27 d. Europos Žmogaus Teisių Teismo sprendimas byloje Salay prieš Slovakiją (29359/22).</w:t>
      </w:r>
    </w:p>
  </w:footnote>
  <w:footnote w:id="14">
    <w:p w14:paraId="05B6A768" w14:textId="4F99B4C2"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r w:rsidRPr="00ED0C5B">
        <w:rPr>
          <w:sz w:val="24"/>
          <w:lang w:val="lt-LT"/>
        </w:rPr>
        <w:t>Europos Žmogaus Teisių Teismo sprendimai: 2020 m. rugsėjo 1 d. sprendimas byloje R. R. ir R. D. prieš Slovakiją, 2022 m. rugsėjo 8 d. sprendimas byloje P. H. prieš Slovakiją (37574/19) ir 2024 m. spalio 24 d. sprendimas byloje B. B. prieš Slovakiją (48587/21).</w:t>
      </w:r>
    </w:p>
  </w:footnote>
  <w:footnote w:id="15">
    <w:p w14:paraId="4B40E7E5" w14:textId="60CC7610" w:rsidR="00045D87" w:rsidRPr="00ED0C5B" w:rsidRDefault="00045D87" w:rsidP="00ED0C5B">
      <w:pPr>
        <w:pStyle w:val="FootnoteText"/>
        <w:ind w:left="567" w:hanging="567"/>
        <w:rPr>
          <w:sz w:val="24"/>
          <w:lang w:val="lt-LT"/>
        </w:rPr>
      </w:pPr>
      <w:r w:rsidRPr="00ED0C5B">
        <w:rPr>
          <w:rStyle w:val="FootnoteReference"/>
          <w:sz w:val="24"/>
          <w:lang w:val="lt-LT"/>
        </w:rPr>
        <w:footnoteRef/>
      </w:r>
      <w:r w:rsidR="00ED0C5B" w:rsidRPr="00ED0C5B">
        <w:rPr>
          <w:sz w:val="24"/>
          <w:lang w:val="lt-LT"/>
        </w:rPr>
        <w:t xml:space="preserve"> </w:t>
      </w:r>
      <w:r w:rsidR="00ED0C5B" w:rsidRPr="00ED0C5B">
        <w:rPr>
          <w:sz w:val="24"/>
          <w:lang w:val="lt-LT"/>
        </w:rPr>
        <w:tab/>
      </w:r>
      <w:hyperlink r:id="rId6" w:history="1">
        <w:r w:rsidRPr="003C69C4">
          <w:rPr>
            <w:rStyle w:val="Hyperlink"/>
            <w:sz w:val="24"/>
            <w:lang w:val="lt-LT"/>
          </w:rPr>
          <w:t>https://www.liberties.eu/f/vdxw3e</w:t>
        </w:r>
      </w:hyperlink>
      <w:r w:rsidRPr="00ED0C5B">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DB4B" w14:textId="77777777" w:rsidR="00064002" w:rsidRPr="00ED0C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9D53" w14:textId="77777777" w:rsidR="00064002" w:rsidRPr="00ED0C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95EE" w14:textId="77777777" w:rsidR="00064002" w:rsidRPr="00ED0C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6078086">
    <w:abstractNumId w:val="9"/>
  </w:num>
  <w:num w:numId="2" w16cid:durableId="453062667">
    <w:abstractNumId w:val="9"/>
  </w:num>
  <w:num w:numId="3" w16cid:durableId="1889220597">
    <w:abstractNumId w:val="7"/>
  </w:num>
  <w:num w:numId="4" w16cid:durableId="2062092455">
    <w:abstractNumId w:val="7"/>
  </w:num>
  <w:num w:numId="5" w16cid:durableId="492725884">
    <w:abstractNumId w:val="6"/>
  </w:num>
  <w:num w:numId="6" w16cid:durableId="1227953085">
    <w:abstractNumId w:val="6"/>
  </w:num>
  <w:num w:numId="7" w16cid:durableId="948321910">
    <w:abstractNumId w:val="5"/>
  </w:num>
  <w:num w:numId="8" w16cid:durableId="395056547">
    <w:abstractNumId w:val="5"/>
  </w:num>
  <w:num w:numId="9" w16cid:durableId="504321358">
    <w:abstractNumId w:val="4"/>
  </w:num>
  <w:num w:numId="10" w16cid:durableId="801193840">
    <w:abstractNumId w:val="4"/>
  </w:num>
  <w:num w:numId="11" w16cid:durableId="852645326">
    <w:abstractNumId w:val="8"/>
  </w:num>
  <w:num w:numId="12" w16cid:durableId="1073357834">
    <w:abstractNumId w:val="8"/>
  </w:num>
  <w:num w:numId="13" w16cid:durableId="844898365">
    <w:abstractNumId w:val="3"/>
  </w:num>
  <w:num w:numId="14" w16cid:durableId="1284851192">
    <w:abstractNumId w:val="3"/>
  </w:num>
  <w:num w:numId="15" w16cid:durableId="175198021">
    <w:abstractNumId w:val="2"/>
  </w:num>
  <w:num w:numId="16" w16cid:durableId="1054499612">
    <w:abstractNumId w:val="2"/>
  </w:num>
  <w:num w:numId="17" w16cid:durableId="2101027487">
    <w:abstractNumId w:val="1"/>
  </w:num>
  <w:num w:numId="18" w16cid:durableId="331564762">
    <w:abstractNumId w:val="1"/>
  </w:num>
  <w:num w:numId="19" w16cid:durableId="2008247591">
    <w:abstractNumId w:val="0"/>
  </w:num>
  <w:num w:numId="20" w16cid:durableId="2021198799">
    <w:abstractNumId w:val="0"/>
  </w:num>
  <w:num w:numId="21" w16cid:durableId="1757899097">
    <w:abstractNumId w:val="9"/>
  </w:num>
  <w:num w:numId="22" w16cid:durableId="2019186193">
    <w:abstractNumId w:val="7"/>
  </w:num>
  <w:num w:numId="23" w16cid:durableId="1992370765">
    <w:abstractNumId w:val="6"/>
  </w:num>
  <w:num w:numId="24" w16cid:durableId="393356122">
    <w:abstractNumId w:val="5"/>
  </w:num>
  <w:num w:numId="25" w16cid:durableId="1265848932">
    <w:abstractNumId w:val="4"/>
  </w:num>
  <w:num w:numId="26" w16cid:durableId="444692818">
    <w:abstractNumId w:val="8"/>
  </w:num>
  <w:num w:numId="27" w16cid:durableId="1826554912">
    <w:abstractNumId w:val="3"/>
  </w:num>
  <w:num w:numId="28" w16cid:durableId="1798521974">
    <w:abstractNumId w:val="2"/>
  </w:num>
  <w:num w:numId="29" w16cid:durableId="1331106859">
    <w:abstractNumId w:val="1"/>
  </w:num>
  <w:num w:numId="30" w16cid:durableId="457769749">
    <w:abstractNumId w:val="0"/>
  </w:num>
  <w:num w:numId="31" w16cid:durableId="1067606680">
    <w:abstractNumId w:val="9"/>
  </w:num>
  <w:num w:numId="32" w16cid:durableId="1380783933">
    <w:abstractNumId w:val="7"/>
  </w:num>
  <w:num w:numId="33" w16cid:durableId="1678187129">
    <w:abstractNumId w:val="6"/>
  </w:num>
  <w:num w:numId="34" w16cid:durableId="658853652">
    <w:abstractNumId w:val="5"/>
  </w:num>
  <w:num w:numId="35" w16cid:durableId="1920365863">
    <w:abstractNumId w:val="4"/>
  </w:num>
  <w:num w:numId="36" w16cid:durableId="1641692680">
    <w:abstractNumId w:val="8"/>
  </w:num>
  <w:num w:numId="37" w16cid:durableId="899444346">
    <w:abstractNumId w:val="3"/>
  </w:num>
  <w:num w:numId="38" w16cid:durableId="1520123206">
    <w:abstractNumId w:val="2"/>
  </w:num>
  <w:num w:numId="39" w16cid:durableId="654801560">
    <w:abstractNumId w:val="1"/>
  </w:num>
  <w:num w:numId="40" w16cid:durableId="1161198521">
    <w:abstractNumId w:val="0"/>
  </w:num>
  <w:num w:numId="41" w16cid:durableId="839274363">
    <w:abstractNumId w:val="10"/>
  </w:num>
  <w:num w:numId="42" w16cid:durableId="439572147">
    <w:abstractNumId w:val="10"/>
  </w:num>
  <w:num w:numId="43" w16cid:durableId="1183932095">
    <w:abstractNumId w:val="10"/>
  </w:num>
  <w:num w:numId="44" w16cid:durableId="18330656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LT"/>
    <w:docVar w:name="dvnumam" w:val="0"/>
    <w:docVar w:name="dvpe" w:val="783.288"/>
    <w:docVar w:name="dvtitre" w:val="2026 m. geguzes 20 d. Europos Parlamento rezoliucija dėl teisinės valstybės, pagrindinių teisių ir netinkamo ES lėšų naudojimo Slovakijoje: reikalingas ES atsakas(B10-0245/2026(RSP))"/>
  </w:docVars>
  <w:rsids>
    <w:rsidRoot w:val="00053AFF"/>
    <w:rsid w:val="00002272"/>
    <w:rsid w:val="00045D87"/>
    <w:rsid w:val="00053AFF"/>
    <w:rsid w:val="00064002"/>
    <w:rsid w:val="000677B9"/>
    <w:rsid w:val="000831BA"/>
    <w:rsid w:val="000A42CC"/>
    <w:rsid w:val="000E7DD9"/>
    <w:rsid w:val="0010095E"/>
    <w:rsid w:val="00125B37"/>
    <w:rsid w:val="00187494"/>
    <w:rsid w:val="001F32AE"/>
    <w:rsid w:val="002767FF"/>
    <w:rsid w:val="002B18FE"/>
    <w:rsid w:val="002B5493"/>
    <w:rsid w:val="00332744"/>
    <w:rsid w:val="00343214"/>
    <w:rsid w:val="00361C00"/>
    <w:rsid w:val="00395FA1"/>
    <w:rsid w:val="003B25D2"/>
    <w:rsid w:val="003C69C4"/>
    <w:rsid w:val="003E15D4"/>
    <w:rsid w:val="00411CCE"/>
    <w:rsid w:val="0041666E"/>
    <w:rsid w:val="00421060"/>
    <w:rsid w:val="00465EC3"/>
    <w:rsid w:val="00471C19"/>
    <w:rsid w:val="004867E3"/>
    <w:rsid w:val="00494A28"/>
    <w:rsid w:val="004C0004"/>
    <w:rsid w:val="004C5D52"/>
    <w:rsid w:val="0050519A"/>
    <w:rsid w:val="005072A1"/>
    <w:rsid w:val="00514517"/>
    <w:rsid w:val="00545827"/>
    <w:rsid w:val="00560270"/>
    <w:rsid w:val="00567964"/>
    <w:rsid w:val="005C2568"/>
    <w:rsid w:val="005F1B17"/>
    <w:rsid w:val="006037C0"/>
    <w:rsid w:val="006631B6"/>
    <w:rsid w:val="00680577"/>
    <w:rsid w:val="006F74FA"/>
    <w:rsid w:val="00731ADD"/>
    <w:rsid w:val="00734777"/>
    <w:rsid w:val="00747932"/>
    <w:rsid w:val="00751A4A"/>
    <w:rsid w:val="00756632"/>
    <w:rsid w:val="00762C74"/>
    <w:rsid w:val="00786EC0"/>
    <w:rsid w:val="007D017F"/>
    <w:rsid w:val="007D1690"/>
    <w:rsid w:val="007E22AD"/>
    <w:rsid w:val="00817416"/>
    <w:rsid w:val="00835731"/>
    <w:rsid w:val="00842779"/>
    <w:rsid w:val="008454D8"/>
    <w:rsid w:val="00865F67"/>
    <w:rsid w:val="00881A7B"/>
    <w:rsid w:val="008840E5"/>
    <w:rsid w:val="00887B3E"/>
    <w:rsid w:val="008C2AC6"/>
    <w:rsid w:val="00911D40"/>
    <w:rsid w:val="00930C23"/>
    <w:rsid w:val="0093193B"/>
    <w:rsid w:val="0095027F"/>
    <w:rsid w:val="009509D8"/>
    <w:rsid w:val="00950B64"/>
    <w:rsid w:val="00952EB0"/>
    <w:rsid w:val="0097299C"/>
    <w:rsid w:val="00981893"/>
    <w:rsid w:val="009E5312"/>
    <w:rsid w:val="00A1687D"/>
    <w:rsid w:val="00A43E52"/>
    <w:rsid w:val="00A4678D"/>
    <w:rsid w:val="00A778C7"/>
    <w:rsid w:val="00AB441E"/>
    <w:rsid w:val="00AB5BA7"/>
    <w:rsid w:val="00AB6293"/>
    <w:rsid w:val="00AE0928"/>
    <w:rsid w:val="00AF3B82"/>
    <w:rsid w:val="00B12E95"/>
    <w:rsid w:val="00B22876"/>
    <w:rsid w:val="00B558F0"/>
    <w:rsid w:val="00B9712B"/>
    <w:rsid w:val="00BD48FE"/>
    <w:rsid w:val="00BD7BD8"/>
    <w:rsid w:val="00BE6ADC"/>
    <w:rsid w:val="00C05BFE"/>
    <w:rsid w:val="00C07AF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C5B"/>
    <w:rsid w:val="00ED169E"/>
    <w:rsid w:val="00ED4235"/>
    <w:rsid w:val="00F0305C"/>
    <w:rsid w:val="00F04346"/>
    <w:rsid w:val="00F075DC"/>
    <w:rsid w:val="00F149E9"/>
    <w:rsid w:val="00F5134D"/>
    <w:rsid w:val="00F73A1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44E1B"/>
  <w15:chartTrackingRefBased/>
  <w15:docId w15:val="{70FE2DB4-4B32-4905-BBBB-7C61333DA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5D87"/>
    <w:pPr>
      <w:spacing w:before="480" w:after="240"/>
    </w:pPr>
  </w:style>
  <w:style w:type="paragraph" w:customStyle="1" w:styleId="NormalHanging12a">
    <w:name w:val="NormalHanging12a"/>
    <w:basedOn w:val="Normal"/>
    <w:link w:val="NormalHanging12aChar"/>
    <w:rsid w:val="00045D87"/>
    <w:pPr>
      <w:spacing w:after="240"/>
      <w:ind w:left="567" w:hanging="567"/>
    </w:pPr>
  </w:style>
  <w:style w:type="character" w:styleId="Hyperlink">
    <w:name w:val="Hyperlink"/>
    <w:basedOn w:val="DefaultParagraphFont"/>
    <w:uiPriority w:val="99"/>
    <w:unhideWhenUsed/>
    <w:rsid w:val="00045D87"/>
    <w:rPr>
      <w:color w:val="0563C1" w:themeColor="hyperlink"/>
      <w:u w:val="single"/>
    </w:rPr>
  </w:style>
  <w:style w:type="character" w:customStyle="1" w:styleId="NormalHanging12aChar">
    <w:name w:val="NormalHanging12a Char"/>
    <w:basedOn w:val="DefaultParagraphFont"/>
    <w:link w:val="NormalHanging12a"/>
    <w:rsid w:val="00045D87"/>
    <w:rPr>
      <w:sz w:val="24"/>
      <w:lang w:val="lt-L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045D87"/>
    <w:pPr>
      <w:widowControl/>
      <w:spacing w:after="160" w:line="240" w:lineRule="exact"/>
    </w:pPr>
    <w:rPr>
      <w:sz w:val="20"/>
      <w:vertAlign w:val="superscript"/>
      <w:lang w:val="en-GB"/>
    </w:rPr>
  </w:style>
  <w:style w:type="character" w:customStyle="1" w:styleId="Hyperlink0">
    <w:name w:val="Hyperlink.0"/>
    <w:basedOn w:val="DefaultParagraphFont"/>
    <w:rsid w:val="00045D87"/>
    <w:rPr>
      <w:outline w:val="0"/>
      <w:color w:val="000000"/>
      <w:u w:color="000000"/>
    </w:rPr>
  </w:style>
  <w:style w:type="paragraph" w:styleId="Revision">
    <w:name w:val="Revision"/>
    <w:hidden/>
    <w:uiPriority w:val="99"/>
    <w:semiHidden/>
    <w:rsid w:val="00F73A12"/>
    <w:rPr>
      <w:sz w:val="24"/>
      <w:lang w:val="lt-LT"/>
    </w:rPr>
  </w:style>
  <w:style w:type="character" w:styleId="UnresolvedMention">
    <w:name w:val="Unresolved Mention"/>
    <w:basedOn w:val="DefaultParagraphFont"/>
    <w:uiPriority w:val="99"/>
    <w:semiHidden/>
    <w:unhideWhenUsed/>
    <w:rsid w:val="003C6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4702</Words>
  <Characters>33142</Characters>
  <Application>Microsoft Office Word</Application>
  <DocSecurity>0</DocSecurity>
  <Lines>2209</Lines>
  <Paragraphs>788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KRANKALIENĖ Neringa</cp:lastModifiedBy>
  <cp:revision>2</cp:revision>
  <cp:lastPrinted>2004-11-19T15:42:00Z</cp:lastPrinted>
  <dcterms:created xsi:type="dcterms:W3CDTF">2026-06-29T07:38:00Z</dcterms:created>
  <dcterms:modified xsi:type="dcterms:W3CDTF">2026-06-29T07:38:00Z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B10-0245/2026</vt:lpwstr>
  </property>
  <property fmtid="{D5CDD505-2E9C-101B-9397-08002B2CF9AE}" pid="4" name="&lt;Type&gt;">
    <vt:lpwstr>RR</vt:lpwstr>
  </property>
</Properties>
</file>