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3159" w14:paraId="6D35E3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E3FC5A" w14:textId="77777777" w:rsidR="00751A4A" w:rsidRPr="00BD3159" w:rsidRDefault="00732E7D" w:rsidP="0010095E">
            <w:pPr>
              <w:pStyle w:val="EPName"/>
            </w:pPr>
            <w:r w:rsidRPr="00BD3159">
              <w:t>Parlament Ewropew</w:t>
            </w:r>
          </w:p>
          <w:p w14:paraId="4F54B979" w14:textId="77777777" w:rsidR="00751A4A" w:rsidRPr="00BD31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3159">
              <w:t>2024</w:t>
            </w:r>
            <w:r w:rsidR="00817416" w:rsidRPr="00BD3159">
              <w:t>-202</w:t>
            </w:r>
            <w:r w:rsidRPr="00BD3159">
              <w:t>9</w:t>
            </w:r>
          </w:p>
        </w:tc>
        <w:tc>
          <w:tcPr>
            <w:tcW w:w="2268" w:type="dxa"/>
            <w:shd w:val="clear" w:color="auto" w:fill="auto"/>
          </w:tcPr>
          <w:p w14:paraId="005C3A51" w14:textId="77777777" w:rsidR="00751A4A" w:rsidRPr="00BD3159" w:rsidRDefault="00187494" w:rsidP="0010095E">
            <w:pPr>
              <w:pStyle w:val="EPLogo"/>
            </w:pPr>
            <w:r w:rsidRPr="00BD3159">
              <w:rPr>
                <w:noProof/>
                <w:lang w:eastAsia="ja-JP"/>
              </w:rPr>
              <w:drawing>
                <wp:inline distT="0" distB="0" distL="0" distR="0" wp14:anchorId="55C32C0A" wp14:editId="3B7D72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600129" w14:textId="77777777" w:rsidR="00D058B8" w:rsidRPr="00BD3159" w:rsidRDefault="00D058B8" w:rsidP="004C5D52">
      <w:pPr>
        <w:pStyle w:val="LineTop"/>
      </w:pPr>
    </w:p>
    <w:p w14:paraId="491967B9" w14:textId="77777777" w:rsidR="00680577" w:rsidRPr="00BD3159" w:rsidRDefault="00732E7D" w:rsidP="00680577">
      <w:pPr>
        <w:pStyle w:val="EPBodyTA1"/>
      </w:pPr>
      <w:r w:rsidRPr="00BD3159">
        <w:t>TESTI ADOTTATI</w:t>
      </w:r>
    </w:p>
    <w:p w14:paraId="6EACF846" w14:textId="77777777" w:rsidR="00D058B8" w:rsidRPr="00BD3159" w:rsidRDefault="00D058B8" w:rsidP="00D058B8">
      <w:pPr>
        <w:pStyle w:val="LineBottom"/>
      </w:pPr>
    </w:p>
    <w:p w14:paraId="7CBD8DFC" w14:textId="2E48910F" w:rsidR="00732E7D" w:rsidRPr="00BD3159" w:rsidRDefault="00732E7D" w:rsidP="00732E7D">
      <w:pPr>
        <w:pStyle w:val="ATHeading1"/>
      </w:pPr>
      <w:bookmarkStart w:id="0" w:name="TANumber"/>
      <w:r w:rsidRPr="00BD3159">
        <w:t>P10_TA(2026)0</w:t>
      </w:r>
      <w:r w:rsidR="00E43B0D">
        <w:t>184</w:t>
      </w:r>
      <w:bookmarkEnd w:id="0"/>
    </w:p>
    <w:p w14:paraId="0EFD06CB" w14:textId="77777777" w:rsidR="00732E7D" w:rsidRPr="00BD3159" w:rsidRDefault="00732E7D" w:rsidP="00732E7D">
      <w:pPr>
        <w:pStyle w:val="ATHeading2"/>
      </w:pPr>
      <w:bookmarkStart w:id="1" w:name="title"/>
      <w:r w:rsidRPr="00BD3159">
        <w:t>L-istat tad-dritt, id-drittijiet fundamentali u l-użu ħażin tal-fondi tal-UE fis-Slovakkja: il-ħtieġa ta’ rispons tal-UE</w:t>
      </w:r>
      <w:bookmarkEnd w:id="1"/>
    </w:p>
    <w:p w14:paraId="1BFA522B" w14:textId="77777777" w:rsidR="00732E7D" w:rsidRPr="00BD3159" w:rsidRDefault="00732E7D" w:rsidP="00732E7D">
      <w:pPr>
        <w:rPr>
          <w:i/>
          <w:vanish/>
        </w:rPr>
      </w:pPr>
      <w:r w:rsidRPr="00BD3159">
        <w:rPr>
          <w:i/>
        </w:rPr>
        <w:fldChar w:fldCharType="begin"/>
      </w:r>
      <w:r w:rsidRPr="00BD3159">
        <w:rPr>
          <w:i/>
        </w:rPr>
        <w:instrText xml:space="preserve"> TC"(</w:instrText>
      </w:r>
      <w:bookmarkStart w:id="2" w:name="DocNumber"/>
      <w:r w:rsidRPr="00BD3159">
        <w:rPr>
          <w:i/>
        </w:rPr>
        <w:instrText>B10-0245/2026</w:instrText>
      </w:r>
      <w:bookmarkEnd w:id="2"/>
      <w:r w:rsidRPr="00BD3159">
        <w:rPr>
          <w:i/>
        </w:rPr>
        <w:instrText xml:space="preserve">)"\l3 \n&gt; \* MERGEFORMAT </w:instrText>
      </w:r>
      <w:r w:rsidRPr="00BD3159">
        <w:rPr>
          <w:i/>
        </w:rPr>
        <w:fldChar w:fldCharType="end"/>
      </w:r>
    </w:p>
    <w:p w14:paraId="6D2F0CD7" w14:textId="77777777" w:rsidR="00732E7D" w:rsidRPr="00BD3159" w:rsidRDefault="00732E7D" w:rsidP="00732E7D">
      <w:pPr>
        <w:rPr>
          <w:vanish/>
        </w:rPr>
      </w:pPr>
      <w:bookmarkStart w:id="3" w:name="PE"/>
      <w:r w:rsidRPr="00BD3159">
        <w:rPr>
          <w:vanish/>
        </w:rPr>
        <w:t>PE783.288</w:t>
      </w:r>
      <w:bookmarkEnd w:id="3"/>
    </w:p>
    <w:p w14:paraId="1A0CF32C" w14:textId="6DBF5E6A" w:rsidR="00732E7D" w:rsidRPr="00BD3159" w:rsidRDefault="00732E7D" w:rsidP="00E3734B">
      <w:pPr>
        <w:pStyle w:val="ATHeading3"/>
      </w:pPr>
      <w:bookmarkStart w:id="4" w:name="Sujet"/>
      <w:r w:rsidRPr="00BD3159">
        <w:t xml:space="preserve">Riżoluzzjoni tal-Parlament Ewropew </w:t>
      </w:r>
      <w:r w:rsidR="00E3734B">
        <w:t>tal-2</w:t>
      </w:r>
      <w:r w:rsidR="00B713C1">
        <w:t>0</w:t>
      </w:r>
      <w:r w:rsidR="00E3734B">
        <w:t xml:space="preserve"> ta’ Mejju</w:t>
      </w:r>
      <w:r w:rsidRPr="00BD3159">
        <w:t xml:space="preserve"> 2026 dwar l-istat tad-dritt, id-drittijiet fundamentali u l-użu ħażin tal-fondi tal-UE fis-Slovakkja: il-ħtieġa ta’ rispons tal-UE</w:t>
      </w:r>
      <w:bookmarkEnd w:id="4"/>
      <w:r w:rsidRPr="00BD3159">
        <w:t xml:space="preserve"> </w:t>
      </w:r>
      <w:bookmarkStart w:id="5" w:name="References"/>
      <w:r w:rsidRPr="00BD3159">
        <w:t>(2026/2607(RSP))</w:t>
      </w:r>
      <w:bookmarkEnd w:id="5"/>
    </w:p>
    <w:p w14:paraId="5DFE35C9" w14:textId="77777777" w:rsidR="009F6AE5" w:rsidRPr="00BD3159" w:rsidRDefault="009F6AE5" w:rsidP="009F6AE5">
      <w:pPr>
        <w:pStyle w:val="EPComma"/>
      </w:pPr>
      <w:bookmarkStart w:id="6" w:name="TextBodyBegin"/>
      <w:bookmarkEnd w:id="6"/>
      <w:r w:rsidRPr="00BD3159">
        <w:rPr>
          <w:i/>
          <w:iCs/>
        </w:rPr>
        <w:t>Il-Parlament Ewropew</w:t>
      </w:r>
      <w:r w:rsidRPr="00BD3159">
        <w:t>,</w:t>
      </w:r>
    </w:p>
    <w:p w14:paraId="7C624399" w14:textId="77777777" w:rsidR="009F6AE5" w:rsidRPr="00BD3159" w:rsidRDefault="009F6AE5" w:rsidP="009F6AE5">
      <w:pPr>
        <w:pStyle w:val="NormalHanging12a"/>
        <w:widowControl/>
      </w:pPr>
      <w:r w:rsidRPr="00BD3159">
        <w:t>–</w:t>
      </w:r>
      <w:r w:rsidRPr="00BD3159">
        <w:tab/>
        <w:t>wara li kkunsidra t-Trattat dwar l-Unjoni Ewropea (TUE), b’mod partikolari l-Artikoli 2, 4, 4(3), 5, 6, 9 u 10 tiegħu, u t-Trattat dwar il-Funzjonament tal-Unjoni Ewropea (TFUE), b’mod partikolari l-Artikolu 20 tiegħu,</w:t>
      </w:r>
    </w:p>
    <w:p w14:paraId="60C82DC8" w14:textId="77777777" w:rsidR="009F6AE5" w:rsidRPr="00BD3159" w:rsidRDefault="009F6AE5" w:rsidP="009F6AE5">
      <w:pPr>
        <w:pStyle w:val="NormalHanging12a"/>
        <w:widowControl/>
      </w:pPr>
      <w:r w:rsidRPr="00BD3159">
        <w:t>–</w:t>
      </w:r>
      <w:r w:rsidRPr="00BD3159">
        <w:tab/>
        <w:t>wara li kkunsidra l-Karta tad-Drittijiet Fundamentali tal-Unjoni Ewropea (il-“Karta”),</w:t>
      </w:r>
    </w:p>
    <w:p w14:paraId="7A912C64" w14:textId="77777777" w:rsidR="009F6AE5" w:rsidRPr="00BD3159" w:rsidRDefault="009F6AE5" w:rsidP="009F6AE5">
      <w:pPr>
        <w:pStyle w:val="NormalHanging12a"/>
        <w:widowControl/>
      </w:pPr>
      <w:r w:rsidRPr="00BD3159">
        <w:t>–</w:t>
      </w:r>
      <w:r w:rsidRPr="00BD3159">
        <w:tab/>
        <w:t>wara li kkunsidra l-Konvenzjoni Ewropea dwar id-Drittijiet tal-Bniedem (KEDB) u l-protokolli tagħha, u s-sentenzi tal-Qorti Ewropea tad-Drittijiet tal-Bniedem dwar is-Slovakkja,</w:t>
      </w:r>
    </w:p>
    <w:p w14:paraId="2E60F742" w14:textId="77777777" w:rsidR="009F6AE5" w:rsidRPr="00BD3159" w:rsidRDefault="009F6AE5" w:rsidP="009F6AE5">
      <w:pPr>
        <w:pStyle w:val="NormalHanging12a"/>
        <w:widowControl/>
      </w:pPr>
      <w:r w:rsidRPr="00BD3159">
        <w:t>–</w:t>
      </w:r>
      <w:r w:rsidRPr="00BD3159">
        <w:tab/>
        <w:t>wara li kkunsidra d-Dikjarazzjoni Universali tad-Drittijiet tal-Bniedem,</w:t>
      </w:r>
    </w:p>
    <w:p w14:paraId="58FA6D6D" w14:textId="77777777" w:rsidR="009F6AE5" w:rsidRPr="00BD3159" w:rsidRDefault="009F6AE5" w:rsidP="009F6AE5">
      <w:pPr>
        <w:pStyle w:val="NormalHanging12a"/>
        <w:widowControl/>
      </w:pPr>
      <w:r w:rsidRPr="00BD3159">
        <w:t>–</w:t>
      </w:r>
      <w:r w:rsidRPr="00BD3159">
        <w:tab/>
        <w:t>wara li kkunsidra t-trattati internazzjonali dwar id-drittijiet tal-bniedem tan-Nazzjonijiet Uniti u tal-Kunsill tal-Ewropa,</w:t>
      </w:r>
    </w:p>
    <w:p w14:paraId="1A44CF42" w14:textId="77777777" w:rsidR="009F6AE5" w:rsidRPr="00BD3159" w:rsidRDefault="009F6AE5" w:rsidP="009F6AE5">
      <w:pPr>
        <w:pStyle w:val="NormalHanging12a"/>
        <w:widowControl/>
      </w:pPr>
      <w:r w:rsidRPr="00BD3159">
        <w:t>–</w:t>
      </w:r>
      <w:r w:rsidRPr="00BD3159">
        <w:tab/>
        <w:t>wara li kkunsidra d-Direttiva (UE) 2019/1937 tal-Parlament Ewropew u tal-Kunsill tat-23 ta’ Ottubru 2019 dwar il-protezzjoni ta’ persuni li jirrapportaw dwar ksur tal-liġi tal-Unjoni</w:t>
      </w:r>
      <w:r w:rsidRPr="00BD3159">
        <w:rPr>
          <w:rStyle w:val="FootnoteReference"/>
        </w:rPr>
        <w:footnoteReference w:id="1"/>
      </w:r>
      <w:r w:rsidRPr="00BD3159">
        <w:t xml:space="preserve"> (id-Direttiva dwar il-Protezzjoni tal-Informaturi),</w:t>
      </w:r>
    </w:p>
    <w:p w14:paraId="5CCFD697" w14:textId="77777777" w:rsidR="009F6AE5" w:rsidRPr="00BD3159" w:rsidRDefault="009F6AE5" w:rsidP="009F6AE5">
      <w:pPr>
        <w:pStyle w:val="NormalHanging12a"/>
        <w:widowControl/>
      </w:pPr>
      <w:r w:rsidRPr="00BD3159">
        <w:t>–</w:t>
      </w:r>
      <w:r w:rsidRPr="00BD3159">
        <w:tab/>
        <w:t>wara li kkunsidra r-Regolament (UE, Euratom) 2020/2092 tal-Parlament Ewropew u tal-Kunsill tas-16 ta’ Diċembru 2020 dwar reġim ġenerali ta’ kondizzjonalità għall-protezzjoni tal-baġit tal-Unjoni</w:t>
      </w:r>
      <w:r w:rsidRPr="00BD3159">
        <w:rPr>
          <w:rStyle w:val="FootnoteReference"/>
        </w:rPr>
        <w:footnoteReference w:id="2"/>
      </w:r>
      <w:r w:rsidRPr="00BD3159">
        <w:t xml:space="preserve"> (ir-Regolament dwar il-Kondizzjonalità tal-Istat tad-Dritt),</w:t>
      </w:r>
    </w:p>
    <w:p w14:paraId="2C6840DD" w14:textId="77777777" w:rsidR="009F6AE5" w:rsidRPr="00BD3159" w:rsidRDefault="009F6AE5" w:rsidP="009F6AE5">
      <w:pPr>
        <w:pStyle w:val="NormalHanging12a"/>
        <w:widowControl/>
      </w:pPr>
      <w:r w:rsidRPr="00BD3159">
        <w:t>–</w:t>
      </w:r>
      <w:r w:rsidRPr="00BD3159">
        <w:tab/>
        <w:t>wara li kkunsidra r-Regolament (UE) 2021/1060 tal-Parlament Ewropew u tal-Kunsill tal-24 ta’ Ġunju 2021 li jistipula dispożizzjonijiet komuni dwar il-Fond Ewropew għall-</w:t>
      </w:r>
      <w:r w:rsidRPr="00BD3159">
        <w:lastRenderedPageBreak/>
        <w:t>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BD3159">
        <w:rPr>
          <w:rStyle w:val="FootnoteReference"/>
        </w:rPr>
        <w:footnoteReference w:id="3"/>
      </w:r>
      <w:r w:rsidRPr="00BD3159">
        <w:t xml:space="preserve"> (ir-Regolament dwar Dispożizzjonijiet Komuni)</w:t>
      </w:r>
    </w:p>
    <w:p w14:paraId="368D283E" w14:textId="77777777" w:rsidR="009F6AE5" w:rsidRPr="00BD3159" w:rsidRDefault="009F6AE5" w:rsidP="009F6AE5">
      <w:pPr>
        <w:spacing w:before="100" w:beforeAutospacing="1" w:after="240"/>
        <w:ind w:left="567" w:right="-1" w:hanging="567"/>
        <w:rPr>
          <w:color w:val="000000" w:themeColor="text1"/>
          <w:szCs w:val="24"/>
        </w:rPr>
      </w:pPr>
      <w:r w:rsidRPr="00BD3159">
        <w:rPr>
          <w:color w:val="000000" w:themeColor="text1"/>
        </w:rPr>
        <w:t>–</w:t>
      </w:r>
      <w:r w:rsidRPr="00BD3159">
        <w:rPr>
          <w:color w:val="000000" w:themeColor="text1"/>
        </w:rPr>
        <w:tab/>
        <w:t xml:space="preserve">wara li kkunsidra r-riżoluzzjoni tiegħu tad-19 ta’ April 2018 dwar il-protezzjoni tal-ġurnalisti investigattivi fl-Ewropa: il-każ tal-ġurnalist Slovakk </w:t>
      </w:r>
      <w:proofErr w:type="spellStart"/>
      <w:r w:rsidRPr="00BD3159">
        <w:rPr>
          <w:color w:val="000000" w:themeColor="text1"/>
        </w:rPr>
        <w:t>Ján</w:t>
      </w:r>
      <w:proofErr w:type="spellEnd"/>
      <w:r w:rsidRPr="00BD3159">
        <w:rPr>
          <w:color w:val="000000" w:themeColor="text1"/>
        </w:rPr>
        <w:t xml:space="preserve"> </w:t>
      </w:r>
      <w:proofErr w:type="spellStart"/>
      <w:r w:rsidRPr="00BD3159">
        <w:rPr>
          <w:color w:val="000000" w:themeColor="text1"/>
        </w:rPr>
        <w:t>Kuciak</w:t>
      </w:r>
      <w:proofErr w:type="spellEnd"/>
      <w:r w:rsidRPr="00BD3159">
        <w:rPr>
          <w:color w:val="000000" w:themeColor="text1"/>
        </w:rPr>
        <w:t xml:space="preserve"> u ta’ Martina </w:t>
      </w:r>
      <w:proofErr w:type="spellStart"/>
      <w:r w:rsidRPr="00BD3159">
        <w:rPr>
          <w:color w:val="000000" w:themeColor="text1"/>
        </w:rPr>
        <w:t>Kušnírová</w:t>
      </w:r>
      <w:proofErr w:type="spellEnd"/>
      <w:r w:rsidRPr="00BD3159">
        <w:rPr>
          <w:rStyle w:val="FootnoteReference"/>
          <w:color w:val="000000" w:themeColor="text1"/>
          <w:szCs w:val="24"/>
        </w:rPr>
        <w:footnoteReference w:id="4"/>
      </w:r>
      <w:r w:rsidRPr="00BD3159">
        <w:rPr>
          <w:color w:val="000000" w:themeColor="text1"/>
        </w:rPr>
        <w:t>,</w:t>
      </w:r>
    </w:p>
    <w:p w14:paraId="604D90B6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t>–</w:t>
      </w:r>
      <w:r w:rsidRPr="00BD3159">
        <w:tab/>
        <w:t>wara li kkunsidra r-riżoluzzjoni tiegħu tat-28 ta’ Marzu 2019 dwar is-sitwazzjoni tal-istat tad-dritt u l-ġlieda kontra l-korruzzjoni fl-UE, b’mod speċifiku f’Malta u fis-Slovakkja</w:t>
      </w:r>
      <w:r w:rsidRPr="00BD3159">
        <w:rPr>
          <w:rStyle w:val="FootnoteReference"/>
          <w:szCs w:val="24"/>
        </w:rPr>
        <w:footnoteReference w:id="5"/>
      </w:r>
      <w:r w:rsidRPr="00BD3159">
        <w:t>,</w:t>
      </w:r>
    </w:p>
    <w:p w14:paraId="1AB58D2E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t>–</w:t>
      </w:r>
      <w:r w:rsidRPr="00BD3159">
        <w:tab/>
        <w:t>wara li kkunsidra r-riżoluzzjoni tiegħu tal-20 ta’ Ottubru 2022 dwar iż-żieda fir-reati ta’ mibegħda kontra persuni LGBTIQ+ fl-Ewropa kollha fid-dawl tal-qtil omofobiku reċenti fis-Slovakkja</w:t>
      </w:r>
      <w:r w:rsidRPr="00BD3159">
        <w:rPr>
          <w:rStyle w:val="FootnoteReference"/>
          <w:szCs w:val="24"/>
        </w:rPr>
        <w:footnoteReference w:id="6"/>
      </w:r>
      <w:r w:rsidRPr="00BD3159">
        <w:t>,</w:t>
      </w:r>
    </w:p>
    <w:p w14:paraId="41F5E93D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t>–</w:t>
      </w:r>
      <w:r w:rsidRPr="00BD3159">
        <w:tab/>
        <w:t>wara li kkunsidra r-riżoluzzjoni tiegħu tas-17 ta’ Jannar 2024 dwar ix-xoljiment ippjanat ta’ strutturi essenzjali kontra l-korruzzjoni fis-Slovakkja u l-implikazzjonijiet tiegħu għall-istat tad-dritt</w:t>
      </w:r>
      <w:r w:rsidRPr="00BD3159">
        <w:rPr>
          <w:rStyle w:val="FootnoteReference"/>
          <w:szCs w:val="24"/>
        </w:rPr>
        <w:footnoteReference w:id="7"/>
      </w:r>
      <w:r w:rsidRPr="00BD3159">
        <w:t>,</w:t>
      </w:r>
    </w:p>
    <w:p w14:paraId="1201A699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r-rapporti tiegħu wara l-missjonijiet tal-Kumitat għall-Kontroll tal-Baġit għas-Slovakkja mis-26 sat-28 ta’ Mejju 2025 u tal-Grupp ta’ Monitoraġġ tad-Demokrazija, l-Istat tad-Dritt u d-Drittijiet Fundamentali (DRFMG) tal-Kumitat għal-Libertajiet Ċivili, il-Ġustizzja u l-Intern għal Bratislava, is-Slovakkja, mill-1 sat-3 ta’ Ġunju 2025,</w:t>
      </w:r>
    </w:p>
    <w:p w14:paraId="64610276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l-kapitoli tal-pajjiżi dwar is-Slovakkja fir-rapporti annwali tal-Kummissjoni dwar l-istat tad-dritt,</w:t>
      </w:r>
    </w:p>
    <w:p w14:paraId="78A8629F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r-rapporti, l-istħarriġ u l-opinjonijiet tal-Aġenzija tal-Unjoni Ewropea għad-Drittijiet Fundamentali,</w:t>
      </w:r>
    </w:p>
    <w:p w14:paraId="6EDC7455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l-Pjattaforma tal-Kunsill tal-Ewropa għall-promozzjoni tal-protezzjoni tal-ġurnaliżmu u s-sikurezza tal-ġurnalisti u r-Rapport Annwali tiegħu tal-2025,</w:t>
      </w:r>
    </w:p>
    <w:p w14:paraId="1A67C36A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d-dikjarazzjoni, tat-30 ta’ April 2014, tal-Kumitat tal-Ministri tal-Kunsill tal-Ewropa dwar il-protezzjoni tal-ġurnaliżmu u s-sikurezza tal-ġurnalisti u tal-operaturi l-oħra fis-settur tal-mezzi tal-komunikazzjoni,</w:t>
      </w:r>
    </w:p>
    <w:p w14:paraId="19C06797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l-impenji mill-Istati Parteċipanti tal-Organizzazzjoni għas-Sigurtà u l-Kooperazzjoni fl-Ewropa dwar il-libertà tal-media, il-libertà tal-espressjoni u l-fluss liberu tal-informazzjoni,</w:t>
      </w:r>
    </w:p>
    <w:p w14:paraId="0552DA89" w14:textId="77777777" w:rsidR="009F6AE5" w:rsidRPr="00BD3159" w:rsidRDefault="009F6AE5" w:rsidP="009F6AE5">
      <w:pPr>
        <w:pStyle w:val="NormalHanging12a"/>
      </w:pPr>
      <w:r w:rsidRPr="00BD3159">
        <w:lastRenderedPageBreak/>
        <w:t>–</w:t>
      </w:r>
      <w:r w:rsidRPr="00BD3159">
        <w:tab/>
        <w:t>wara li kkunsidra r-Riżoluzzjoni Nru 464/2024 tat-20 ta’ Novembru 2024 tal-Kunsill Ġudizzjarju tar-Repubblika Slovakka li tesprimi tħassib dwar ir-reat kriminali ta’ “abbuż tal-liġi” u li tirrakkomanda r-revoka jew l-emenda tiegħu biex jiġu żgurati salvagwardji aktar b’saħħithom f’konformità mal-indipendenza ġudizzjarja,</w:t>
      </w:r>
    </w:p>
    <w:p w14:paraId="5696629B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d-dikjarazzjoni tal-Kummissjoni Internazzjonali ta’ Ġuristi tal-14 ta’ Frar 2025 li tqajjem tħassib dwar l-interferenza eżekuttiva apparenti fil-ħidma tal-Kunsill Ġudizzjarju tar-Repubblika Slovakka u tenfasizza l-ħtieġa li tiġi ssalvagwardjata l-indipendenza tal-kunsilli ġudizzjarji mill-influwenza parlamentari u eżekuttiva,</w:t>
      </w:r>
    </w:p>
    <w:p w14:paraId="6251ADEC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l-ittra miftuħa konġunta tas-16 ta’ Ottubru 2025 iffirmata minn 56 organizzazzjoni tas-soċjetà ċivili li esprimew tħassib profond dwar l-emendi kostituzzjonali li ġew adottati reċentement fis-Slovakkja u li stiednet lill-UE tieħu azzjoni urġenti,</w:t>
      </w:r>
    </w:p>
    <w:p w14:paraId="728A19DD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l-ittra tat-28 ta’ Novembru 2025 mill-Uffiċċju tal-Prosekutur Pubbliku Ewropew (UPPE) lill-Kummissjoni li tqajjem tħassib li l-emendi proposti għal-leġiżlazzjoni dwar il-protezzjoni tal-informaturi fis-Slovakkja jistgħu jkunu inkompatibbli mal-prinċipji tal-istat tad-dritt, jirrestrinġu l-protezzjoni għal ċerti kategoriji ta’ informaturi, jintroduċu effetti retroattivi fuq każijiet li għaddejjin u jaffettwaw b’mod negattiv il-protezzjoni tal-interessi finanzjarji tal-UE,</w:t>
      </w:r>
    </w:p>
    <w:p w14:paraId="370F190A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s-seduta pubblika tal-Kumitat għall-Kontroll tal-Baġit tas-27 ta’ Jannar 2026 dwar il-protezzjoni tal-interessi finanzjarji tal-UE fis-Slovakkja,</w:t>
      </w:r>
    </w:p>
    <w:p w14:paraId="594061E2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 xml:space="preserve">wara li kkunsidra l-Indiċi tal-Perċezzjoni tal-Korruzzjoni tal-2025, li ta punteġġ lis-Slovakkja ta’ 48 minn 100 u </w:t>
      </w:r>
      <w:proofErr w:type="spellStart"/>
      <w:r w:rsidRPr="00BD3159">
        <w:t>kklassifikaha</w:t>
      </w:r>
      <w:proofErr w:type="spellEnd"/>
      <w:r w:rsidRPr="00BD3159">
        <w:t xml:space="preserve"> fil-61 post globalment,</w:t>
      </w:r>
    </w:p>
    <w:p w14:paraId="15F7FF5C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 xml:space="preserve">wara li kkunsidra l-Indiċi tal-Ugwaljanza bejn il-Ġeneri tal-Istitut Ewropew għall-Ugwaljanza bejn is-Sessi, li ta punteġġ lis-Slovakkja ta’ 57,2 minn 100 u </w:t>
      </w:r>
      <w:proofErr w:type="spellStart"/>
      <w:r w:rsidRPr="00BD3159">
        <w:t>kklassifikaha</w:t>
      </w:r>
      <w:proofErr w:type="spellEnd"/>
      <w:r w:rsidRPr="00BD3159">
        <w:t xml:space="preserve"> fl-20 post fl-UE, li jindika li għamlet progress matul iż-żmien iżda għad għandha prestazzjoni taħt il-medja tal-UE,</w:t>
      </w:r>
    </w:p>
    <w:p w14:paraId="660C213F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t>–</w:t>
      </w:r>
      <w:r w:rsidRPr="00BD3159">
        <w:tab/>
        <w:t>wara li kkunsidra d-dikjarazzjonijiet tal-Kunsill u tal-Kummissjoni tal-11 ta’ Frar 2026 dwar l-istat tad-dritt, id-drittijiet fundamentali u l-użu ħażin tal-fondi tal-UE fis-Slovakkja: il-ħtieġa ta’ rispons tal-UE,</w:t>
      </w:r>
    </w:p>
    <w:p w14:paraId="7A6449E5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t>–</w:t>
      </w:r>
      <w:r w:rsidRPr="00BD3159">
        <w:tab/>
        <w:t>wara li kkunsidra r-riżoluzzjoni tiegħu tad-29 ta’ April 2026 b’osservazzjonijiet li jifformaw parti integrali mid-deċiżjonijiet dwar il-kwittanza għall-implimentazzjoni tal-baġit ġenerali tal-Unjoni Ewropea għas-sena finanzjarja 2024, it-Taqsima III – Il-Kummissjoni u l-aġenziji eżekuttivi u d-</w:t>
      </w:r>
      <w:proofErr w:type="spellStart"/>
      <w:r w:rsidRPr="00BD3159">
        <w:t>disa</w:t>
      </w:r>
      <w:proofErr w:type="spellEnd"/>
      <w:r w:rsidRPr="00BD3159">
        <w:t>’, l-għaxar u l-ħdax-il Fond Ewropew għall-Iżvilupp</w:t>
      </w:r>
      <w:r w:rsidRPr="00BD3159">
        <w:rPr>
          <w:rStyle w:val="FootnoteReference"/>
          <w:szCs w:val="24"/>
        </w:rPr>
        <w:footnoteReference w:id="8"/>
      </w:r>
      <w:r w:rsidRPr="00BD3159">
        <w:t>,</w:t>
      </w:r>
    </w:p>
    <w:p w14:paraId="7473D87D" w14:textId="77777777" w:rsidR="009F6AE5" w:rsidRPr="00BD3159" w:rsidRDefault="009F6AE5" w:rsidP="009F6AE5">
      <w:pPr>
        <w:pStyle w:val="NormalHanging12a"/>
      </w:pPr>
      <w:r w:rsidRPr="00BD3159">
        <w:t>–</w:t>
      </w:r>
      <w:r w:rsidRPr="00BD3159">
        <w:tab/>
        <w:t>wara li kkunsidra l-Artikolu 136(2) tar-Regoli ta’ Proċedura tiegħu,</w:t>
      </w:r>
    </w:p>
    <w:p w14:paraId="1B452ED2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t>A.</w:t>
      </w:r>
      <w:r w:rsidRPr="00BD3159">
        <w:rPr>
          <w:snapToGrid w:val="0"/>
        </w:rPr>
        <w:tab/>
      </w:r>
      <w:r w:rsidRPr="00BD3159">
        <w:t>billi l-UE hija bbażata fuq il-valuri tar-rispett għad-dinjità tal-bniedem, il-libertà, id-demokrazija, l-ugwaljanza, l-istat tad-dritt u r-rispett għad-drittijiet tal-bniedem, inklużi d-drittijiet ta’ persuni li jagħmlu parti minn minoranzi, kif stabbilit fl-Artikolu 2 tat-TUE u kif rifless fil-Karta u minqux fit-trattati internazzjonali dwar id-drittijiet tal-</w:t>
      </w:r>
      <w:r w:rsidRPr="00BD3159">
        <w:lastRenderedPageBreak/>
        <w:t>bniedem; billi dawn il-valuri huma kondiviżi mill-Istati Membri kollha u għandhom jiġu appoġġjati u promossi b’mod attiv mill-UE u minn kull Stat Membru b’mod individwali fil-politiki kollha tagħhom, kemm internament kif ukoll esternament b’mod konsistenti; billi l-Istati Membri għandhom jiżguraw li ma jkun hemm l-ebda rigress fil-protezzjoni tal-valuri minquxa fl-Artikolu 2 tat-TUE; billi kwalunkwe dgħufija ta’ dawn il-valuri tirriskja li tnaqqas id-drittijiet u l-libertajiet tal-persuni li jgħixu fl-UE;</w:t>
      </w:r>
    </w:p>
    <w:p w14:paraId="4821E80F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B.</w:t>
      </w:r>
      <w:r w:rsidRPr="00BD3159">
        <w:rPr>
          <w:snapToGrid w:val="0"/>
        </w:rPr>
        <w:tab/>
      </w:r>
      <w:r w:rsidRPr="00BD3159">
        <w:t>billi l-Artikolu 6(3) tat-TUE jirrikonoxxi li d-drittijiet fundamentali, kif iggarantiti mill-KEDB u kif jirriżultaw mit-tradizzjonijiet kostituzzjonali komuni għall-Istati Membri, jikkostitwixxu prinċipji ġenerali tad-dritt tal-UE;</w:t>
      </w:r>
    </w:p>
    <w:p w14:paraId="57D06303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C.</w:t>
      </w:r>
      <w:r w:rsidRPr="00BD3159">
        <w:rPr>
          <w:snapToGrid w:val="0"/>
        </w:rPr>
        <w:tab/>
      </w:r>
      <w:r w:rsidRPr="00BD3159">
        <w:t>billi l-funzjonament tal-UE jiddependi mill-fiduċja reċiproka bejn l-Istati Membri, ibbażata fuq is-suppożizzjoni li huma jirrispettaw id-demokrazija, l-istat tad-dritt u d-drittijiet fundamentali, kif iggarantiti mill-KEDB u mill-Karta;</w:t>
      </w:r>
    </w:p>
    <w:p w14:paraId="70734294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D.</w:t>
      </w:r>
      <w:r w:rsidRPr="00BD3159">
        <w:rPr>
          <w:snapToGrid w:val="0"/>
        </w:rPr>
        <w:tab/>
      </w:r>
      <w:r w:rsidRPr="00BD3159">
        <w:t>billi missjoni ta’ tiftix tal-fatti tad-DRFMG fis-Slovakkja mill-1 sat-3 ta’ Ġunju 2025 qajmet tħassib serju dwar ir-riformi tal-liġi kriminali li jdgħajfu l-isforzi kontra l-korruzzjoni, il-perjodi ta’ limitazzjoni mnaqqsa u l-użu ta’ proċeduri rapidi mingħajr konsultazzjoni adegwata; billi l-missjoni enfasizzat ukoll ir-riskji relatati mad-diskrezzjoni tal-prosekuzzjoni, in-nuqqas ta’ strateġija komprensiva kontra l-korruzzjoni, il-pressjoni dejjem akbar fuq il-ġudikatura, il-media u s-soċjetà ċivili, it-tnaqqis fil-libertà tal-media u proposti li jikkontestaw il-primazija tad-dritt tal-UE; billi, b’mod partikolari, ġie nnotat li l-ġlieda kontra l-korruzzjoni ma għadhiex prijorità tal-gvern, b’anqas prosekuzzjonijiet ta’ korruzzjoni li qed jitressqu, mhux minħabba livelli mnaqqsa ta’ korruzzjoni, iżda minħabba infurzar imnaqqas, u li l-ebda każ ġdid ewlieni ma jiġi segwit lil hinn minn dawk relatati mal-gvern preċedenti tal-Prim Ministru; billi ammont stmat ta’ 1 324 detenut ibbenefikaw allegatament minn riformi legali, u 446 minnhom ġew rilaxxati kmieni, li ħafna minnhom huma konnessi politikament;</w:t>
      </w:r>
    </w:p>
    <w:p w14:paraId="10CE1577" w14:textId="77777777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E.</w:t>
      </w:r>
      <w:r w:rsidRPr="00BD3159">
        <w:rPr>
          <w:snapToGrid w:val="0"/>
        </w:rPr>
        <w:tab/>
      </w:r>
      <w:r w:rsidRPr="00BD3159">
        <w:t>billi l-missjoni tal-Kumitat għall-Kontroll tal-Baġit fis-Slovakkja mis-26 sat-28 ta’ Mejju 2025 qajmet tħassib serju dwar il-funzjonament tas-sistemi ta’ kontroll u awditjar, il-ġestjoni tal-fondi tal-UE u l-ambjent usa’ tal-istat tad-dritt; billi l-missjoni saret fi klima politika mimlija tensjoni u kienet ikkaratterizzata minn attakki pubbliċi kontra l-membri tagħha u żvelat tħassib serju dwar it-trasparenza, l-informazzjoni kontradittorja pprovduta mill-awtoritajiet u mill-partijiet ikkonċernati, u ambjent ostili għas-soċjetà ċivili u għall-ġurnalisti investigattivi; billi enfasizzat ukoll ir-riskji relatati mal-ġestjoni tal-fondi tal-UE, inklużi d-dgħufijiet strutturali fil-mekkaniżmi ta’ sorveljanza, is-salvagwardji insuffiċjenti kontra l-frodi, u l-kapaċità investigattiva mnaqqsa wara ż-żarmar tal-Uffiċċju tal-Prosekutur Speċjali (SPO) u r-riforma tal-Kodiċi Kriminali, li jirriżultaw fi statistika preliminari allarmanti li skontha, fl-ewwel xhur tal-2025, żewġ akkużi biss allegatament inħarġu għal reati simili għal dawk li qabel kienu investigati mill-SPO; billi l-SPO qabel investiga bejn 120 u 150 akkuża kull sena; billi l-missjoni żvelat ukoll nuqqasijiet fl-użu effettiv tal-fondi tal-UE għal komunitajiet vulnerabbli, b’mod partikolari fl-implimentazzjoni tal-fondi tal-UE maħsuba għall-komunitajiet Rom;</w:t>
      </w:r>
    </w:p>
    <w:p w14:paraId="4D1A26B5" w14:textId="77777777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F.</w:t>
      </w:r>
      <w:r w:rsidRPr="00BD3159">
        <w:rPr>
          <w:snapToGrid w:val="0"/>
        </w:rPr>
        <w:tab/>
      </w:r>
      <w:r w:rsidRPr="00BD3159">
        <w:t xml:space="preserve">billi l-emenda għall-Kostituzzjoni Slovakka adottata fis-26 ta’ Settembru 2025 tissupplimenta l-Artikolu 7 tagħha b’dispożizzjonijiet addizzjonali dwar l-identità nazzjonali li jippermettu lill-awtoritajiet Slovakki, inklużi l-qrati, jivvalutaw jekk u sa liema punt id-dritt tal-UE japplika fis-Slovakkja, inklużi s-sentenzi tal-Qorti tal-Ġustizzja tal-Unjoni Ewropea (QĠUE); billi l-Kummissarju għad-Drittijiet tal-Bniedem </w:t>
      </w:r>
      <w:r w:rsidRPr="00BD3159">
        <w:lastRenderedPageBreak/>
        <w:t>tal-Kunsill tal-Ewropa, il-Kummissjoni ta’ Venezja u l-Kumitat tan-NU tad-Drittijiet tal-Bniedem qajmu tħassib dwar l-emenda; billi fil-21 ta’ Novembru 2025, il-Kummissjoni ddeċidiet li tiftaħ proċedura ta’ ksur billi bagħtet ittra ta’ intimazzjoni lis-Slovakkja talli kisret il-prinċipji fundamentali tad-dritt tal-UE, b’mod partikolari l-prinċipji tal-primazija, l-awtonomija, l-effettività u l-applikazzjoni uniformi tad-dritt tal-UE;</w:t>
      </w:r>
    </w:p>
    <w:p w14:paraId="7F4BDB98" w14:textId="77777777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G.</w:t>
      </w:r>
      <w:r w:rsidRPr="00BD3159">
        <w:rPr>
          <w:snapToGrid w:val="0"/>
        </w:rPr>
        <w:tab/>
      </w:r>
      <w:r w:rsidRPr="00BD3159">
        <w:t>billi s-sistema tal-ġustizzja tkompli tiffaċċja sfidi rigward l-effiċjenza tagħha, b’mod partikolari f’każijiet amministrattivi; billi fir-Rapport tagħha tal-2025 dwar l-Istat tad-Dritt, il-Kummissjoni rrakkomandat li s-Slovakkja tintroduċi miżuri biex tiżgura garanziji suffiċjenti ta’ indipendenza fir-rigward tat-tkeċċija ta’ membri tal-Kunsill Ġudizzjarju, b’mod partikolari dawk mhux eletti mill-imħallfin, filwaqt li jitqiesu l-istandards Ewropej dwar l-indipendenza tal-kunsilli ġudizzjarji, u biex tiżgura li jkun hemm salvagwardji suffiċjenti fis-seħħ u li jiġu debitament osservati meta tiġi vvalutata r-responsabbiltà kriminali tal-imħallfin għar-reat ta’ “abbuż tal-liġi” fid-deċiżjonijiet ġudizzjarji tagħhom;</w:t>
      </w:r>
    </w:p>
    <w:p w14:paraId="1C34615D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H.</w:t>
      </w:r>
      <w:r w:rsidRPr="00BD3159">
        <w:rPr>
          <w:snapToGrid w:val="0"/>
        </w:rPr>
        <w:tab/>
      </w:r>
      <w:r w:rsidRPr="00BD3159">
        <w:t>billi fir-Rapport tagħha tal-2025 dwar l-Istat tad-Dritt, il-Kummissjoni rrakkomandat li s-Slovakkja tintroduċi proposti biex tirregola l-pressjoni u ssaħħaħ is-sistema tad-dikjarazzjoni u l-verifika tal-assi, u tkompli fl-isforzi kontinwi tagħha biex tirriforma r-regoli dwar il-kunflitt ta’ interess u biex tiżgura l-investigazzjonijiet u l-prosekuzzjonijiet effettivi u indipendenti ta’ każijiet ta’ korruzzjoni ta’ livell għoli sabiex tistabbilixxi rekord robust, inkluż billi tipprevjeni kwalunkwe interferenza bla bżonn u tillimita l-użu tas-setgħat tal-Prosekutur Ġenerali li jannulla deċiżjonijiet investigattivi u ta’ prosekuzzjoni finali;</w:t>
      </w:r>
    </w:p>
    <w:p w14:paraId="2087EC1A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I.</w:t>
      </w:r>
      <w:r w:rsidRPr="00BD3159">
        <w:rPr>
          <w:snapToGrid w:val="0"/>
        </w:rPr>
        <w:tab/>
      </w:r>
      <w:r w:rsidRPr="00BD3159">
        <w:t>billi fit-8 ta’ Mejju 2025, wara rakkomandazzjoni tal-Uffiċċju Ewropew ta’ Kontra l-Frodi (OLAF), il-Kummissjoni adottat deċiżjoni ta’ implimentazzjoni dwar it-tnaqqis tal-appoġġ skont il-Faċilità għall-Irkupru u r-Reżiljenza f’każ ta’ kunflitt ta’ interessi f’konformità mal-Artikoli 22(5) tar-Regolament (UE) 2021/241 u l-Artikolu 19(1) u (2), il-punt (a), tal-Ftehim ta’ Finanzjament għas-Slovakkja (C(2025)0294);</w:t>
      </w:r>
    </w:p>
    <w:p w14:paraId="19796795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J.</w:t>
      </w:r>
      <w:r w:rsidRPr="00BD3159">
        <w:rPr>
          <w:snapToGrid w:val="0"/>
        </w:rPr>
        <w:tab/>
      </w:r>
      <w:r w:rsidRPr="00BD3159">
        <w:t xml:space="preserve">billi fis-6 ta’ Ġunju 2025, il-Grupp ta’ Stati kontra l-Korruzzjoni (GRECO) adotta r-Rapport </w:t>
      </w:r>
      <w:r w:rsidRPr="00BD3159">
        <w:rPr>
          <w:i/>
          <w:iCs/>
        </w:rPr>
        <w:t>ad hoc</w:t>
      </w:r>
      <w:r w:rsidRPr="00BD3159">
        <w:t xml:space="preserve"> tiegħu dwar ir-Repubblika Slovakka, li fih indirizza għadd ta’ rakkomandazzjonijiet fid-dawl tas-sejbiet rigward l-użu tal-proċedura leġiżlattiva rapida, it-tqassir tal-perjodi ta’ limitazzjoni, it-tnaqqis tas-sentenzi kriminali, ir-riformi istituzzjonali li jaffettwaw is-servizz ta’ prosekuzzjoni pubblika u l-forza tal-pulizija, kif ukoll l-applikazzjoni tar-reat tal-“abbuż tal-liġi”; billi fis-6 u s-7 ta’ Marzu 2026, il-Kummissjoni ta’ Venezja u d-Direttorat Ġenerali għad-Drittijiet tal-Bniedem u l-Istat tad-Dritt tal-Kunsill tal-Ewropa indikaw li r-reat kriminali tal-abbuż tal-liġi huwa ta’ tħassib, peress li jirriskja b’mod inerenti li jdgħajjef l-indipendenza ġudizzjarja, u tennew li t-triq ewlenija tar-rikors għandha tkun rieżami ordinarju tal-appell;</w:t>
      </w:r>
    </w:p>
    <w:p w14:paraId="61877334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K.</w:t>
      </w:r>
      <w:r w:rsidRPr="00BD3159">
        <w:rPr>
          <w:snapToGrid w:val="0"/>
        </w:rPr>
        <w:tab/>
      </w:r>
      <w:r w:rsidRPr="00BD3159">
        <w:t xml:space="preserve">billi fir-Rapport tagħha tal-2025 dwar l-Istat tad-Dritt, il-Kummissjoni rrakkomandat li s-Slovakkja ssaħħaħ ir-regoli u l-mekkaniżmi biex tirrestawra u tissalvagwardja aktar il-governanza indipendenti u l-indipendenza editorjali tal-media tas-servizz pubbliku, filwaqt li tqis l-istandards Ewropej dwar il-media tas-servizz pubbliku, u li tavvanza bil-proċess li tistabbilixxi salvagwardji leġiżlattivi u oħrajn biex ittejjeb is-sikurezza fiżika u l-ambjent tax-xogħol tal-ġurnalisti, inkluża riforma tal-liġi dwar il-malafama, filwaqt li jitqiesu l-istandards Ewropej dwar il-protezzjoni tal-ġurnalisti; billi l-Gvern u l-Parlament Slovakki ħatru l-Bord Slovakk tat-Televiżjoni u tar-Radju (STVR) fl-2025, u </w:t>
      </w:r>
      <w:r w:rsidRPr="00BD3159">
        <w:lastRenderedPageBreak/>
        <w:t>dan huwa magħmul esklużivament minn persuni nominati tal-koalizzjoni fil-gvern bħalissa, riflessi fl-għażla tad-Direttur Ġenerali u fil-pressjoni sinifikanti fuq il-persunal tal-STVR fir-rigward tal-kontenut editorjali;</w:t>
      </w:r>
    </w:p>
    <w:p w14:paraId="245B74F3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L.</w:t>
      </w:r>
      <w:r w:rsidRPr="00BD3159">
        <w:rPr>
          <w:snapToGrid w:val="0"/>
        </w:rPr>
        <w:tab/>
      </w:r>
      <w:r w:rsidRPr="00BD3159">
        <w:t>billi fil-11 ta’ Frar 2026, il-Qorti Kostituzzjonali Slovakka ddeċidiet li titlob deċiżjoni preliminari tal-QĠUE (C-107/26) rigward il-kompatibbiltà tal-Liġi dwar it-Televiżjoni u r-Radju Slovakki mal-Att Ewropew dwar il-Libertà tal-Media</w:t>
      </w:r>
      <w:r w:rsidRPr="00BD3159">
        <w:rPr>
          <w:rStyle w:val="FootnoteReference"/>
          <w:szCs w:val="24"/>
        </w:rPr>
        <w:footnoteReference w:id="9"/>
      </w:r>
      <w:r w:rsidRPr="00BD3159">
        <w:t>;</w:t>
      </w:r>
    </w:p>
    <w:p w14:paraId="63A246B2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M.</w:t>
      </w:r>
      <w:r w:rsidRPr="00BD3159">
        <w:rPr>
          <w:snapToGrid w:val="0"/>
        </w:rPr>
        <w:tab/>
      </w:r>
      <w:r w:rsidRPr="00BD3159">
        <w:t xml:space="preserve">billi fil-passat, attakki pubbliċi minn politiċi fis-Slovakkja kontra ġurnalisti, is-soċjetà ċivili u gruppi vulnerabbli kkontribwew għal tip ta’ normalizzazzjoni ta’ diskors ta’ mibegħda, li fih twettqu delitti vjolenti serji, inkluż il-qtil ta’ </w:t>
      </w:r>
      <w:proofErr w:type="spellStart"/>
      <w:r w:rsidRPr="00BD3159">
        <w:t>Ján</w:t>
      </w:r>
      <w:proofErr w:type="spellEnd"/>
      <w:r w:rsidRPr="00BD3159">
        <w:t xml:space="preserve"> </w:t>
      </w:r>
      <w:proofErr w:type="spellStart"/>
      <w:r w:rsidRPr="00BD3159">
        <w:t>Kuciak</w:t>
      </w:r>
      <w:proofErr w:type="spellEnd"/>
      <w:r w:rsidRPr="00BD3159">
        <w:t xml:space="preserve"> u Martina </w:t>
      </w:r>
      <w:proofErr w:type="spellStart"/>
      <w:r w:rsidRPr="00BD3159">
        <w:t>Kušnírová</w:t>
      </w:r>
      <w:proofErr w:type="spellEnd"/>
      <w:r w:rsidRPr="00BD3159">
        <w:t xml:space="preserve">; billi l-qtil ta’ </w:t>
      </w:r>
      <w:proofErr w:type="spellStart"/>
      <w:r w:rsidRPr="00BD3159">
        <w:t>Ján</w:t>
      </w:r>
      <w:proofErr w:type="spellEnd"/>
      <w:r w:rsidRPr="00BD3159">
        <w:t xml:space="preserve"> </w:t>
      </w:r>
      <w:proofErr w:type="spellStart"/>
      <w:r w:rsidRPr="00BD3159">
        <w:t>Kuciak</w:t>
      </w:r>
      <w:proofErr w:type="spellEnd"/>
      <w:r w:rsidRPr="00BD3159">
        <w:t xml:space="preserve"> u Martina </w:t>
      </w:r>
      <w:proofErr w:type="spellStart"/>
      <w:r w:rsidRPr="00BD3159">
        <w:t>Kušnírová</w:t>
      </w:r>
      <w:proofErr w:type="spellEnd"/>
      <w:r w:rsidRPr="00BD3159">
        <w:t xml:space="preserve"> huwa wieħed mill-aktar każijiet kumplessi li qed jiġu investigati; billi dan il-każ kien qed jiġi ssorveljat mill-SPO u issa jinsab taħt l-awtorità tal-Prosekutur Ġenerali;</w:t>
      </w:r>
    </w:p>
    <w:p w14:paraId="637F123F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N.</w:t>
      </w:r>
      <w:r w:rsidRPr="00BD3159">
        <w:rPr>
          <w:snapToGrid w:val="0"/>
        </w:rPr>
        <w:tab/>
      </w:r>
      <w:r w:rsidRPr="00BD3159">
        <w:t>billi fir-Rapport tagħha tal-2025 dwar l-Istat tad-Dritt, il-Kummissjoni rrakkomandat li s-Slovakkja tiżgura konsultazzjonijiet pubbliċi effettivi u involviment tal-partijiet ikkonċernati fil-proċess tat-tfassil tal-liġi, inkluż billi tindirizza l-użu frekwenti tal-proċedura rapida; billi fl-2025, 20 % tal-liġijiet li għaddew mill-Parlament Slovakk ġew diskussi u adottati skont il-proċedura leġiżlattiva rapida;</w:t>
      </w:r>
    </w:p>
    <w:p w14:paraId="1CEBF732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O.</w:t>
      </w:r>
      <w:r w:rsidRPr="00BD3159">
        <w:rPr>
          <w:snapToGrid w:val="0"/>
        </w:rPr>
        <w:tab/>
      </w:r>
      <w:r w:rsidRPr="00BD3159">
        <w:t>billi fit-12 ta’ Diċembru 2025, il-Parlament Slovakk biddel il-leġiżlazzjoni dwar il-protezzjoni tal-informaturi permezz ta’ proċedura rapida; billi fis-17 ta’ Diċembru 2025, il-Qorti Kostituzzjonali Slovakka ssospendiet l-effett ta’ dawk il-bidliet; billi fit-30 ta’ Jannar 2026, il-Kummissjoni ddeċidiet li tiftaħ proċedura ta’ ksur billi bagħtet ittra ta’ intimazzjoni lis-Slovakkja talli kisret ir-regoli tal-UE dwar il-protezzjoni tal-informaturi;</w:t>
      </w:r>
    </w:p>
    <w:p w14:paraId="2376F9C1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P.</w:t>
      </w:r>
      <w:r w:rsidRPr="00BD3159">
        <w:rPr>
          <w:snapToGrid w:val="0"/>
        </w:rPr>
        <w:tab/>
      </w:r>
      <w:r w:rsidRPr="00BD3159">
        <w:t>billi fis-16 ta’ April 2025, il-Parlament Slovakk emenda l-leġiżlazzjoni dwar l-organizzazzjonijiet mingħajr skop ta’ qligħ; billi l-Kummissarju għad-Drittijiet tal-Bniedem tal-Kunsill tal-Ewropa u l-Kummissjoni ta’ Venezja esprimew tħassib dwar il-konformità tal-emenda mal-KEDB; billi l-organizzazzjonijiet mhux governattivi (NGOs) ġew soġġetti għal kampanji ta’ malafama, theddid u intimidazzjoni</w:t>
      </w:r>
      <w:r w:rsidRPr="00BD3159">
        <w:rPr>
          <w:rStyle w:val="FootnoteReference"/>
          <w:color w:val="000000"/>
          <w:spacing w:val="-2"/>
        </w:rPr>
        <w:footnoteReference w:id="10"/>
      </w:r>
      <w:r w:rsidRPr="00BD3159">
        <w:t>; billi fis-17 ta’ Diċembru 2025, il-Qorti Kostituzzjonali kkonkludiet li l-emenda ma tikkonformax mal-Kostituzzjoni Slovakka jew mal-KEDB; billi minkejja din is-sentenza, l-awtoritajiet Slovakki introduċew miżuri alternattivi li jżidu s-sorveljanza amministrattiva tal-organizzazzjonijiet tas-soċjetà ċivili u emendaw ir-regoli tat-trasparenza, filwaqt li qajmu tħassib dwar il-pressjoni kontinwa mqiegħda fuq l-ispazju ċiviku;</w:t>
      </w:r>
    </w:p>
    <w:p w14:paraId="26582A9F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Q.</w:t>
      </w:r>
      <w:r w:rsidRPr="00BD3159">
        <w:rPr>
          <w:snapToGrid w:val="0"/>
        </w:rPr>
        <w:tab/>
      </w:r>
      <w:r w:rsidRPr="00BD3159">
        <w:t xml:space="preserve">billi l-esperti tan-NU dwar id-drittijiet tal-bniedem u l-Kumitat tan-NU dwar id-Drittijiet tal-Bniedem qajmu tħassib dwar l-istigmatizzazzjoni u l-persekuzzjoni tal-NGOs, tal-ġurnalisti u tal-organizzazzjonijiet tas-soċjetà ċivili fis-Slovakkja, kif ukoll </w:t>
      </w:r>
      <w:r w:rsidRPr="00BD3159">
        <w:lastRenderedPageBreak/>
        <w:t>dwar ir-restrizzjonijiet fuq l-ispazju ċiviku; billi l-Kumitat stieden lis-Slovakkja tirrieżamina u temenda l-leġiżlazzjoni tagħha biex tiżgura li d-dritt ta’ għaqda paċifika jkun protett bis-sħiħ u tiżgura qafas xieraq għall-NGOs; billi s-Slovakkja tibqa’ taħt proċedura msaħħa fir-rigward tal-eżekuzzjoni ta’ sentenzi tal-Qorti Ewropea tad-Drittijiet tal-Bniedem minħabba nuqqas ta’ salvagwardji fir-rigward ta’ sorveljanza sigrieta</w:t>
      </w:r>
      <w:r w:rsidRPr="00BD3159">
        <w:rPr>
          <w:rStyle w:val="FootnoteReference"/>
          <w:color w:val="000000"/>
          <w:spacing w:val="-2"/>
        </w:rPr>
        <w:footnoteReference w:id="11"/>
      </w:r>
      <w:r w:rsidRPr="00BD3159">
        <w:t>;</w:t>
      </w:r>
    </w:p>
    <w:p w14:paraId="1F67D082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R.</w:t>
      </w:r>
      <w:r w:rsidRPr="00BD3159">
        <w:rPr>
          <w:snapToGrid w:val="0"/>
        </w:rPr>
        <w:tab/>
      </w:r>
      <w:r w:rsidRPr="00BD3159">
        <w:t>billi fil-11 ta’ Diċembru 2025, il-Parlament Slovakk emenda l-Kodiċi Kriminali sabiex jikkriminalizza l-imblukkar tal-kampanja elettorali “b’rabta ma’ qawwa barranija jew ma’ aġent barrani”; billi fis-27 ta’ Marzu 2026, tressqet proposta biex tiġi emendata l-leġiżlazzjoni dwar il-kundizzjonijiet għall-eżerċitar tad-dritt tal-vot sabiex il-voti postali minn barra l-pajjiż jiġu sostitwiti b’votazzjoni fiżika f’rappreżentazzjonijiet diplomatiċi u konsulari;</w:t>
      </w:r>
    </w:p>
    <w:p w14:paraId="6CB6CE49" w14:textId="77777777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S.</w:t>
      </w:r>
      <w:r w:rsidRPr="00BD3159">
        <w:rPr>
          <w:snapToGrid w:val="0"/>
        </w:rPr>
        <w:tab/>
      </w:r>
      <w:r w:rsidRPr="00BD3159">
        <w:t>billi l-emendi għall-Kostituzzjoni adottati fis-26 ta’ Settembru 2025 introduċew dispożizzjonijiet relatati mal-adozzjoni, mal-attivitajiet edukattivi u mad-definizzjoni kostituzzjonali tas-sess; billi l-Kummissarju għad-Drittijiet tal-Bniedem tal-Kunsill tal-Ewropa u l-Kummissjoni ta’ Venezja esprimew tħassib dwar dawn l-emendi;</w:t>
      </w:r>
    </w:p>
    <w:p w14:paraId="3C14B62A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T.</w:t>
      </w:r>
      <w:r w:rsidRPr="00BD3159">
        <w:rPr>
          <w:snapToGrid w:val="0"/>
        </w:rPr>
        <w:tab/>
      </w:r>
      <w:r w:rsidRPr="00BD3159">
        <w:t>billi hemm nuqqasijiet sistemiċi fl-investigazzjoni u l-prosekuzzjoni effettivi ta’ atti ta’ vjolenza domestika fis-Slovakkja, kif enfasizzat mill-ġurisprudenza tal-Qorti Ewropea tad-Drittijiet tal-Bniedem</w:t>
      </w:r>
      <w:r w:rsidRPr="00BD3159">
        <w:rPr>
          <w:rStyle w:val="FootnoteReference"/>
          <w:color w:val="000000"/>
          <w:spacing w:val="-2"/>
        </w:rPr>
        <w:footnoteReference w:id="12"/>
      </w:r>
      <w:r w:rsidRPr="00BD3159">
        <w:t>;</w:t>
      </w:r>
    </w:p>
    <w:p w14:paraId="019D359D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U.</w:t>
      </w:r>
      <w:r w:rsidRPr="00BD3159">
        <w:rPr>
          <w:snapToGrid w:val="0"/>
        </w:rPr>
        <w:tab/>
      </w:r>
      <w:r w:rsidRPr="00BD3159">
        <w:t>billi l-Kawża C-799/23, Il-Kummissjoni vs Is-Slovakkja, għadha pendenti quddiem il-QĠUE; billi s-Slovakkja għadha taħt proċedura msaħħa fir-rigward tal-eżekuzzjoni ta’ sentenza tal-Qorti Ewropea tad-Drittijiet tal-Bniedem dwar ir-reġistrazzjoni diskriminatorja u t-tagħlim tat-tfal Rom fi klassijiet speċjali fl-iskejjel primarji għat-tfal b’diżabbiltà intellettwali</w:t>
      </w:r>
      <w:r w:rsidRPr="00BD3159">
        <w:rPr>
          <w:rStyle w:val="FootnoteReference"/>
          <w:color w:val="000000"/>
          <w:spacing w:val="-2"/>
        </w:rPr>
        <w:footnoteReference w:id="13"/>
      </w:r>
      <w:r w:rsidRPr="00BD3159">
        <w:t>; billi fil-25 ta’ Frar 2025, il-Kummissarju għad-Drittijiet tal-Bniedem tal-Kunsill tal-Ewropa talab għal miżuri urġenti biex jiġu indirizzati l-kundizzjonijiet ta’ għajxien inadegwati tal-komunitajiet Rom emarġinati; billi l-Kummissarju għamel rakkomandazzjonijiet dwar il-garanzija tal-aċċess għal edukazzjoni inklużiva u ta’ kwalità għat-tfal Rom u t-tmiem tas-segregazzjoni tagħhom, u dwar l-indirizzar tal-</w:t>
      </w:r>
      <w:proofErr w:type="spellStart"/>
      <w:r w:rsidRPr="00BD3159">
        <w:t>antiżingariżmu</w:t>
      </w:r>
      <w:proofErr w:type="spellEnd"/>
      <w:r w:rsidRPr="00BD3159">
        <w:t xml:space="preserve"> u d-diskriminazzjoni, speċjalment fil-pulizija; billi s-Slovakkja tibqa’ taħt proċedura msaħħa fir-rigward tal-eżekuzzjoni ta’ sentenzi tal-Qorti Ewropea tad-Drittijiet tal-Bniedem dwar it-trattament tar-Rom mill-pulizija</w:t>
      </w:r>
      <w:r w:rsidRPr="00BD3159">
        <w:rPr>
          <w:rStyle w:val="FootnoteReference"/>
          <w:color w:val="000000"/>
          <w:spacing w:val="-2"/>
        </w:rPr>
        <w:footnoteReference w:id="14"/>
      </w:r>
      <w:r w:rsidRPr="00BD3159">
        <w:t>;</w:t>
      </w:r>
    </w:p>
    <w:p w14:paraId="071E7F09" w14:textId="77777777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V.</w:t>
      </w:r>
      <w:r w:rsidRPr="00BD3159">
        <w:rPr>
          <w:snapToGrid w:val="0"/>
        </w:rPr>
        <w:tab/>
      </w:r>
      <w:r w:rsidRPr="00BD3159">
        <w:t>billi r-Rapport tal-2025 dwar l-Istat tad-Dritt mill-Unjoni tal-Libertajiet Ċivili għall-Ewropa</w:t>
      </w:r>
      <w:r w:rsidRPr="00BD3159">
        <w:rPr>
          <w:rStyle w:val="FootnoteReference"/>
          <w:color w:val="000000"/>
          <w:spacing w:val="-2"/>
          <w:szCs w:val="24"/>
        </w:rPr>
        <w:footnoteReference w:id="15"/>
      </w:r>
      <w:r w:rsidRPr="00BD3159">
        <w:t xml:space="preserve"> jenfasizza tħassib persistenti fis-Slovakkja fl-oqsma tal-indipendenza ġudizzjarja, il-qafas kontra l-korruzzjoni, il-libertà tal-media, l-użu ta’ proċeduri </w:t>
      </w:r>
      <w:r w:rsidRPr="00BD3159">
        <w:lastRenderedPageBreak/>
        <w:t>leġiżlattivi rapidi, l-ispazju ċiviku u d-drittijiet fundamentali, b’mod partikolari fir-rigward ta’ minoranzi u gruppi vulnerabbli;</w:t>
      </w:r>
    </w:p>
    <w:p w14:paraId="37FC3C2F" w14:textId="0C5952FB" w:rsidR="009F6AE5" w:rsidRPr="00BD3159" w:rsidRDefault="009F6AE5" w:rsidP="009F6AE5">
      <w:pPr>
        <w:pStyle w:val="NormalHanging12a"/>
        <w:rPr>
          <w:spacing w:val="-2"/>
          <w:szCs w:val="24"/>
        </w:rPr>
      </w:pPr>
      <w:r w:rsidRPr="00BD3159">
        <w:rPr>
          <w:snapToGrid w:val="0"/>
        </w:rPr>
        <w:t>W.</w:t>
      </w:r>
      <w:r w:rsidRPr="00BD3159">
        <w:rPr>
          <w:snapToGrid w:val="0"/>
        </w:rPr>
        <w:tab/>
      </w:r>
      <w:r w:rsidRPr="00BD3159">
        <w:t xml:space="preserve">billi fil-11 ta’ Diċembru 2025, il-Parlament Slovakk emenda l-Kodiċi Kriminali sabiex jikkriminalizza </w:t>
      </w:r>
      <w:r w:rsidR="00E43B0D" w:rsidRPr="00E43B0D">
        <w:t xml:space="preserve">d-dubji </w:t>
      </w:r>
      <w:r w:rsidR="00B1559E">
        <w:t>fuq i</w:t>
      </w:r>
      <w:r w:rsidR="00E43B0D" w:rsidRPr="00E43B0D">
        <w:t>d-digrieti ta’</w:t>
      </w:r>
      <w:r w:rsidRPr="00BD3159">
        <w:t xml:space="preserve"> </w:t>
      </w:r>
      <w:r w:rsidR="00E43B0D">
        <w:t>“</w:t>
      </w:r>
      <w:r w:rsidRPr="00BD3159">
        <w:t xml:space="preserve">wara t-tieni Gwerra Dinjija”; billi </w:t>
      </w:r>
      <w:r w:rsidR="00E43B0D" w:rsidRPr="00E43B0D">
        <w:t xml:space="preserve">din il-liġi adottata reċentement tirriskja li toħloq effett dissważiv fuq il-libertà tal-espressjoni u l-libertà akkademika, kif protetti skont il-Karta tad-Drittijiet Fundamentali tal-Unjoni Ewropea; billi l-konfiska kontinwa tal-art abbażi tad-digrieti msemmija hawn fuq li ġew applikati b’mod partikolari għaċ-ċittadini li jappartjenu għall-minoranza nazzjonali Ungeriża hija fil-fatt skema ta’ ħtif tal-art, li ċaħħdet lil mijiet ta’ sidien minn art ta’ valur u tqajjem tħassib dwar iċ-ċertezza legali u r-rispett għall-istat tad-dritt; billi </w:t>
      </w:r>
      <w:r w:rsidRPr="00BD3159">
        <w:t>fit-2 ta’ Frar 2022, il-Kumitat Konsultattiv dwar il-Konvenzjoni Qafas għall-Protezzjoni tal-Minoranzi Nazzjonali stieden lill-awtoritajiet Slovakki jidħlu fi djalogu mar-rappreżentanti tal-minoranzi nazzjonali kkonċernati dwar kwalunkwe effett negattiv possibbli tar-regolament tal-1945 dwar il-konfiska tal-proprjetà fuq ir-relazzjonijiet interetniċi attwali;</w:t>
      </w:r>
    </w:p>
    <w:p w14:paraId="629DBA17" w14:textId="77777777" w:rsidR="009F6AE5" w:rsidRPr="00BD3159" w:rsidRDefault="009F6AE5" w:rsidP="009F6AE5">
      <w:pPr>
        <w:pStyle w:val="NormalHanging12a"/>
        <w:rPr>
          <w:rFonts w:eastAsiaTheme="majorEastAsia"/>
        </w:rPr>
      </w:pPr>
      <w:r w:rsidRPr="00BD3159">
        <w:t>1.</w:t>
      </w:r>
      <w:r w:rsidRPr="00BD3159">
        <w:tab/>
        <w:t>Jesprimi tħassib serju dwar id-deterjorament tad-demokrazija, tal-istat tad-dritt u tad-drittijiet fundamentali fis-Slovakkja; jenfasizza li l-aderenza verifikabbli mill-Istati Membri mal-istat tad-dritt kif ukoll mal-Karta trid titqies bħala prekundizzjoni essenzjali biex jirċievu kwalunkwe finanzjament tal-UE; jissottolinja li l-programmi u l-investimenti kollha ffinanzjati mill-baġit tal-UE jridu jservu l-interess pubbliku; jisħaq fuq il-fatt li n-nuqqasijiet sistemiċi fl-istat tad-dritt, b’mod partikolari fl-indipendenza tal-ġudikatura u fis-sistemi tal-awditjar u tal-kontroll, jipperikolaw il-protezzjoni tal-interessi finanzjarji tal-UE;</w:t>
      </w:r>
    </w:p>
    <w:p w14:paraId="57F8F2CC" w14:textId="77777777" w:rsidR="009F6AE5" w:rsidRPr="00BD3159" w:rsidRDefault="009F6AE5" w:rsidP="009F6AE5">
      <w:pPr>
        <w:pStyle w:val="NormalHanging12a"/>
        <w:rPr>
          <w:rFonts w:eastAsiaTheme="majorEastAsia"/>
        </w:rPr>
      </w:pPr>
      <w:r w:rsidRPr="00BD3159">
        <w:t>2.</w:t>
      </w:r>
      <w:r w:rsidRPr="00BD3159">
        <w:tab/>
        <w:t>Jistieden lill-Kummissjoni tivvaluta jekk jistax ikun hemm riskju ċar ta’ ksur serju mis-Slovakkja tal-valuri msemmija fl-Artikolu 2 tat-TUE;</w:t>
      </w:r>
      <w:r w:rsidRPr="00BD3159">
        <w:rPr>
          <w:rStyle w:val="Hyperlink0"/>
        </w:rPr>
        <w:t xml:space="preserve"> jistieden, barra minn hekk, lill-Kummissjoni</w:t>
      </w:r>
      <w:r w:rsidRPr="00BD3159">
        <w:t xml:space="preserve"> tagħmel użu sħiħ mill-istrumenti kollha disponibbli biex tindirizza t-tħassib dwar id-demokrazija, l-istat tad-dritt u d-drittijiet fundamentali, billi tibda b’għodod preventivi u kooperattivi fil-qafas tar-rapport annwali tagħha dwar l-istat tad-dritt, bil-għan li tiġi żgurata l-konformità mal-valuri minquxa fl-Artikolu 2 tat-TUE; jisħaq, madankollu, fuq il-fatt li fejn it-tħassib jippersisti u jiġi </w:t>
      </w:r>
      <w:proofErr w:type="spellStart"/>
      <w:r w:rsidRPr="00BD3159">
        <w:t>ssostanzjat</w:t>
      </w:r>
      <w:proofErr w:type="spellEnd"/>
      <w:r w:rsidRPr="00BD3159">
        <w:t xml:space="preserve"> kif xieraq, il-Kummissjoni ma għandhiex toqgħod lura milli tagħmel użu mill-miżuri ta’ infurzar kollha għad-dispożizzjoni tagħha biex tipproteġi l-baġit tal-UE u tirrispetta l-valuri minquxa fl-Artikolu 2 tat-TUE, inklużi l-proċeduri ta’ ksur, u, b’mod partikolari, il-proċeduri ta’ ksur rapidi, applikazzjonijiet għal miżuri interim quddiem il-QĠUE u azzjonijiet rigward in-nuqqas ta’ implimentazzjoni tas-sentenzi tal-QĠUE, kif ukoll awditi msaħħa, sospensjoni tal-pagamenti, applikazzjoni sistematika tal-korrezzjonijiet finanzjarji u proċeduri ta’ rkupru;</w:t>
      </w:r>
    </w:p>
    <w:p w14:paraId="04877246" w14:textId="77777777" w:rsidR="009F6AE5" w:rsidRPr="00BD3159" w:rsidRDefault="009F6AE5" w:rsidP="009F6AE5">
      <w:pPr>
        <w:pStyle w:val="NormalHanging12a"/>
      </w:pPr>
      <w:r w:rsidRPr="00BD3159">
        <w:t>3.</w:t>
      </w:r>
      <w:r w:rsidRPr="00BD3159">
        <w:tab/>
        <w:t xml:space="preserve">Jesprimi dispjaċir għall-fatt li s-Slovakkja adottat sensiela ta’ emendi fil-liġi kriminali u fil-liġi tal-proċedura kriminali tagħha, inkluż tnaqqis fil-penali għall-korruzzjoni u għar-reati finanzjarji, tqassir tal-perjodi ta’ limitazzjoni u l-għeluq ta’ entitajiet speċjalizzati kontra l-korruzzjoni, l-Aġenzija Nazzjonali għall-Kriminalità u l-Uffiċċju tal-Prosekutur Speċjali, li rriżultaw f’dewmien fl-investigazzjonijiet trasferiti lil korpi oħra u tnaqqis sinifikanti fl-għadd ta’ każijiet ta’ korruzzjoni, u li jdgħajfu l-prosekuzzjoni ta’ reati li jinvolvu fondi tal-UE; jesprimi tħassib dwar is-setgħat diskrezzjonali wiesgħa mogħtija lill-Prosekutur Ġenerali fis-Slovakkja skont l-Artikolu 363 tal-Kodiċi dwar il-Proċedura Kriminali Slovakk, li jistgħu jippermettu l-interruzzjoni jew id-dewmien tal-proċedimenti kriminali għal raġunijiet formali mingħajr salvagwardji suffiċjenti, u </w:t>
      </w:r>
      <w:r w:rsidRPr="00BD3159">
        <w:lastRenderedPageBreak/>
        <w:t>b’hekk joħolqu riskji għall-investigazzjoni u l-prosekuzzjoni effettivi tal-kawżi, b’mod partikolari reati relatati mal-korruzzjoni; jesprimi tħassib dwar il-fastidju u l-investigazzjoni rrapportati ta’ investigaturi preċedenti kontra l-korruzzjoni u jqis li dawn l-azzjonijiet jdgħajfu l-ġlieda kontra l-korruzzjoni, jirriskjaw li jdgħajfu l-protezzjoni tal-interessi finanzjarji tal-UE u jista’ jkollhom effett dissważiv fuq investigazzjonijiet indipendenti; jesprimi aktar tħassib dwar is-sejba ta’ kunflitti ta’ interess fl-implimentazzjoni tal-Faċilità għall-Irkupru u r-Reżiljenza;</w:t>
      </w:r>
    </w:p>
    <w:p w14:paraId="5B37AC10" w14:textId="77777777" w:rsidR="009F6AE5" w:rsidRPr="00BD3159" w:rsidRDefault="009F6AE5" w:rsidP="009F6AE5">
      <w:pPr>
        <w:pStyle w:val="NormalHanging12a"/>
        <w:rPr>
          <w:rFonts w:eastAsiaTheme="majorEastAsia"/>
        </w:rPr>
      </w:pPr>
      <w:r w:rsidRPr="00BD3159">
        <w:t>4.</w:t>
      </w:r>
      <w:r w:rsidRPr="00BD3159">
        <w:tab/>
        <w:t xml:space="preserve">Jesprimi tħassib serju dwar l-emendi kostituzzjonali fis-Slovakkja, b’mod partikolari dawk li jillimitaw id-drittijiet fundamentali, l-istat tad-dritt u l-primazija tad-dritt tal-UE; jinnota bi tħassib li l-organizzazzjonijiet tas-soċjetà ċivili wissew li dawn l-emendi jistgħu jiksru d-drittijiet fundamentali; jisħaq fuq il-fatt li d-dispożizzjonijiet kostituzzjonali jridu jiġu fformulati bi preċiżjoni suffiċjenti biex tiġi </w:t>
      </w:r>
      <w:proofErr w:type="spellStart"/>
      <w:r w:rsidRPr="00BD3159">
        <w:t>pprevenuta</w:t>
      </w:r>
      <w:proofErr w:type="spellEnd"/>
      <w:r w:rsidRPr="00BD3159">
        <w:t xml:space="preserve"> l-interpretazzjoni arbitrarja u jridu jikkonformaw bis-sħiħ mal-obbligi skont id-dritt tal-UE, inkluża l-Karta, kif ukoll mal-istandards internazzjonali tad-drittijiet tal-bniedem; ifakkar li l-primazija tad-dritt tal-UE u n-natura vinkolanti tal-obbligi internazzjonali jridu jiġu rrispettati bis-sħiħ u li l-ebda dispożizzjoni kostituzzjonali ma tista’ tiġġustifika n-nuqqas ta’ konformità mas-sentenzi tal-QĠUE jew tal-Qorti Ewropea tad-Drittijiet tal-Bniedem; jistieden lill-awtoritajiet Slovakki jiżguraw li l-Kostituzzjoni tagħha tikkonforma bis-sħiħ mad-dritt tal-UE u mad-dritt internazzjonali dwar id-drittijiet tal-bniedem u tqis ir-rakkomandazzjonijiet tal-Kummissjoni ta’ Venezja u tal-korpi internazzjonali tad-drittijiet tal-bniedem, b’mod partikolari fir-rigward tal-primazija tad-dritt tal-UE, id-drittijiet għall-ħajja privata u tal-familja, in-nondiskriminazzjoni abbażi tal-ġeneru u tal-orjentazzjoni sesswali u d-dritt għall-edukazzjoni;</w:t>
      </w:r>
    </w:p>
    <w:p w14:paraId="01D0CA57" w14:textId="77777777" w:rsidR="009F6AE5" w:rsidRPr="00BD3159" w:rsidRDefault="009F6AE5" w:rsidP="009F6AE5">
      <w:pPr>
        <w:pStyle w:val="NormalHanging12a"/>
        <w:rPr>
          <w:rFonts w:eastAsiaTheme="majorEastAsia"/>
        </w:rPr>
      </w:pPr>
      <w:r w:rsidRPr="00BD3159">
        <w:t>5.</w:t>
      </w:r>
      <w:r w:rsidRPr="00BD3159">
        <w:tab/>
        <w:t>Jistieden lill-Kummissjoni tivvaluta l-konformità tal-bidliet leġiżlattivi reċenti mad-dritt tal-UE u tapplika d-dispożizzjonijiet tar-Regolament dwar id-Dispożizzjonijiet Komuni f’każijiet ta’ nuqqas ta’ konformità mal-kundizzjonijiet abilitanti orizzontali tiegħu</w:t>
      </w:r>
      <w:r w:rsidRPr="00BD3159">
        <w:rPr>
          <w:rStyle w:val="Hyperlink0"/>
        </w:rPr>
        <w:t>;</w:t>
      </w:r>
    </w:p>
    <w:p w14:paraId="41EF2DFE" w14:textId="77777777" w:rsidR="009F6AE5" w:rsidRPr="00BD3159" w:rsidRDefault="009F6AE5" w:rsidP="009F6AE5">
      <w:pPr>
        <w:pStyle w:val="NormalHanging12a"/>
      </w:pPr>
      <w:r w:rsidRPr="00BD3159">
        <w:t>6.</w:t>
      </w:r>
      <w:r w:rsidRPr="00BD3159">
        <w:tab/>
        <w:t>Jenfasizza li r-Regolament dwar il-Kundizzjonalità tal-Istat tad-Dritt mhuwiex limitat għal miżuri tal-aħħar istanza, iżda jipprevedi wkoll azzjoni bikrija b’sospensjonijiet parzjali fejn jiġi identifikat ksur tal-istat tad-dritt li joħloq riskju serju għall-ġestjoni finanzjarja tajba tal-baġit tal-UE; itenni s-sejħa tiegħu magħmula fil-kuntest tal-kwittanza baġitarja tal-2024 tal-Kummissjoni biex jingħata bidu għall-ewwel pass tal-proċedura stabbilita fl-Artikolu 6(1) tar-Regolament dwar il-Kundizzjonalità tal-Istat tad-Dritt;</w:t>
      </w:r>
    </w:p>
    <w:p w14:paraId="0FC44092" w14:textId="77777777" w:rsidR="009F6AE5" w:rsidRPr="00BD3159" w:rsidRDefault="009F6AE5" w:rsidP="009F6AE5">
      <w:pPr>
        <w:pStyle w:val="NormalHanging12a"/>
        <w:rPr>
          <w:rFonts w:eastAsiaTheme="majorEastAsia"/>
        </w:rPr>
      </w:pPr>
      <w:r w:rsidRPr="00BD3159">
        <w:t>7.</w:t>
      </w:r>
      <w:r w:rsidRPr="00BD3159">
        <w:tab/>
        <w:t xml:space="preserve">Jesprimi tħassib serju dwar it-tentattiv ta’ abolizzjoni tal-Uffiċċju għall-Protezzjoni tal-Informaturi, li kien iwassal għal tnaqqis sostanzjali fil-livell ta’ protezzjoni mogħti lill-informaturi, inkluża żieda fl-esponiment għar-ritaljazzjoni u tnaqqis fl-aċċess għas-salvagwardji legali; jirrifjuta dispożizzjonijiet li jintroduċu “mekkaniżmu ta’ rieżami” li jippermetti lill-awtoritajiet jew lill-impjegaturi jirtiraw il-protezzjoni tal-informaturi mingħajr sorveljanza ġudizzjarja, u b’hekk jipperikolaw id-dritt fundamentali għal rimedju effettiv kif minqux fil-Karta; jisħaq fuq il-fatt li l-limitazzjoni tal-protezzjoni tal-informaturi hija inkompatibbli mad-Direttiva dwar il-Protezzjoni tal-Informaturi tal-UE u ddgħajjef l-istat tad-dritt; jilqa’ d-deċiżjoni tal-Parlament Slovakk tas-17 ta’ Marzu 2026 li tiġi revokata l-liġi kontroversjali u jinżamm l-Uffiċċju għall-Protezzjoni tal-Informaturi; jistieden lill-Kummissjoni timmonitorja mill-qrib l-implimentazzjoni tar-revoka tal-leġiżlazzjoni li tabolixxi l-Uffiċċju għall-Protezzjoni tal-Informaturi fis-Slovakkja, sabiex tiżgura li din ir-revoka tirrestawra bis-sħiħ il-livell preċedenti ta’ </w:t>
      </w:r>
      <w:r w:rsidRPr="00BD3159">
        <w:lastRenderedPageBreak/>
        <w:t>protezzjoni u tikkonforma mad-dritt tal-UE, u tivvaluta l-firxa u l-effettività tar-revoka qabel ma tikkunsidra kwalunkwe azzjoni ulterjuri; jistieden lill-awtoritajiet Slovakki jiżguraw konformità mad-dritt u mal-istandards tal-UE dwar il-protezzjoni tal-informaturi;</w:t>
      </w:r>
    </w:p>
    <w:p w14:paraId="76EDDC9B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8.</w:t>
      </w:r>
      <w:r w:rsidRPr="00BD3159">
        <w:rPr>
          <w:snapToGrid w:val="0"/>
        </w:rPr>
        <w:tab/>
      </w:r>
      <w:r w:rsidRPr="00BD3159">
        <w:t>Iħeġġeġ lill-Kummissjoni tintensifika kontrolli mmirati u kontrolli fuq il-post fis-Slovakkja, inkluż permezz ta’ kooperazzjoni msaħħa u sistematika mal-OLAF u mal-UPPE, sabiex tikkumpensa għad-dgħufija tal-kapaċitajiet nazzjonali ta’ infurzar u tiżgura segwitu effettiv għall-investigazzjonijiet li għaddejjin; jisħaq fuq il-fatt li tali kontrolli jridu jiġu applikati sistematikament fil-flussi ta’ finanzjament rilevanti kollha tal-UE, inklużi kemm il-fondi tal-qafas finanzjarju pluriennali kif ukoll tal-Faċilità għall-Irkupru u r-Reżiljenza;</w:t>
      </w:r>
    </w:p>
    <w:p w14:paraId="1E350FA9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9.</w:t>
      </w:r>
      <w:r w:rsidRPr="00BD3159">
        <w:rPr>
          <w:snapToGrid w:val="0"/>
        </w:rPr>
        <w:tab/>
      </w:r>
      <w:r w:rsidRPr="00BD3159">
        <w:t>Jafferma mill-ġdid ir-rieda tiegħu li jaħdem fi spirtu ta’ kooperazzjoni sinċiera mal-awtoritajiet Slovakki, kif ukoll mas-soċjetà ċivili u mal-istituzzjonijiet indipendenti, bil-ħsieb li jiġu indirizzati n-nuqqasijiet identifikati; jissottolinja li l-objettiv tal-iskrutinju u l-missjonijiet tiegħu huwa li jappoġġja t-tisħiħ tal-istituzzjonijiet demokratiċi, l-istat tad-dritt u l-użu xieraq tal-fondi tal-UE; jistieden lill-awtoritajiet Slovakki jinvolvu ruħhom b’mod kostruttiv u proattiv mal-istituzzjonijiet tal-UE f’dan il-proċess;</w:t>
      </w:r>
    </w:p>
    <w:p w14:paraId="74A688DA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10.</w:t>
      </w:r>
      <w:r w:rsidRPr="00BD3159">
        <w:rPr>
          <w:snapToGrid w:val="0"/>
        </w:rPr>
        <w:tab/>
      </w:r>
      <w:r w:rsidRPr="00BD3159">
        <w:t>Jistieden lill-awtoritajiet Slovakki jimplimentaw bis-sħiħ ir-rakkomandazzjonijiet tal-Kummissjoni, tal-GRECO u tal-Kummissjoni ta’ Venezja dwar il-ġudikatura u l-ġlieda kontra l-korruzzjoni, b’mod partikolari fir-rigward tar-revoka tar-reat kriminali tal-abbuż tal-liġi u l-iżgurar tal-indipendenza u tal-imparzjalità tal-Kunsill Ġudizzjarju fil-liġi u fil-prattika, il-funzjonament ta’ entitajiet speċjalizzati kontra l-korruzzjoni, il-liġi kriminali sostantiva u proċedurali u l-indipendenza tal-prosekuturi;</w:t>
      </w:r>
    </w:p>
    <w:p w14:paraId="33DD17D2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11.</w:t>
      </w:r>
      <w:r w:rsidRPr="00BD3159">
        <w:rPr>
          <w:snapToGrid w:val="0"/>
        </w:rPr>
        <w:tab/>
      </w:r>
      <w:r w:rsidRPr="00BD3159">
        <w:t>Jikkundanna bil-qawwa l-għeluq tal-Uffiċċju tal-Prosekutur Speċjali fid-dawl tal-impatt evidenti tiegħu fuq l-investigazzjoni u l-prosekuzzjoni tal-korruzzjoni, li ma jistax jiġi kkumpensat mill-attivitajiet tal-UPPE, speċjalment fid-dawl tal-“frammentazzjoni” rrapportata tal-attività frawdolenti b’tali mod li l-valur allegat ta’ każ jibqa’ taħt il-limitu stabbilit għall-involviment tal-UPPE; jissottolinja l-ħtieġa ta’ rivalutazzjoni urġenti tal-bidliet reċenti; jistieden lill-awtoritajiet Slovakki jiżguraw kooperazzjoni sħiħa, f’waqtha u proattiva mal-UPPE u mal-OLAF;</w:t>
      </w:r>
    </w:p>
    <w:p w14:paraId="43E79A3F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12.</w:t>
      </w:r>
      <w:r w:rsidRPr="00BD3159">
        <w:rPr>
          <w:snapToGrid w:val="0"/>
        </w:rPr>
        <w:tab/>
      </w:r>
      <w:r w:rsidRPr="00BD3159">
        <w:t>Itenni t-tħassib tiegħu dwar il-funzjonament tal-Aġenzija tal-Pagamenti Slovakka għas-Settur Agrikolu u l-ġestjoni tal-finanzjament tal-politika agrikola komuni, inklużi l-fallimenti strutturali kkonfermati mill-Uffiċċju Suprem tal-Awditjar tar-Repubblika Slovakka, il-mekkaniżmi ta’ kontroll inadegwati, l-azzjonijiet ta’ rimedju insuffiċjenti u ż-żieda fl-iżborżi b’kontrolli dgħajfa; iqis li dawn in-nuqqasijiet jikkonfermaw id-dgħufijiet serji u sistemiċi fis-sistema ta’ ġestjoni u kontroll li tirregola n-nefqa agrikola fis-Slovakkja;</w:t>
      </w:r>
    </w:p>
    <w:p w14:paraId="27153D41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13.</w:t>
      </w:r>
      <w:r w:rsidRPr="00BD3159">
        <w:rPr>
          <w:snapToGrid w:val="0"/>
        </w:rPr>
        <w:tab/>
      </w:r>
      <w:r w:rsidRPr="00BD3159">
        <w:t xml:space="preserve">Jesprimi tħassib dwar allegazzjonijiet ta’ użu ħażin u irregolaritajiet fl-implimentazzjoni ta’ proġetti ta’ żvilupp rurali u ta’ turiżmu ffinanzjati mill-UE fis-Slovakkja, inklużi każijiet relatati ma’ proġetti ta’ djar maħsuba għall-mistednin iffinanzjati mill-UE, li jinvolvu l-allegat użu ħażin ta’ fondi għall-iżvilupp agrikolu u rurali għall-kostruzzjoni jew għar-rinnovazzjoni ta’ proprjetajiet privati </w:t>
      </w:r>
      <w:proofErr w:type="spellStart"/>
      <w:r w:rsidRPr="00BD3159">
        <w:t>lussużi</w:t>
      </w:r>
      <w:proofErr w:type="spellEnd"/>
      <w:r w:rsidRPr="00BD3159">
        <w:t xml:space="preserve"> mingħajr valur miżjud ċar tal-UE jew limitat; jisħaq fuq il-fatt li tali prattiki, meta jiġu kkonfermati, jikkostitwixxu ksur serju tal-prinċipji ta’ ġestjoni finanzjarja tajba, trasparenza u trattament ugwali, u jdgħajfu l-fiduċja pubblika fil-baġit tal-UE;</w:t>
      </w:r>
    </w:p>
    <w:p w14:paraId="74DB9C55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lastRenderedPageBreak/>
        <w:t>14.</w:t>
      </w:r>
      <w:r w:rsidRPr="00BD3159">
        <w:rPr>
          <w:snapToGrid w:val="0"/>
        </w:rPr>
        <w:tab/>
      </w:r>
      <w:r w:rsidRPr="00BD3159">
        <w:t>Ifakkar fl-obbligu tal-Istati Membri li jiżguraw il-ġestjoni effettiva, trasparenti u responsabbli tal-fondi tal-UE; jistieden lill-awtoritajiet Slovakki jieħdu miżuri ta’ rimedju immedjati u effettivi biex jipprovdu benefiċċji konkreti għaċ-ċittadini, inkluż it-tisħiħ tas-sistemi ta’ kontroll intern, l-iżgurar ta’ detezzjoni u ġestjoni xierqa tal-kunflitti ta’ interess, u t-titjib tal-irkupru tal-pagamenti irregolari, f’kooperazzjoni sħiħa mal-Kummissjoni;</w:t>
      </w:r>
    </w:p>
    <w:p w14:paraId="28097226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15.</w:t>
      </w:r>
      <w:r w:rsidRPr="00BD3159">
        <w:rPr>
          <w:snapToGrid w:val="0"/>
        </w:rPr>
        <w:tab/>
      </w:r>
      <w:r w:rsidRPr="00BD3159">
        <w:t>Jesprimi tħassib serju dwar id-deterjorament tal-libertà u l-pluraliżmu tal-media fis-Slovakkja, inkluża l-interferenza politika fil-media tas-servizz pubbliku, il-pressjoni fuq il-ġurnalisti permezz ta’ klima ta’ ostilità, kampanji ta’ malafama u diżinformazzjoni, l-użu ta’ kawżi strateġiċi kontra l-parteċipazzjoni pubblika (</w:t>
      </w:r>
      <w:proofErr w:type="spellStart"/>
      <w:r w:rsidRPr="00BD3159">
        <w:t>SLAPPs</w:t>
      </w:r>
      <w:proofErr w:type="spellEnd"/>
      <w:r w:rsidRPr="00BD3159">
        <w:t xml:space="preserve">), inkluż minn figuri politiċi ta’ grad għoli, u r-riskju ta’ konċentrazzjoni ta’ sjieda tal-media f’idejn allinjati politikament, flimkien ma’ sensji ta’ mexxejja ta’ istituzzjonijiet kulturali ewlenin, li jirriskjaw li joħolqu effett dissważiv fuq il-libertà tal-istampa u d-diskors pubbliku; jisħaq fuq il-fatt li ambjent tal-media dgħajjef inaqqas b’mod sinifikanti l-iskrutinju demokratiku u jiffaċilita l-korruzzjoni fl-implimentazzjoni tal-fondi tal-UE; jistieden lill-awtoritajiet Slovakki jimplimentaw bis-sħiħ ir-rakkomandazzjonijiet tal-Kummissjoni dwar il-media, b’mod partikolari fir-rigward tal-qafas legali għall-media tas-servizz pubbliku, f’konformità mal-Att Ewropew dwar il-Libertà tal-Media u jiżguraw l-indipendenza editorjali u l-protezzjoni tal-ġurnalisti; jistieden lis-Slovakkja tikkonforma bis-sħiħ u b’mod effettiv mal-Att Ewropew dwar il-Libertà tal-Media u jħeġġeġ lill-Kummissjoni timmonitorja mill-qrib u b’mod proattiv l-implimentazzjoni tiegħu; ifakkar li l-awtoritajiet Slovakki għandhom jirrispettaw il-libertà tal-espressjoni u tal-arti fil-funzjonament u fil-finanzjament tal-istituzzjonijiet kulturali, u jżommu lura mill-użu ħażin tal-azzjonijiet legali li jirrestrinġu d-dibattitu pubbliku; jagħti ġieħ lil </w:t>
      </w:r>
      <w:proofErr w:type="spellStart"/>
      <w:r w:rsidRPr="00BD3159">
        <w:t>Ján</w:t>
      </w:r>
      <w:proofErr w:type="spellEnd"/>
      <w:r w:rsidRPr="00BD3159">
        <w:t xml:space="preserve"> </w:t>
      </w:r>
      <w:proofErr w:type="spellStart"/>
      <w:r w:rsidRPr="00BD3159">
        <w:t>Kuciak</w:t>
      </w:r>
      <w:proofErr w:type="spellEnd"/>
      <w:r w:rsidRPr="00BD3159">
        <w:t xml:space="preserve"> wara l-assassinju tiegħu u għall-ħidma essenzjali tiegħu bħala ġurnalist investigattiv; jistieden lill-awtoritajiet Slovakki jiżguraw li ssir ġustizzja f’dan il-każ;</w:t>
      </w:r>
    </w:p>
    <w:p w14:paraId="0D6CECA8" w14:textId="77777777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16.</w:t>
      </w:r>
      <w:r w:rsidRPr="00BD3159">
        <w:rPr>
          <w:snapToGrid w:val="0"/>
        </w:rPr>
        <w:tab/>
      </w:r>
      <w:r w:rsidRPr="00BD3159">
        <w:t>Jesprimi dispjaċir dwar l-użu ripetut u mhux ġustifikat ta’ proċeduri leġiżlattivi rapidi għal riformi sostanzjali; jisħaq fuq il-fatt li tali proċeduri ma jridux isiru n-norma u għandhom ikunu ġustifikati b’mod strett biss f’ċirkostanzi debitament sostanzjati, peress li jdgħajfu l-iskrutinju pubbliku, it-trasparenza u t-tfassil inklużiv tal-liġi u jillimitaw il-konsultazzjoni u d-dibattitu parlamentari sinifikattivi; jistieden lill-awtoritajiet Slovakki jimplimentaw bis-sħiħ ir-rakkomandazzjonijiet tal-Kummissjoni u tal-GRECO rigward il-kontrolli u l-bilanċi, b’mod partikolari fir-rigward tal-konsultazzjoni pubblika effettiva u l-involviment tal-partijiet ikkonċernati fil-proċess tat-tfassil tal-liġi, inkluż billi jiġi indirizzat l-użu frekwenti tal-proċedura rapida; itenni t-tħassib tiegħu dwar l-aċċess għall-informazzjoni għall-ġurnalisti u għall-organizzazzjonijiet tas-soċjetà ċivili, inkluż għar-rapporti tal-Uffiċċju Suprem tal-Awditjar u tat-Taqsima ta’ Kontroll tal-Uffiċċju tal-Gvern;</w:t>
      </w:r>
    </w:p>
    <w:p w14:paraId="26BF9C22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t>17.</w:t>
      </w:r>
      <w:r w:rsidRPr="00BD3159">
        <w:rPr>
          <w:snapToGrid w:val="0"/>
        </w:rPr>
        <w:tab/>
      </w:r>
      <w:r w:rsidRPr="00BD3159">
        <w:t xml:space="preserve">Jiddenunzja bil-qawwa l-pressjoni dejjem akbar fuq l-organizzazzjonijiet tas-soċjetà ċivili, il-gwardjani u l-professjonisti tal-ġustizzja, inklużi l-piżijiet amministrattivi u t-tentattivi biex tiġi </w:t>
      </w:r>
      <w:proofErr w:type="spellStart"/>
      <w:r w:rsidRPr="00BD3159">
        <w:t>ddeleġittimizzata</w:t>
      </w:r>
      <w:proofErr w:type="spellEnd"/>
      <w:r w:rsidRPr="00BD3159">
        <w:t xml:space="preserve"> l-ħidma tagħhom; iqis li tali azzjonijiet idgħajfu r-responsabbiltà u l-protezzjoni effettiva tad-drittijiet fundamentali; jistieden lill-awtoritajiet Slovakki jtemmu l-istigmatizzazzjoni u l-persekuzzjoni tal-organizzazzjonijiet tas-soċjetà ċivili u jiżguraw li l-leġiżlazzjoni li taffettwa s-soċjetà ċivili, inkluż dwar il-finanzjament u r-rapportar, tirrispetta bis-sħiħ id-dritt tal-UE u d-dritt internazzjonali dwar id-drittijiet tal-bniedem, b’mod partikolari fir-rigward tad-dritt għall-ħajja privata, il-libertà tal-espressjoni, il-libertà tal-għaqda u l-libertà tal-assoċjazzjoni;</w:t>
      </w:r>
    </w:p>
    <w:p w14:paraId="1FD5998C" w14:textId="77777777" w:rsidR="009F6AE5" w:rsidRPr="00BD3159" w:rsidRDefault="009F6AE5" w:rsidP="009F6AE5">
      <w:pPr>
        <w:pStyle w:val="NormalHanging12a"/>
        <w:rPr>
          <w:szCs w:val="24"/>
        </w:rPr>
      </w:pPr>
      <w:r w:rsidRPr="00BD3159">
        <w:rPr>
          <w:snapToGrid w:val="0"/>
        </w:rPr>
        <w:lastRenderedPageBreak/>
        <w:t>18.</w:t>
      </w:r>
      <w:r w:rsidRPr="00BD3159">
        <w:rPr>
          <w:snapToGrid w:val="0"/>
        </w:rPr>
        <w:tab/>
      </w:r>
      <w:r w:rsidRPr="00BD3159">
        <w:t>Jistieden lill-awtoritajiet Slovakki jiżguraw li l-leġiżlazzjoni elettorali, inkluż dwar il-votazzjoni postali u s-sanzjonijiet kriminali relatati mal-ksur ta’ tali leġiżlazzjoni, tirrispetta bis-sħiħ id-dritt tal-UE u d-dritt internazzjonali dwar id-drittijiet tal-bniedem, b’mod partikolari fir-rigward tad-dritt għall-vot u li wieħed jiġi elett, il-libertà tal-espressjoni u l-libertà tal-assoċjazzjoni; ifakkar li r-restrizzjonijiet fuq il-votazzjoni postali għandhom ikunu debitament ġustifikati u proporzjonati, b’mod partikolari fin-nuqqas ta’ nuqqasijiet sistemiċi sostanzjati rigward l-integrità ta’ tali votazzjoni, u jisħaq fuq il-ħtieġa li jiġi żgurat aċċess ugwali għall-parteċipazzjoni elettorali għaċ-ċittadini Slovakki li jirrisjedu barra mill-pajjiż;</w:t>
      </w:r>
    </w:p>
    <w:p w14:paraId="6070577D" w14:textId="77777777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19.</w:t>
      </w:r>
      <w:r w:rsidRPr="00BD3159">
        <w:rPr>
          <w:snapToGrid w:val="0"/>
        </w:rPr>
        <w:tab/>
      </w:r>
      <w:r w:rsidRPr="00BD3159">
        <w:t>Jistieden lill-awtoritajiet Slovakki jiżguraw il-prevenzjoni effettiva u l-ġlieda kontra l-vjolenza kontra n-nisa u l-vjolenza domestika fil-liġi u fil-prattika, f’konformità mad-dritt tal-UE u mad-dritt internazzjonali dwar id-drittijiet tal-bniedem; itenni l-importanza tar-ratifika tal-Konvenzjoni tal-Kunsill tal-Ewropa dwar il-prevenzjoni u l-ġlieda kontra l-vjolenza kontra n-nisa u l-vjolenza domestika mingħajr dewmien u li d-definizzjoni legali ta’ stupru issir konformi mal-istandards internazzjonali tad-drittijiet tal-bniedem</w:t>
      </w:r>
      <w:bookmarkStart w:id="7" w:name="_Hlk228978064"/>
      <w:r w:rsidRPr="00BD3159">
        <w:t>;</w:t>
      </w:r>
    </w:p>
    <w:p w14:paraId="50D94920" w14:textId="6865C194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20.</w:t>
      </w:r>
      <w:r w:rsidRPr="00BD3159">
        <w:rPr>
          <w:snapToGrid w:val="0"/>
        </w:rPr>
        <w:tab/>
      </w:r>
      <w:r w:rsidRPr="00BD3159">
        <w:t>Jistieden lill-awtoritajiet Slovakki, fid-dawl tar-rigress ipprovokat minn diversi inizjattivi leġiżlattivi fis-Slovakkja, b’mod partikolari mill-2023, biex jiżguraw konformità sħiħa mal-obbligi tagħhom li jiggarantixxu aċċess effettiv, f’waqtu u mhux diskriminatorju għas-saħħa u d-drittijiet sesswali u riproduttivi</w:t>
      </w:r>
      <w:r w:rsidR="00E43B0D">
        <w:t xml:space="preserve">, </w:t>
      </w:r>
      <w:r w:rsidR="00E43B0D" w:rsidRPr="00E43B0D">
        <w:t>inkluż l-aċċess għal abort sikur u legali</w:t>
      </w:r>
      <w:r w:rsidRPr="00BD3159">
        <w:t>; ifakkar li dawn l-obbligi jirriżultaw minn standards internazzjonali tad-drittijiet tal-bniedem u huma integrali għall-protezzjoni tad-drittijiet fundamentali, inklużi d-drittijiet għall-ħajja privata u tal-familja, tas-saħħa u tan-nondiskriminazzjoni;</w:t>
      </w:r>
      <w:bookmarkEnd w:id="7"/>
    </w:p>
    <w:p w14:paraId="3AD72DFC" w14:textId="77777777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21.</w:t>
      </w:r>
      <w:r w:rsidRPr="00BD3159">
        <w:rPr>
          <w:snapToGrid w:val="0"/>
        </w:rPr>
        <w:tab/>
      </w:r>
      <w:r w:rsidRPr="00BD3159">
        <w:t>Jistieden lill-awtoritajiet Slovakki jiżguraw il-protezzjoni effettiva tad-drittijiet tal-persuni LGBTIQ+ fil-liġi u fil-prattika, f’konformità mad-dritt tal-UE u mad-dritt internazzjonali dwar id-drittijiet tal-bniedem;</w:t>
      </w:r>
    </w:p>
    <w:p w14:paraId="6C0C02D2" w14:textId="77777777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22.</w:t>
      </w:r>
      <w:r w:rsidRPr="00BD3159">
        <w:rPr>
          <w:snapToGrid w:val="0"/>
        </w:rPr>
        <w:tab/>
      </w:r>
      <w:r w:rsidRPr="00BD3159">
        <w:t>Jistieden lill-awtoritajiet Slovakki jiżguraw il-protezzjoni effettiva tad-drittijiet tal-persuni Rom fil-liġi u fil-prattika, f’konformità mad-dritt tal-UE u mad-dritt internazzjonali dwar id-drittijiet tal-bniedem, b’mod partikolari fir-rigward tat-tmiem tas-segregazzjoni fl-edukazzjoni, l-aċċess għall-kura tas-saħħa u l-pulizija; itenni t-tħassib tiegħu dwar l-implimentazzjoni tal-fondi tal-UE maħsuba għall-komunitajiet Rom fis-Slovakkja;</w:t>
      </w:r>
    </w:p>
    <w:p w14:paraId="23D5302C" w14:textId="77777777" w:rsidR="009F6AE5" w:rsidRDefault="009F6AE5" w:rsidP="009F6AE5">
      <w:pPr>
        <w:pStyle w:val="NormalHanging12a"/>
      </w:pPr>
      <w:r w:rsidRPr="00BD3159">
        <w:rPr>
          <w:snapToGrid w:val="0"/>
        </w:rPr>
        <w:t>23.</w:t>
      </w:r>
      <w:r w:rsidRPr="00BD3159">
        <w:rPr>
          <w:snapToGrid w:val="0"/>
        </w:rPr>
        <w:tab/>
      </w:r>
      <w:r w:rsidRPr="00BD3159">
        <w:t>Jesprimi tħassib partikolari dwar id-drittijiet tal-minoranzi fis-Slovakkja, fid-dawl tad-diskors politiku, l-inizjattivi leġiżlattivi u l-prattiki amministrattivi li jirriskjaw li jwasslu għad-diskriminazzjoni, l-istigmatizzazzjoni jew l-esklużjoni, u rigward il-konfiska retroattiva tal-proprjetà abbażi tal-ħtija kollettiva taċ-ċittadini tal-UE ta’ diversi oriġini etniċi; jemmen li l-inġustizzji storiċi għandhom jiġu indirizzati permezz tad-djalogu aktar milli l-kriminalizzazzjoni; jisħaq fuq il-fatt li l-protezzjoni tad-drittijiet tal-minoranzi hija komponent ewlieni tal-istat tad-dritt u tal-governanza demokratika; jistieden lill-awtoritajiet Slovakki jiżguraw il-protezzjoni effettiva tal-persuni li jappartjenu għall-minoranzi fil-liġi u fil-prattika, f’konformità mad-dritt tal-UE u mad-dritt internazzjonali dwar id-drittijiet tal-bniedem, b’mod partikolari fir-rigward tal-libertà tal-espressjoni u d-dritt għall-proprjetà;</w:t>
      </w:r>
    </w:p>
    <w:p w14:paraId="7467E67A" w14:textId="0CD492F2" w:rsidR="00E43B0D" w:rsidRPr="00BD3159" w:rsidRDefault="00E43B0D" w:rsidP="009F6AE5">
      <w:pPr>
        <w:pStyle w:val="NormalHanging12a"/>
        <w:rPr>
          <w:spacing w:val="-2"/>
        </w:rPr>
      </w:pPr>
      <w:r w:rsidRPr="00E43B0D">
        <w:rPr>
          <w:spacing w:val="-2"/>
        </w:rPr>
        <w:t>2</w:t>
      </w:r>
      <w:r>
        <w:rPr>
          <w:spacing w:val="-2"/>
        </w:rPr>
        <w:t>4</w:t>
      </w:r>
      <w:r w:rsidRPr="00E43B0D">
        <w:rPr>
          <w:spacing w:val="-2"/>
        </w:rPr>
        <w:t>.</w:t>
      </w:r>
      <w:r w:rsidRPr="00E43B0D">
        <w:rPr>
          <w:spacing w:val="-2"/>
        </w:rPr>
        <w:tab/>
        <w:t xml:space="preserve">Jesprimi tħassib serju dwar il-prattiki amministrattivi u ġudizzjarji li jinvolvu l-Fond Slovakk tal-Artijiet u l-intrapriża statali tal-Foresti tar-Repubblika Slovakka u li qed </w:t>
      </w:r>
      <w:r w:rsidRPr="00E43B0D">
        <w:rPr>
          <w:spacing w:val="-2"/>
        </w:rPr>
        <w:lastRenderedPageBreak/>
        <w:t>jirriżultaw f’</w:t>
      </w:r>
      <w:proofErr w:type="spellStart"/>
      <w:r w:rsidRPr="00E43B0D">
        <w:rPr>
          <w:spacing w:val="-2"/>
        </w:rPr>
        <w:t>konfiski</w:t>
      </w:r>
      <w:proofErr w:type="spellEnd"/>
      <w:r w:rsidRPr="00E43B0D">
        <w:rPr>
          <w:spacing w:val="-2"/>
        </w:rPr>
        <w:t xml:space="preserve"> tal-art u tal-foresti mhux ikkumpensati abbażi ta’ digrieti ta’ wara l-gwerra; jistieden lill-awtoritajiet Slovakki jirrevokaw l-emenda tal-Kodiċi Kriminali, jissospendu l-proċedimenti legali kollha, u jtemmu kwalunkwe konfiska tal-art li għaddejja bħalissa;</w:t>
      </w:r>
    </w:p>
    <w:p w14:paraId="44A5C174" w14:textId="5A036551" w:rsidR="009F6AE5" w:rsidRPr="00BD3159" w:rsidRDefault="009F6AE5" w:rsidP="009F6AE5">
      <w:pPr>
        <w:pStyle w:val="NormalHanging12a"/>
        <w:rPr>
          <w:spacing w:val="-2"/>
        </w:rPr>
      </w:pPr>
      <w:r w:rsidRPr="00BD3159">
        <w:rPr>
          <w:snapToGrid w:val="0"/>
        </w:rPr>
        <w:t>2</w:t>
      </w:r>
      <w:r w:rsidR="00E43B0D">
        <w:rPr>
          <w:snapToGrid w:val="0"/>
        </w:rPr>
        <w:t>5</w:t>
      </w:r>
      <w:r w:rsidRPr="00BD3159">
        <w:rPr>
          <w:snapToGrid w:val="0"/>
        </w:rPr>
        <w:t>.</w:t>
      </w:r>
      <w:r w:rsidRPr="00BD3159">
        <w:rPr>
          <w:snapToGrid w:val="0"/>
        </w:rPr>
        <w:tab/>
      </w:r>
      <w:r w:rsidRPr="00BD3159">
        <w:t>Jistieden lill-awtoritajiet Slovakki jinvestigaw nuqqasijiet sistemiċi li jippersistu fit-trattament tal-ilmenti dwar it-trattament ħażin mill-pulizija, inkluż nuqqas ta’ investigazzjonijiet imparzjali u effettivi dwar allegazzjonijiet kredibbli ta’ trattament ħażin; jappella għat-tisħiħ tas-salvagwardji kontra t-trattament ħażin mill-awtoritajiet tal-infurzar tal-liġi, inklużi garanziji ta’ indipendenza istituzzjonali, mekkaniżmi effettivi ta’ sorveljanza u salvagwardji proċedurali adegwati biex jiġu żgurati l-obbligu ta’ rendikont u l-fiduċja pubblika fl-istituzzjonijiet tal-infurzar tal-liġi;</w:t>
      </w:r>
    </w:p>
    <w:p w14:paraId="232CF87E" w14:textId="4F52AB44" w:rsidR="00E365E1" w:rsidRPr="00BD3159" w:rsidRDefault="009F6AE5" w:rsidP="00E3734B">
      <w:pPr>
        <w:ind w:left="567" w:hanging="567"/>
      </w:pPr>
      <w:r w:rsidRPr="00BD3159">
        <w:rPr>
          <w:snapToGrid w:val="0"/>
        </w:rPr>
        <w:t>2</w:t>
      </w:r>
      <w:r w:rsidR="00E43B0D">
        <w:rPr>
          <w:snapToGrid w:val="0"/>
        </w:rPr>
        <w:t>6</w:t>
      </w:r>
      <w:r w:rsidRPr="00BD3159">
        <w:rPr>
          <w:snapToGrid w:val="0"/>
        </w:rPr>
        <w:t>.</w:t>
      </w:r>
      <w:r w:rsidRPr="00BD3159">
        <w:rPr>
          <w:snapToGrid w:val="0"/>
        </w:rPr>
        <w:tab/>
      </w:r>
      <w:r w:rsidRPr="00BD3159">
        <w:t>Jagħti istruzzjonijiet lill-President tiegħu biex tgħaddi din ir-riżoluzzjoni lill-Kunsill, lill-Kummissjoni, lill-gvernijiet u lill-parlamenti tal-Istati Membri, lill-Kunsill tal-Ewropa, lill-Organizzazzjoni għas-Sigurtà u l-Kooperazzjoni fl-Ewropa kif ukoll lin-Nazzjonijiet Uniti.</w:t>
      </w:r>
    </w:p>
    <w:sectPr w:rsidR="00E365E1" w:rsidRPr="00BD3159" w:rsidSect="00BD31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2CC3F" w14:textId="77777777" w:rsidR="00732E7D" w:rsidRPr="00BD3159" w:rsidRDefault="00732E7D">
      <w:r w:rsidRPr="00BD3159">
        <w:separator/>
      </w:r>
    </w:p>
  </w:endnote>
  <w:endnote w:type="continuationSeparator" w:id="0">
    <w:p w14:paraId="04B1A018" w14:textId="77777777" w:rsidR="00732E7D" w:rsidRPr="00BD3159" w:rsidRDefault="00732E7D">
      <w:r w:rsidRPr="00BD31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86E32" w14:textId="77777777" w:rsidR="00064002" w:rsidRPr="00BD31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0CBE" w14:textId="77777777" w:rsidR="00064002" w:rsidRPr="00BD31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8500" w14:textId="77777777" w:rsidR="00064002" w:rsidRPr="00BD31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CD3E5" w14:textId="77777777" w:rsidR="00732E7D" w:rsidRPr="00BD3159" w:rsidRDefault="00732E7D">
      <w:r w:rsidRPr="00BD3159">
        <w:separator/>
      </w:r>
    </w:p>
  </w:footnote>
  <w:footnote w:type="continuationSeparator" w:id="0">
    <w:p w14:paraId="53EDD32D" w14:textId="77777777" w:rsidR="00732E7D" w:rsidRPr="00BD3159" w:rsidRDefault="00732E7D">
      <w:r w:rsidRPr="00BD3159">
        <w:continuationSeparator/>
      </w:r>
    </w:p>
  </w:footnote>
  <w:footnote w:id="1">
    <w:p w14:paraId="3865F1C7" w14:textId="4033AF23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ĠU L 305, 26.11.2019, p. 17, ELI: </w:t>
      </w:r>
      <w:hyperlink r:id="rId1" w:tooltip="Jagħti aċċess għal dan id-dokument permezz tal-ELI URI tiegħu." w:history="1">
        <w:r w:rsidRPr="00BD3159">
          <w:rPr>
            <w:rStyle w:val="Hyperlink"/>
            <w:sz w:val="24"/>
            <w:lang w:val="mt-MT"/>
          </w:rPr>
          <w:t>http://data.europa.eu/eli/dir/2019/1937/oj</w:t>
        </w:r>
      </w:hyperlink>
      <w:r w:rsidRPr="00BD3159">
        <w:rPr>
          <w:sz w:val="24"/>
          <w:lang w:val="mt-MT"/>
        </w:rPr>
        <w:t>.</w:t>
      </w:r>
    </w:p>
  </w:footnote>
  <w:footnote w:id="2">
    <w:p w14:paraId="39F92520" w14:textId="46C81AA5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ĠU L 433</w:t>
      </w:r>
      <w:r w:rsidR="00DC73FC">
        <w:rPr>
          <w:sz w:val="24"/>
          <w:lang w:val="mt-MT"/>
        </w:rPr>
        <w:t xml:space="preserve"> </w:t>
      </w:r>
      <w:r w:rsidRPr="00BD3159">
        <w:rPr>
          <w:sz w:val="24"/>
          <w:lang w:val="mt-MT"/>
        </w:rPr>
        <w:t>I, 22.12.2020, p. 1, ELI: </w:t>
      </w:r>
      <w:hyperlink r:id="rId2" w:tooltip="Jagħti aċċess għal dan id-dokument permezz tal-ELI URI tiegħu." w:history="1">
        <w:r w:rsidRPr="00BD3159">
          <w:rPr>
            <w:rStyle w:val="Hyperlink"/>
            <w:sz w:val="24"/>
            <w:lang w:val="mt-MT"/>
          </w:rPr>
          <w:t>http://data.europa.eu/eli/reg/2020/2092/oj</w:t>
        </w:r>
      </w:hyperlink>
      <w:r w:rsidRPr="00BD3159">
        <w:rPr>
          <w:sz w:val="24"/>
          <w:lang w:val="mt-MT"/>
        </w:rPr>
        <w:t>.</w:t>
      </w:r>
    </w:p>
  </w:footnote>
  <w:footnote w:id="3">
    <w:p w14:paraId="2612218E" w14:textId="6D5ED3FD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ĠU L 231, 30.6.2021, p. 159, ELI: </w:t>
      </w:r>
      <w:hyperlink r:id="rId3" w:tooltip="Jagħti aċċess għal dan id-dokument permezz tal-ELI URI tiegħu." w:history="1">
        <w:r w:rsidRPr="00BD3159">
          <w:rPr>
            <w:rStyle w:val="Hyperlink"/>
            <w:sz w:val="24"/>
            <w:lang w:val="mt-MT"/>
          </w:rPr>
          <w:t>http://data.europa.eu/eli/reg/2021/1060/oj</w:t>
        </w:r>
      </w:hyperlink>
      <w:r w:rsidRPr="00BD3159">
        <w:rPr>
          <w:sz w:val="24"/>
          <w:lang w:val="mt-MT"/>
        </w:rPr>
        <w:t>.</w:t>
      </w:r>
    </w:p>
  </w:footnote>
  <w:footnote w:id="4">
    <w:p w14:paraId="209E11C4" w14:textId="58396648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ĠU C 390, 18.11.2019, p. 111.</w:t>
      </w:r>
    </w:p>
  </w:footnote>
  <w:footnote w:id="5">
    <w:p w14:paraId="6B1C4320" w14:textId="37FACB8A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ĠU C 108, 26.3.2021, p. 107.</w:t>
      </w:r>
    </w:p>
  </w:footnote>
  <w:footnote w:id="6">
    <w:p w14:paraId="364801EF" w14:textId="7D1F1F12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ĠU C 149, 28.4.2023, p. 22.</w:t>
      </w:r>
    </w:p>
  </w:footnote>
  <w:footnote w:id="7">
    <w:p w14:paraId="037F0977" w14:textId="4CD0AA45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ĠU C, C/2024/5712, 17.10.2024, ELI</w:t>
      </w:r>
      <w:r w:rsidR="00790DA1">
        <w:rPr>
          <w:sz w:val="24"/>
          <w:lang w:val="mt-MT"/>
        </w:rPr>
        <w:t xml:space="preserve">: </w:t>
      </w:r>
      <w:hyperlink r:id="rId4" w:tgtFrame="_blank" w:tooltip="Gives access to this document through its ELI URI." w:history="1">
        <w:r w:rsidR="00790DA1" w:rsidRPr="003F5E4A">
          <w:rPr>
            <w:rStyle w:val="Hyperlink"/>
            <w:sz w:val="24"/>
            <w:lang w:val="pl-PL"/>
          </w:rPr>
          <w:t>http://data.europa.eu/eli/C/2024/5712/oj</w:t>
        </w:r>
      </w:hyperlink>
      <w:r w:rsidR="00790DA1">
        <w:t>.</w:t>
      </w:r>
    </w:p>
  </w:footnote>
  <w:footnote w:id="8">
    <w:p w14:paraId="3B9AD354" w14:textId="26797A45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szCs w:val="16"/>
          <w:lang w:val="mt-MT"/>
        </w:rPr>
        <w:t xml:space="preserve"> </w:t>
      </w:r>
      <w:r w:rsidR="00BD3159" w:rsidRPr="00BD3159">
        <w:rPr>
          <w:sz w:val="24"/>
          <w:szCs w:val="16"/>
          <w:lang w:val="mt-MT"/>
        </w:rPr>
        <w:tab/>
      </w:r>
      <w:r w:rsidRPr="00BD3159">
        <w:rPr>
          <w:sz w:val="24"/>
          <w:szCs w:val="16"/>
          <w:lang w:val="mt-MT"/>
        </w:rPr>
        <w:t>Testi adottati, P10_TA(2026)0125.</w:t>
      </w:r>
    </w:p>
  </w:footnote>
  <w:footnote w:id="9">
    <w:p w14:paraId="3DAA00BA" w14:textId="4B2F527C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szCs w:val="16"/>
          <w:lang w:val="mt-MT"/>
        </w:rPr>
        <w:t xml:space="preserve"> </w:t>
      </w:r>
      <w:r w:rsidR="00BD3159" w:rsidRPr="00BD3159">
        <w:rPr>
          <w:sz w:val="24"/>
          <w:szCs w:val="16"/>
          <w:lang w:val="mt-MT"/>
        </w:rPr>
        <w:tab/>
      </w:r>
      <w:r w:rsidRPr="00BD3159">
        <w:rPr>
          <w:sz w:val="24"/>
          <w:szCs w:val="16"/>
          <w:lang w:val="mt-MT"/>
        </w:rPr>
        <w:t>Ir-Regolament (UE) 2024/1083 tal-Parlament Ewropew u tal-Kunsill tal-11 ta’ April 2024 li jistabbilixxi qafas komuni għas-servizzi tal-media fis-suq intern u li jemenda d-Direttiva 2010/13/UE (l-Att Ewropew dwar il-Libertà tal-Media) (ĠU L, 2024/1083, 17.4.2024, ELI:</w:t>
      </w:r>
      <w:r w:rsidRPr="00BD3159">
        <w:rPr>
          <w:sz w:val="24"/>
          <w:lang w:val="mt-MT"/>
        </w:rPr>
        <w:t> </w:t>
      </w:r>
      <w:hyperlink r:id="rId5" w:tgtFrame="_blank" w:tooltip="Jagħti aċċess għal dan id-dokument permezz tal-ELI URI tiegħu." w:history="1">
        <w:r w:rsidRPr="00BD3159">
          <w:rPr>
            <w:rStyle w:val="Hyperlink"/>
            <w:sz w:val="24"/>
            <w:lang w:val="mt-MT"/>
          </w:rPr>
          <w:t>http://data.europa.eu/eli/reg/2024/1083/oj</w:t>
        </w:r>
      </w:hyperlink>
      <w:r w:rsidRPr="00BD3159">
        <w:rPr>
          <w:sz w:val="24"/>
          <w:lang w:val="mt-MT"/>
        </w:rPr>
        <w:t>).</w:t>
      </w:r>
    </w:p>
  </w:footnote>
  <w:footnote w:id="10">
    <w:p w14:paraId="3DEAB6CA" w14:textId="43B963FE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L-Unjoni tal-Libertajiet Ċivili għall-Ewropa (Libertajiet), Rapport dwar l-Istat tad-Dritt tal-Libertajiet 2025: is-Slovakkja; Il-Kummissjoni Ewropea, ir-Rapport dwar l-Istat tad-Dritt tal-2025 – Kapitolu tal-Pajjiż dwar is-Slovakkja: informazzjoni mill-Uffiċċju tad-Difensur Pubbliku tad-Drittijiet (</w:t>
      </w:r>
      <w:proofErr w:type="spellStart"/>
      <w:r w:rsidRPr="00BD3159">
        <w:rPr>
          <w:sz w:val="24"/>
          <w:lang w:val="mt-MT"/>
        </w:rPr>
        <w:t>Ombudsperson</w:t>
      </w:r>
      <w:proofErr w:type="spellEnd"/>
      <w:r w:rsidRPr="00BD3159">
        <w:rPr>
          <w:sz w:val="24"/>
          <w:lang w:val="mt-MT"/>
        </w:rPr>
        <w:t>) tar-Repubblika Slovakka, 2025.</w:t>
      </w:r>
    </w:p>
  </w:footnote>
  <w:footnote w:id="11">
    <w:p w14:paraId="70732757" w14:textId="73C69DA2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 xml:space="preserve">Is-sentenzi tal-Qorti Ewropea tad-Drittijiet tal-Bniedem tas-26 ta’ Ottubru 2023 fil-kawża ta’ </w:t>
      </w:r>
      <w:proofErr w:type="spellStart"/>
      <w:r w:rsidRPr="00BD3159">
        <w:rPr>
          <w:sz w:val="24"/>
          <w:lang w:val="mt-MT"/>
        </w:rPr>
        <w:t>Plechlo</w:t>
      </w:r>
      <w:proofErr w:type="spellEnd"/>
      <w:r w:rsidRPr="00BD3159">
        <w:rPr>
          <w:sz w:val="24"/>
          <w:lang w:val="mt-MT"/>
        </w:rPr>
        <w:t xml:space="preserve"> vs Is-Slovakkja (18593/19) u tal-20 ta’ Lulju 2021 fil-kawża ta’ </w:t>
      </w:r>
      <w:proofErr w:type="spellStart"/>
      <w:r w:rsidRPr="00BD3159">
        <w:rPr>
          <w:sz w:val="24"/>
          <w:lang w:val="mt-MT"/>
        </w:rPr>
        <w:t>Zoltan</w:t>
      </w:r>
      <w:proofErr w:type="spellEnd"/>
      <w:r w:rsidRPr="00BD3159">
        <w:rPr>
          <w:sz w:val="24"/>
          <w:lang w:val="mt-MT"/>
        </w:rPr>
        <w:t xml:space="preserve"> </w:t>
      </w:r>
      <w:proofErr w:type="spellStart"/>
      <w:r w:rsidRPr="00BD3159">
        <w:rPr>
          <w:sz w:val="24"/>
          <w:lang w:val="mt-MT"/>
        </w:rPr>
        <w:t>Varga</w:t>
      </w:r>
      <w:proofErr w:type="spellEnd"/>
      <w:r w:rsidRPr="00BD3159">
        <w:rPr>
          <w:sz w:val="24"/>
          <w:lang w:val="mt-MT"/>
        </w:rPr>
        <w:t xml:space="preserve"> vs Is-Slovakkja (58361/12).</w:t>
      </w:r>
    </w:p>
  </w:footnote>
  <w:footnote w:id="12">
    <w:p w14:paraId="0CB92B25" w14:textId="2C37783F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Is-sentenza tal-Qorti Ewropea tad-Drittijiet tal-Bniedem tat-22 ta’ Jannar 2026 fil-</w:t>
      </w:r>
      <w:proofErr w:type="spellStart"/>
      <w:r w:rsidRPr="00BD3159">
        <w:rPr>
          <w:sz w:val="24"/>
          <w:lang w:val="mt-MT"/>
        </w:rPr>
        <w:t>kawza</w:t>
      </w:r>
      <w:proofErr w:type="spellEnd"/>
      <w:r w:rsidRPr="00BD3159">
        <w:rPr>
          <w:sz w:val="24"/>
          <w:lang w:val="mt-MT"/>
        </w:rPr>
        <w:t xml:space="preserve"> ta’ J.S. vs</w:t>
      </w:r>
      <w:r w:rsidRPr="00BD3159">
        <w:rPr>
          <w:i/>
          <w:sz w:val="24"/>
          <w:lang w:val="mt-MT"/>
        </w:rPr>
        <w:t xml:space="preserve"> </w:t>
      </w:r>
      <w:r w:rsidRPr="00BD3159">
        <w:rPr>
          <w:sz w:val="24"/>
          <w:lang w:val="mt-MT"/>
        </w:rPr>
        <w:t>Is-Slovakkja (35767/23).</w:t>
      </w:r>
    </w:p>
  </w:footnote>
  <w:footnote w:id="13">
    <w:p w14:paraId="36B8EBB4" w14:textId="748269D1" w:rsidR="009F6AE5" w:rsidRPr="00BD3159" w:rsidRDefault="009F6AE5" w:rsidP="00BD3159">
      <w:pPr>
        <w:pStyle w:val="FootnoteText"/>
        <w:ind w:left="567" w:hanging="567"/>
        <w:rPr>
          <w:i/>
          <w:iCs/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 xml:space="preserve">Is-sentenza tal-Qorti Ewropea tad-Drittijiet tal-Bniedem tas-27 ta’ Frar 2025 fil-kawża ta’ </w:t>
      </w:r>
      <w:proofErr w:type="spellStart"/>
      <w:r w:rsidRPr="00BD3159">
        <w:rPr>
          <w:sz w:val="24"/>
          <w:lang w:val="mt-MT"/>
        </w:rPr>
        <w:t>Salay</w:t>
      </w:r>
      <w:proofErr w:type="spellEnd"/>
      <w:r w:rsidRPr="00BD3159">
        <w:rPr>
          <w:sz w:val="24"/>
          <w:lang w:val="mt-MT"/>
        </w:rPr>
        <w:t xml:space="preserve"> vs Is-Slovakkja (29359/22).</w:t>
      </w:r>
    </w:p>
  </w:footnote>
  <w:footnote w:id="14">
    <w:p w14:paraId="6F373A3F" w14:textId="26246B77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Is-sentenzi tal-Qorti Ewropea tad-Drittijiet tal-Bniedem tal-1 ta’ Settembru 2020 fil-kawża ta’ R.R. u R.D. vs Is-Slovakkja, tat-8 ta’ Settembru 2022 fil-kawża ta’ P.H. vs Is-Slovakkja (37574/19), u tal-24 ta’ Ottubru 2024 fil-kawża ta’ B.B. vs Is-Slovakkja (48587/21).</w:t>
      </w:r>
    </w:p>
  </w:footnote>
  <w:footnote w:id="15">
    <w:p w14:paraId="34C26545" w14:textId="2B9B532C" w:rsidR="009F6AE5" w:rsidRPr="00BD3159" w:rsidRDefault="009F6AE5" w:rsidP="00BD3159">
      <w:pPr>
        <w:pStyle w:val="FootnoteText"/>
        <w:ind w:left="567" w:hanging="567"/>
        <w:rPr>
          <w:sz w:val="24"/>
          <w:lang w:val="mt-MT"/>
        </w:rPr>
      </w:pPr>
      <w:r w:rsidRPr="00BD3159">
        <w:rPr>
          <w:rStyle w:val="FootnoteReference"/>
          <w:sz w:val="24"/>
          <w:lang w:val="mt-MT"/>
        </w:rPr>
        <w:footnoteRef/>
      </w:r>
      <w:r w:rsidR="00BD3159" w:rsidRPr="00BD3159">
        <w:rPr>
          <w:sz w:val="24"/>
          <w:lang w:val="mt-MT"/>
        </w:rPr>
        <w:t xml:space="preserve"> </w:t>
      </w:r>
      <w:r w:rsidR="00BD3159" w:rsidRPr="00BD3159">
        <w:rPr>
          <w:sz w:val="24"/>
          <w:lang w:val="mt-MT"/>
        </w:rPr>
        <w:tab/>
      </w:r>
      <w:r w:rsidRPr="00BD3159">
        <w:rPr>
          <w:sz w:val="24"/>
          <w:lang w:val="mt-MT"/>
        </w:rPr>
        <w:t>https://www.liberties.eu/f/vdxw3e.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F9BC" w14:textId="77777777" w:rsidR="00064002" w:rsidRPr="00BD31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44F6" w14:textId="77777777" w:rsidR="00064002" w:rsidRPr="00BD31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5ABA6" w14:textId="77777777" w:rsidR="00064002" w:rsidRPr="00BD31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6722354">
    <w:abstractNumId w:val="9"/>
  </w:num>
  <w:num w:numId="2" w16cid:durableId="708067854">
    <w:abstractNumId w:val="9"/>
  </w:num>
  <w:num w:numId="3" w16cid:durableId="305168039">
    <w:abstractNumId w:val="7"/>
  </w:num>
  <w:num w:numId="4" w16cid:durableId="1743259189">
    <w:abstractNumId w:val="7"/>
  </w:num>
  <w:num w:numId="5" w16cid:durableId="1106464730">
    <w:abstractNumId w:val="6"/>
  </w:num>
  <w:num w:numId="6" w16cid:durableId="888030831">
    <w:abstractNumId w:val="6"/>
  </w:num>
  <w:num w:numId="7" w16cid:durableId="136647099">
    <w:abstractNumId w:val="5"/>
  </w:num>
  <w:num w:numId="8" w16cid:durableId="637226826">
    <w:abstractNumId w:val="5"/>
  </w:num>
  <w:num w:numId="9" w16cid:durableId="1661731514">
    <w:abstractNumId w:val="4"/>
  </w:num>
  <w:num w:numId="10" w16cid:durableId="1159495676">
    <w:abstractNumId w:val="4"/>
  </w:num>
  <w:num w:numId="11" w16cid:durableId="370110290">
    <w:abstractNumId w:val="8"/>
  </w:num>
  <w:num w:numId="12" w16cid:durableId="1671059060">
    <w:abstractNumId w:val="8"/>
  </w:num>
  <w:num w:numId="13" w16cid:durableId="1859539051">
    <w:abstractNumId w:val="3"/>
  </w:num>
  <w:num w:numId="14" w16cid:durableId="1349598395">
    <w:abstractNumId w:val="3"/>
  </w:num>
  <w:num w:numId="15" w16cid:durableId="434709982">
    <w:abstractNumId w:val="2"/>
  </w:num>
  <w:num w:numId="16" w16cid:durableId="230584897">
    <w:abstractNumId w:val="2"/>
  </w:num>
  <w:num w:numId="17" w16cid:durableId="1314942210">
    <w:abstractNumId w:val="1"/>
  </w:num>
  <w:num w:numId="18" w16cid:durableId="1189174652">
    <w:abstractNumId w:val="1"/>
  </w:num>
  <w:num w:numId="19" w16cid:durableId="1155949350">
    <w:abstractNumId w:val="0"/>
  </w:num>
  <w:num w:numId="20" w16cid:durableId="422773082">
    <w:abstractNumId w:val="0"/>
  </w:num>
  <w:num w:numId="21" w16cid:durableId="375277798">
    <w:abstractNumId w:val="9"/>
  </w:num>
  <w:num w:numId="22" w16cid:durableId="1681815086">
    <w:abstractNumId w:val="7"/>
  </w:num>
  <w:num w:numId="23" w16cid:durableId="278532477">
    <w:abstractNumId w:val="6"/>
  </w:num>
  <w:num w:numId="24" w16cid:durableId="841898535">
    <w:abstractNumId w:val="5"/>
  </w:num>
  <w:num w:numId="25" w16cid:durableId="1243756291">
    <w:abstractNumId w:val="4"/>
  </w:num>
  <w:num w:numId="26" w16cid:durableId="1697729520">
    <w:abstractNumId w:val="8"/>
  </w:num>
  <w:num w:numId="27" w16cid:durableId="146214438">
    <w:abstractNumId w:val="3"/>
  </w:num>
  <w:num w:numId="28" w16cid:durableId="804808445">
    <w:abstractNumId w:val="2"/>
  </w:num>
  <w:num w:numId="29" w16cid:durableId="1366321818">
    <w:abstractNumId w:val="1"/>
  </w:num>
  <w:num w:numId="30" w16cid:durableId="696396333">
    <w:abstractNumId w:val="0"/>
  </w:num>
  <w:num w:numId="31" w16cid:durableId="640116263">
    <w:abstractNumId w:val="9"/>
  </w:num>
  <w:num w:numId="32" w16cid:durableId="1971787417">
    <w:abstractNumId w:val="7"/>
  </w:num>
  <w:num w:numId="33" w16cid:durableId="24865453">
    <w:abstractNumId w:val="6"/>
  </w:num>
  <w:num w:numId="34" w16cid:durableId="2018999230">
    <w:abstractNumId w:val="5"/>
  </w:num>
  <w:num w:numId="35" w16cid:durableId="213128262">
    <w:abstractNumId w:val="4"/>
  </w:num>
  <w:num w:numId="36" w16cid:durableId="1091661083">
    <w:abstractNumId w:val="8"/>
  </w:num>
  <w:num w:numId="37" w16cid:durableId="672298419">
    <w:abstractNumId w:val="3"/>
  </w:num>
  <w:num w:numId="38" w16cid:durableId="144321264">
    <w:abstractNumId w:val="2"/>
  </w:num>
  <w:num w:numId="39" w16cid:durableId="806976307">
    <w:abstractNumId w:val="1"/>
  </w:num>
  <w:num w:numId="40" w16cid:durableId="522482086">
    <w:abstractNumId w:val="0"/>
  </w:num>
  <w:num w:numId="41" w16cid:durableId="1095907812">
    <w:abstractNumId w:val="10"/>
  </w:num>
  <w:num w:numId="42" w16cid:durableId="431778491">
    <w:abstractNumId w:val="10"/>
  </w:num>
  <w:num w:numId="43" w16cid:durableId="1834642708">
    <w:abstractNumId w:val="10"/>
  </w:num>
  <w:num w:numId="44" w16cid:durableId="3935534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5/2026"/>
    <w:docVar w:name="dvlangue" w:val="MT"/>
    <w:docVar w:name="dvnumam" w:val="0"/>
    <w:docVar w:name="dvpe" w:val="783.288"/>
    <w:docVar w:name="dvtitre" w:val="Riżoluzzjoni tal-Parlament Ewropew xx xx xxxx 2026 dwar l-istat tad-dritt, id-drittijiet fundamentali u l-użu ħażin tal-fondi tal-UE fis-Slovakkja: il-ħtieġa ta’ rispons tal-UE(2026/2607(RSP))"/>
  </w:docVars>
  <w:rsids>
    <w:rsidRoot w:val="00732E7D"/>
    <w:rsid w:val="00002272"/>
    <w:rsid w:val="00015684"/>
    <w:rsid w:val="00064002"/>
    <w:rsid w:val="000677B9"/>
    <w:rsid w:val="000831BA"/>
    <w:rsid w:val="000A42CC"/>
    <w:rsid w:val="000E7DD9"/>
    <w:rsid w:val="0010095E"/>
    <w:rsid w:val="001136D9"/>
    <w:rsid w:val="00125B37"/>
    <w:rsid w:val="00187494"/>
    <w:rsid w:val="001F32AE"/>
    <w:rsid w:val="002767FF"/>
    <w:rsid w:val="002B18FE"/>
    <w:rsid w:val="002B5493"/>
    <w:rsid w:val="002C36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470"/>
    <w:rsid w:val="006631B6"/>
    <w:rsid w:val="00680577"/>
    <w:rsid w:val="006F74FA"/>
    <w:rsid w:val="00731ADD"/>
    <w:rsid w:val="00732E7D"/>
    <w:rsid w:val="00734777"/>
    <w:rsid w:val="00743311"/>
    <w:rsid w:val="00747932"/>
    <w:rsid w:val="00751A4A"/>
    <w:rsid w:val="00756632"/>
    <w:rsid w:val="00762C74"/>
    <w:rsid w:val="00786EC0"/>
    <w:rsid w:val="00790DA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AE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59E"/>
    <w:rsid w:val="00B22876"/>
    <w:rsid w:val="00B558F0"/>
    <w:rsid w:val="00B713C1"/>
    <w:rsid w:val="00BD315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3FC"/>
    <w:rsid w:val="00E365E1"/>
    <w:rsid w:val="00E3734B"/>
    <w:rsid w:val="00E43B0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03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0B2BE"/>
  <w15:chartTrackingRefBased/>
  <w15:docId w15:val="{E974BBE5-D079-4A9C-A15E-21B51A39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6AE5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F6AE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9F6AE5"/>
    <w:rPr>
      <w:color w:val="0563C1" w:themeColor="hyperlink"/>
      <w:u w:val="single"/>
    </w:rPr>
  </w:style>
  <w:style w:type="character" w:customStyle="1" w:styleId="Hyperlink0">
    <w:name w:val="Hyperlink.0"/>
    <w:basedOn w:val="DefaultParagraphFont"/>
    <w:rsid w:val="009F6AE5"/>
    <w:rPr>
      <w:outline w:val="0"/>
      <w:color w:val="000000"/>
      <w:u w:color="000000"/>
    </w:rPr>
  </w:style>
  <w:style w:type="character" w:customStyle="1" w:styleId="NormalHanging12aChar">
    <w:name w:val="NormalHanging12a Char"/>
    <w:basedOn w:val="DefaultParagraphFont"/>
    <w:link w:val="NormalHanging12a"/>
    <w:rsid w:val="009F6AE5"/>
    <w:rPr>
      <w:sz w:val="24"/>
      <w:lang w:val="mt-MT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uiPriority w:val="99"/>
    <w:rsid w:val="009F6AE5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E43B0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1060/oj" TargetMode="External"/><Relationship Id="rId2" Type="http://schemas.openxmlformats.org/officeDocument/2006/relationships/hyperlink" Target="http://data.europa.eu/eli/reg/2020/2092/oj" TargetMode="External"/><Relationship Id="rId1" Type="http://schemas.openxmlformats.org/officeDocument/2006/relationships/hyperlink" Target="http://data.europa.eu/eli/dir/2019/1937/oj" TargetMode="External"/><Relationship Id="rId5" Type="http://schemas.openxmlformats.org/officeDocument/2006/relationships/hyperlink" Target="http://data.europa.eu/eli/reg/2024/1083/oj" TargetMode="External"/><Relationship Id="rId4" Type="http://schemas.openxmlformats.org/officeDocument/2006/relationships/hyperlink" Target="http://data.europa.eu/eli/C/2024/57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4623</Words>
  <Characters>36572</Characters>
  <Application>Microsoft Office Word</Application>
  <DocSecurity>0</DocSecurity>
  <Lines>599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2026-06-24T13:01:00Z</dcterms:created>
  <dcterms:modified xsi:type="dcterms:W3CDTF">2026-06-24T13:01:00Z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B10-0245/2026</vt:lpwstr>
  </property>
  <property fmtid="{D5CDD505-2E9C-101B-9397-08002B2CF9AE}" pid="4" name="&lt;Type&gt;">
    <vt:lpwstr>RR</vt:lpwstr>
  </property>
</Properties>
</file>