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4C66" w14:paraId="4B87E0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5FD8A3" w14:textId="754C1B99" w:rsidR="00751A4A" w:rsidRPr="00C24C66" w:rsidRDefault="00FB2F74" w:rsidP="0010095E">
            <w:pPr>
              <w:pStyle w:val="EPName"/>
            </w:pPr>
            <w:r w:rsidRPr="00C24C66">
              <w:t>Európsky parlament</w:t>
            </w:r>
          </w:p>
          <w:p w14:paraId="4C06C7BF" w14:textId="77777777" w:rsidR="00751A4A" w:rsidRPr="00C24C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4C66">
              <w:t>2024</w:t>
            </w:r>
            <w:r w:rsidR="00817416" w:rsidRPr="00C24C66">
              <w:t>-202</w:t>
            </w:r>
            <w:r w:rsidRPr="00C24C66">
              <w:t>9</w:t>
            </w:r>
          </w:p>
        </w:tc>
        <w:tc>
          <w:tcPr>
            <w:tcW w:w="2268" w:type="dxa"/>
            <w:shd w:val="clear" w:color="auto" w:fill="auto"/>
          </w:tcPr>
          <w:p w14:paraId="3B29BEC2" w14:textId="77777777" w:rsidR="00751A4A" w:rsidRPr="00C24C66" w:rsidRDefault="00187494" w:rsidP="0010095E">
            <w:pPr>
              <w:pStyle w:val="EPLogo"/>
            </w:pPr>
            <w:r w:rsidRPr="00C24C66">
              <w:rPr>
                <w:noProof/>
                <w:lang w:eastAsia="ja-JP"/>
              </w:rPr>
              <w:drawing>
                <wp:inline distT="0" distB="0" distL="0" distR="0" wp14:anchorId="4BCD9C02" wp14:editId="29E6C6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B03E65" w14:textId="77777777" w:rsidR="00D058B8" w:rsidRPr="00C24C66" w:rsidRDefault="00D058B8" w:rsidP="004C5D52">
      <w:pPr>
        <w:pStyle w:val="LineTop"/>
      </w:pPr>
    </w:p>
    <w:p w14:paraId="225681EF" w14:textId="363C490D" w:rsidR="00680577" w:rsidRPr="00C24C66" w:rsidRDefault="00FB2F74" w:rsidP="00680577">
      <w:pPr>
        <w:pStyle w:val="EPBodyTA1"/>
      </w:pPr>
      <w:r w:rsidRPr="00C24C66">
        <w:t>PRIJATÉ TEXTY</w:t>
      </w:r>
    </w:p>
    <w:p w14:paraId="6BC36E1C" w14:textId="77777777" w:rsidR="00D058B8" w:rsidRPr="00C24C66" w:rsidRDefault="00D058B8" w:rsidP="00D058B8">
      <w:pPr>
        <w:pStyle w:val="LineBottom"/>
      </w:pPr>
    </w:p>
    <w:p w14:paraId="3649FBEC" w14:textId="4B850785" w:rsidR="00FB2F74" w:rsidRPr="00C24C66" w:rsidRDefault="00FB2F74" w:rsidP="00FB2F74">
      <w:pPr>
        <w:pStyle w:val="ATHeading1"/>
      </w:pPr>
      <w:bookmarkStart w:id="0" w:name="TANumber"/>
      <w:r w:rsidRPr="00C24C66">
        <w:t>P10_TA(2026)0</w:t>
      </w:r>
      <w:r w:rsidR="00C24C66" w:rsidRPr="00C24C66">
        <w:t>184</w:t>
      </w:r>
      <w:bookmarkEnd w:id="0"/>
    </w:p>
    <w:p w14:paraId="07DD26B0" w14:textId="77777777" w:rsidR="00FB2F74" w:rsidRPr="00C24C66" w:rsidRDefault="00FB2F74" w:rsidP="00FB2F74">
      <w:pPr>
        <w:pStyle w:val="ATHeading2"/>
      </w:pPr>
      <w:bookmarkStart w:id="1" w:name="title"/>
      <w:r w:rsidRPr="00C24C66">
        <w:t>Právny štát, základné práva a zneužívanie fondov EÚ na Slovensku: potreba reakcie EÚ</w:t>
      </w:r>
      <w:bookmarkEnd w:id="1"/>
    </w:p>
    <w:p w14:paraId="41695004" w14:textId="77777777" w:rsidR="00FB2F74" w:rsidRPr="00C24C66" w:rsidRDefault="00FB2F74" w:rsidP="00FB2F74">
      <w:pPr>
        <w:rPr>
          <w:i/>
          <w:vanish/>
        </w:rPr>
      </w:pPr>
      <w:r w:rsidRPr="00C24C66">
        <w:rPr>
          <w:i/>
        </w:rPr>
        <w:fldChar w:fldCharType="begin"/>
      </w:r>
      <w:r w:rsidRPr="00C24C66">
        <w:rPr>
          <w:i/>
        </w:rPr>
        <w:instrText xml:space="preserve"> TC"(</w:instrText>
      </w:r>
      <w:bookmarkStart w:id="2" w:name="DocNumber"/>
      <w:r w:rsidRPr="00C24C66">
        <w:rPr>
          <w:i/>
        </w:rPr>
        <w:instrText>B10-0245/2026</w:instrText>
      </w:r>
      <w:bookmarkEnd w:id="2"/>
      <w:r w:rsidRPr="00C24C66">
        <w:rPr>
          <w:i/>
        </w:rPr>
        <w:instrText xml:space="preserve">)"\l3 \n&gt; \* MERGEFORMAT </w:instrText>
      </w:r>
      <w:r w:rsidRPr="00C24C66">
        <w:rPr>
          <w:i/>
        </w:rPr>
        <w:fldChar w:fldCharType="end"/>
      </w:r>
    </w:p>
    <w:p w14:paraId="41CD3D18" w14:textId="77777777" w:rsidR="00FB2F74" w:rsidRPr="00C24C66" w:rsidRDefault="00FB2F74" w:rsidP="00FB2F74">
      <w:pPr>
        <w:rPr>
          <w:vanish/>
        </w:rPr>
      </w:pPr>
      <w:bookmarkStart w:id="3" w:name="PE"/>
      <w:r w:rsidRPr="00C24C66">
        <w:rPr>
          <w:vanish/>
        </w:rPr>
        <w:t>PE783.288</w:t>
      </w:r>
      <w:bookmarkEnd w:id="3"/>
    </w:p>
    <w:p w14:paraId="0B37D2B8" w14:textId="4EB78AC3" w:rsidR="00FB2F74" w:rsidRPr="00C24C66" w:rsidRDefault="00FB2F74" w:rsidP="00FB2F74">
      <w:pPr>
        <w:pStyle w:val="ATHeading3"/>
      </w:pPr>
      <w:bookmarkStart w:id="4" w:name="Sujet"/>
      <w:r w:rsidRPr="00C24C66">
        <w:t xml:space="preserve">Uznesenie Európskeho parlamentu z </w:t>
      </w:r>
      <w:r w:rsidR="00C96BC0" w:rsidRPr="00C24C66">
        <w:t>20</w:t>
      </w:r>
      <w:r w:rsidRPr="00C24C66">
        <w:t xml:space="preserve">. </w:t>
      </w:r>
      <w:r w:rsidR="00C96BC0" w:rsidRPr="00C24C66">
        <w:t xml:space="preserve">mája </w:t>
      </w:r>
      <w:r w:rsidRPr="00C24C66">
        <w:t>2026 o právnom štáte, základných právach a zneužívaní fondov EÚ na Slovensku: potreba reakcie EÚ</w:t>
      </w:r>
      <w:bookmarkEnd w:id="4"/>
      <w:r w:rsidRPr="00C24C66">
        <w:t xml:space="preserve"> </w:t>
      </w:r>
      <w:bookmarkStart w:id="5" w:name="References"/>
      <w:r w:rsidRPr="00C24C66">
        <w:t>(2026/2607(RSP))</w:t>
      </w:r>
      <w:bookmarkEnd w:id="5"/>
    </w:p>
    <w:p w14:paraId="1125462E" w14:textId="77777777" w:rsidR="00AB5A11" w:rsidRPr="00C24C66" w:rsidRDefault="00AB5A11" w:rsidP="00AB5A11">
      <w:pPr>
        <w:pStyle w:val="EPComma"/>
      </w:pPr>
      <w:bookmarkStart w:id="6" w:name="TextBodyBegin"/>
      <w:bookmarkEnd w:id="6"/>
      <w:r w:rsidRPr="00C24C66">
        <w:rPr>
          <w:i/>
          <w:iCs/>
        </w:rPr>
        <w:t>Európsky parlament</w:t>
      </w:r>
      <w:r w:rsidRPr="00C24C66">
        <w:t>,</w:t>
      </w:r>
    </w:p>
    <w:p w14:paraId="5E020C08" w14:textId="109FD0C1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Zmluvu o Európskej únii (</w:t>
      </w:r>
      <w:r w:rsidR="009B5531" w:rsidRPr="00C24C66">
        <w:t>ďalej len „</w:t>
      </w:r>
      <w:r w:rsidRPr="00C24C66">
        <w:t>Z</w:t>
      </w:r>
      <w:r w:rsidR="009B5531" w:rsidRPr="00C24C66">
        <w:t>mluva o </w:t>
      </w:r>
      <w:r w:rsidRPr="00C24C66">
        <w:t>EÚ</w:t>
      </w:r>
      <w:r w:rsidR="009B5531" w:rsidRPr="00C24C66">
        <w:t>“</w:t>
      </w:r>
      <w:r w:rsidRPr="00C24C66">
        <w:t>), najmä na jej články 2, 4, článok 4 ods. 3, články 5, 6, 9 a 10, a na Zmluvu o fungovaní Európskej únie (</w:t>
      </w:r>
      <w:r w:rsidR="009B5531" w:rsidRPr="00C24C66">
        <w:t>ďalej len „</w:t>
      </w:r>
      <w:r w:rsidRPr="00C24C66">
        <w:t>ZFEÚ</w:t>
      </w:r>
      <w:r w:rsidR="009B5531" w:rsidRPr="00C24C66">
        <w:t>“</w:t>
      </w:r>
      <w:r w:rsidRPr="00C24C66">
        <w:t>), najmä na jej článok 20,</w:t>
      </w:r>
    </w:p>
    <w:p w14:paraId="0F946706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Chartu základných práv Európskej únie (ďalej len „charta“),</w:t>
      </w:r>
    </w:p>
    <w:p w14:paraId="4B411C08" w14:textId="31502F31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Európsky dohovor o ľudských právach (</w:t>
      </w:r>
      <w:r w:rsidR="009B5531" w:rsidRPr="00C24C66">
        <w:t>ďalej len „</w:t>
      </w:r>
      <w:r w:rsidRPr="00C24C66">
        <w:t>EDĽP</w:t>
      </w:r>
      <w:r w:rsidR="009B5531" w:rsidRPr="00C24C66">
        <w:t>“</w:t>
      </w:r>
      <w:r w:rsidRPr="00C24C66">
        <w:t>) a protokoly k nemu, ako aj na rozsudky Európskeho súdu pre ľudské práva týkajúce sa Slovenska,</w:t>
      </w:r>
    </w:p>
    <w:p w14:paraId="1BDD4A5B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Všeobecnú deklaráciu ľudských práv,</w:t>
      </w:r>
    </w:p>
    <w:p w14:paraId="137A4AAC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medzinárodné zmluvy OSN a Rady Európy o ľudských právach,</w:t>
      </w:r>
    </w:p>
    <w:p w14:paraId="558F5225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smernicu Európskeho parlamentu a Rady (EÚ) 2019/1937 z 23. októbra 2019 o ochrane osôb, ktoré nahlasujú porušenia práva Únie</w:t>
      </w:r>
      <w:r w:rsidRPr="00C24C66">
        <w:rPr>
          <w:rStyle w:val="FootnoteReference"/>
        </w:rPr>
        <w:footnoteReference w:id="1"/>
      </w:r>
      <w:r w:rsidRPr="00C24C66">
        <w:t xml:space="preserve"> (smernica o oznamovateľoch),</w:t>
      </w:r>
    </w:p>
    <w:p w14:paraId="764F2EFA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 xml:space="preserve">so zreteľom na nariadenie Európskeho parlamentu a Rady (EÚ, </w:t>
      </w:r>
      <w:proofErr w:type="spellStart"/>
      <w:r w:rsidRPr="00C24C66">
        <w:t>Euratom</w:t>
      </w:r>
      <w:proofErr w:type="spellEnd"/>
      <w:r w:rsidRPr="00C24C66">
        <w:t>) 2020/2092 zo 16. decembra 2020 o všeobecnom režime podmienenosti na ochranu rozpočtu Únie</w:t>
      </w:r>
      <w:r w:rsidRPr="00C24C66">
        <w:rPr>
          <w:rStyle w:val="FootnoteReference"/>
        </w:rPr>
        <w:footnoteReference w:id="2"/>
      </w:r>
      <w:r w:rsidRPr="00C24C66">
        <w:t> (nariadenie o podmienenosti právnym štátom),</w:t>
      </w:r>
    </w:p>
    <w:p w14:paraId="56CA2F58" w14:textId="77777777" w:rsidR="00AB5A11" w:rsidRPr="00C24C66" w:rsidRDefault="00AB5A11" w:rsidP="00AB5A11">
      <w:pPr>
        <w:pStyle w:val="NormalHanging12a"/>
        <w:widowControl/>
      </w:pPr>
      <w:r w:rsidRPr="00C24C66">
        <w:t>–</w:t>
      </w:r>
      <w:r w:rsidRPr="00C24C66">
        <w:tab/>
        <w:t>so zreteľom na nariadenie Európskeho parlamentu a Rady (EÚ) 2021/1060 z 24. júna 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 w:rsidRPr="00C24C66">
        <w:t>akvakultúrnom</w:t>
      </w:r>
      <w:proofErr w:type="spellEnd"/>
      <w:r w:rsidRPr="00C24C66">
        <w:t xml:space="preserve"> fonde a rozpočtové pravidlá pre uvedené fondy, ako aj pre Fond pre azyl, migráciu </w:t>
      </w:r>
      <w:r w:rsidRPr="00C24C66">
        <w:lastRenderedPageBreak/>
        <w:t>a integráciu, Fond pre vnútornú bezpečnosť a Nástroj finančnej podpory na riadenie hraníc a vízovú politiku</w:t>
      </w:r>
      <w:r w:rsidRPr="00C24C66">
        <w:rPr>
          <w:rStyle w:val="FootnoteReference"/>
        </w:rPr>
        <w:footnoteReference w:id="3"/>
      </w:r>
      <w:r w:rsidRPr="00C24C66">
        <w:t xml:space="preserve"> (nariadenie o spoločných ustanoveniach),</w:t>
      </w:r>
    </w:p>
    <w:p w14:paraId="25872CFF" w14:textId="77777777" w:rsidR="00AB5A11" w:rsidRPr="00C24C66" w:rsidRDefault="00AB5A11" w:rsidP="00AB5A11">
      <w:pPr>
        <w:spacing w:before="100" w:beforeAutospacing="1" w:after="240"/>
        <w:ind w:left="567" w:right="-1" w:hanging="567"/>
        <w:rPr>
          <w:color w:val="000000" w:themeColor="text1"/>
          <w:szCs w:val="24"/>
        </w:rPr>
      </w:pPr>
      <w:r w:rsidRPr="00C24C66">
        <w:rPr>
          <w:color w:val="000000" w:themeColor="text1"/>
        </w:rPr>
        <w:t>–</w:t>
      </w:r>
      <w:r w:rsidRPr="00C24C66">
        <w:rPr>
          <w:color w:val="000000" w:themeColor="text1"/>
        </w:rPr>
        <w:tab/>
        <w:t xml:space="preserve">so zreteľom na svoje uznesenie z 19. apríla 2018 o ochrane investigatívnych novinárov v Európe: prípad slovenského novinára Jána </w:t>
      </w:r>
      <w:proofErr w:type="spellStart"/>
      <w:r w:rsidRPr="00C24C66">
        <w:rPr>
          <w:color w:val="000000" w:themeColor="text1"/>
        </w:rPr>
        <w:t>Kuciaka</w:t>
      </w:r>
      <w:proofErr w:type="spellEnd"/>
      <w:r w:rsidRPr="00C24C66">
        <w:rPr>
          <w:color w:val="000000" w:themeColor="text1"/>
        </w:rPr>
        <w:t xml:space="preserve"> a Martiny </w:t>
      </w:r>
      <w:proofErr w:type="spellStart"/>
      <w:r w:rsidRPr="00C24C66">
        <w:rPr>
          <w:color w:val="000000" w:themeColor="text1"/>
        </w:rPr>
        <w:t>Kušnírovej</w:t>
      </w:r>
      <w:proofErr w:type="spellEnd"/>
      <w:r w:rsidRPr="00C24C66">
        <w:rPr>
          <w:rStyle w:val="FootnoteReference"/>
          <w:color w:val="000000" w:themeColor="text1"/>
          <w:szCs w:val="24"/>
        </w:rPr>
        <w:footnoteReference w:id="4"/>
      </w:r>
      <w:r w:rsidRPr="00C24C66">
        <w:rPr>
          <w:color w:val="000000" w:themeColor="text1"/>
        </w:rPr>
        <w:t>,</w:t>
      </w:r>
    </w:p>
    <w:p w14:paraId="4DD5E6F0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t>–</w:t>
      </w:r>
      <w:r w:rsidRPr="00C24C66">
        <w:tab/>
        <w:t>so zreteľom na svoje uznesenie z 28. marca 2019 o situácii v oblasti právneho štátu a boja proti korupcii v EÚ, konkrétne na Malte a na Slovensku</w:t>
      </w:r>
      <w:r w:rsidRPr="00C24C66">
        <w:rPr>
          <w:rStyle w:val="FootnoteReference"/>
          <w:szCs w:val="24"/>
        </w:rPr>
        <w:footnoteReference w:id="5"/>
      </w:r>
      <w:r w:rsidRPr="00C24C66">
        <w:t>,</w:t>
      </w:r>
    </w:p>
    <w:p w14:paraId="220956C9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t>–</w:t>
      </w:r>
      <w:r w:rsidRPr="00C24C66">
        <w:tab/>
        <w:t xml:space="preserve">so zreteľom na svoje uznesenie z 20. októbra 2022 o rastúcom počte trestných činov z nenávisti voči LGBTIQ+ osobám v celej Európe s ohľadom na nedávnu </w:t>
      </w:r>
      <w:proofErr w:type="spellStart"/>
      <w:r w:rsidRPr="00C24C66">
        <w:t>homofóbnu</w:t>
      </w:r>
      <w:proofErr w:type="spellEnd"/>
      <w:r w:rsidRPr="00C24C66">
        <w:t xml:space="preserve"> vraždu na Slovensku</w:t>
      </w:r>
      <w:r w:rsidRPr="00C24C66">
        <w:rPr>
          <w:rStyle w:val="FootnoteReference"/>
          <w:szCs w:val="24"/>
        </w:rPr>
        <w:footnoteReference w:id="6"/>
      </w:r>
      <w:r w:rsidRPr="00C24C66">
        <w:t>,</w:t>
      </w:r>
    </w:p>
    <w:p w14:paraId="5B532F70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t>–</w:t>
      </w:r>
      <w:r w:rsidRPr="00C24C66">
        <w:tab/>
        <w:t>so zreteľom na svoje uznesenie zo 17. januára 2024 o plánovanom zrušení kľúčových protikorupčných štruktúr na Slovensku a jeho dôsledkoch pre právny štát</w:t>
      </w:r>
      <w:r w:rsidRPr="00C24C66">
        <w:rPr>
          <w:rStyle w:val="FootnoteReference"/>
          <w:szCs w:val="24"/>
        </w:rPr>
        <w:footnoteReference w:id="7"/>
      </w:r>
      <w:r w:rsidRPr="00C24C66">
        <w:t>,</w:t>
      </w:r>
    </w:p>
    <w:p w14:paraId="214FD466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svoju správu zo služobnej cesty Výboru pre kontrolu rozpočtu na Slovensko od 26. do 28. mája 2025 a správu zo služobnej cesty monitorovacej skupiny pre demokraciu, právny štát a základné práva (DRFMG) Výboru pre občianske slobody, spravodlivosť a vnútorné veci do Bratislavy (Slovensko) od 1. do 3. júna 2025,</w:t>
      </w:r>
    </w:p>
    <w:p w14:paraId="0E941870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kapitoly výročných správ Komisie o právnom štáte venované Slovensku,</w:t>
      </w:r>
    </w:p>
    <w:p w14:paraId="627A29D2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správy, prieskumy a stanoviská Agentúry Európskej únie pre základné práva,</w:t>
      </w:r>
    </w:p>
    <w:p w14:paraId="03A352C8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platformu Rady Európy na podporu ochrany žurnalistiky a bezpečnosti novinárov a jej výročnú správu za rok 2025,</w:t>
      </w:r>
    </w:p>
    <w:p w14:paraId="2BAB6EF1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vyhlásenie Výboru ministrov Rady Európy z 30. apríla 2014 o ochrane žurnalistiky a o bezpečnosti novinárov a iných mediálnych aktérov,</w:t>
      </w:r>
    </w:p>
    <w:p w14:paraId="6ACBD470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záväzky štátov, ktoré sú členmi Organizácie pre bezpečnosť a spoluprácu v Európe, týkajúce sa slobody médií, slobody prejavu a voľného toku informácií,</w:t>
      </w:r>
    </w:p>
    <w:p w14:paraId="28A1B211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uznesenie Súdnej rady Slovenskej republiky č. 464/2024 z 20. novembra 2024, v ktorom vyjadruje obavy v súvislosti s trestným činom „ohýbania práva“ a odporúča jeho vypustenie alebo úpravu s cieľom zabezpečiť silnejšie záruky v súlade s nezávislosťou súdnej moci,</w:t>
      </w:r>
    </w:p>
    <w:p w14:paraId="5E3906DF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vyhlásenie Medzinárodnej komisie právnikov zo 14. februára 2025, v ktorom sa vyjadruje znepokojenie nad zjavným zasahovaním výkonnej moci do práce Súdnej rady Slovenskej republiky a zdôrazňuje potreba chrániť nezávislosť súdnych rád od vplyvu parlamentu a výkonnej moci,</w:t>
      </w:r>
    </w:p>
    <w:p w14:paraId="4CC98AE7" w14:textId="77777777" w:rsidR="00AB5A11" w:rsidRPr="00C24C66" w:rsidRDefault="00AB5A11" w:rsidP="00AB5A11">
      <w:pPr>
        <w:pStyle w:val="NormalHanging12a"/>
      </w:pPr>
      <w:r w:rsidRPr="00C24C66">
        <w:lastRenderedPageBreak/>
        <w:t>–</w:t>
      </w:r>
      <w:r w:rsidRPr="00C24C66">
        <w:tab/>
        <w:t>so zreteľom na spoločný otvorený list zo 16. októbra 2025, ktorý podpísalo 56 organizácií občianskej spoločnosti, ktoré vyjadrili hlboké znepokojenie nad nedávno prijatými ústavnými zmenami na Slovensku a vyzvali EÚ, aby prijala okamžité kroky,</w:t>
      </w:r>
    </w:p>
    <w:p w14:paraId="6AE29D5A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list Európskej prokuratúry (EPPO) z 28. novembra 2025 adresovaný Komisii, v ktorom vyjadruje obavy, že navrhované zmeny právnych predpisov o ochrane oznamovateľov na Slovensku môžu byť nezlučiteľné so zásadami právneho štátu, obmedziť ochranu určitých kategórií oznamovateľov, zaviesť retroaktívne účinky na prebiehajúce prípady a negatívne ovplyvniť ochranu finančných záujmov EÚ,</w:t>
      </w:r>
    </w:p>
    <w:p w14:paraId="12BB72F2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verejné vypočutie vo Výbore pre kontrolu rozpočtu z 27. januára 2026 o ochrane finančných záujmov EÚ na Slovensku,</w:t>
      </w:r>
    </w:p>
    <w:p w14:paraId="3C355B19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index vnímania korupcie za rok 2025, podľa ktorého Slovensko získalo 48 bodov zo 100 a skončilo na 61. mieste na svete,</w:t>
      </w:r>
    </w:p>
    <w:p w14:paraId="65F495DD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index rodovej rovnosti za rok 2025, ktorý zostavil Európsky inštitút pre rodovú rovnosť a podľa ktorého Slovensko dosiahlo 57,2 bodu zo 100 a skončilo na 20. mieste v EÚ, čo naznačuje, že v priebehu času zaznamenalo pokrok, no stále dosahuje výsledky pod priemerom EÚ,</w:t>
      </w:r>
    </w:p>
    <w:p w14:paraId="73261992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t>–</w:t>
      </w:r>
      <w:r w:rsidRPr="00C24C66">
        <w:tab/>
        <w:t>so zreteľom na vyhlásenia Rady a Komisie z 11. februára 2026 o právnom štáte, základných právach a zneužívaní fondov EÚ na Slovensku: potreba reakcie EÚ,</w:t>
      </w:r>
    </w:p>
    <w:p w14:paraId="17AFF186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t>–</w:t>
      </w:r>
      <w:r w:rsidRPr="00C24C66">
        <w:tab/>
        <w:t>so zreteľom na svoje uznesenie z 29. apríla 2026 s poznámkami, ktoré sú neoddeliteľnou súčasťou rozhodnutí o absolutóriu za plnenie všeobecného rozpočtu Európskej únie za rozpočtový rok 2024, oddiel III – Komisia, výkonné agentúry a deviaty, desiaty a jedenásty Európsky rozvojový fond</w:t>
      </w:r>
      <w:r w:rsidRPr="00C24C66">
        <w:rPr>
          <w:rStyle w:val="FootnoteReference"/>
          <w:szCs w:val="24"/>
        </w:rPr>
        <w:footnoteReference w:id="8"/>
      </w:r>
      <w:r w:rsidRPr="00C24C66">
        <w:t>,</w:t>
      </w:r>
    </w:p>
    <w:p w14:paraId="53D16258" w14:textId="77777777" w:rsidR="00AB5A11" w:rsidRPr="00C24C66" w:rsidRDefault="00AB5A11" w:rsidP="00AB5A11">
      <w:pPr>
        <w:pStyle w:val="NormalHanging12a"/>
      </w:pPr>
      <w:r w:rsidRPr="00C24C66">
        <w:t>–</w:t>
      </w:r>
      <w:r w:rsidRPr="00C24C66">
        <w:tab/>
        <w:t>so zreteľom na článok 136 ods. 2 rokovacieho poriadku,</w:t>
      </w:r>
    </w:p>
    <w:p w14:paraId="22B69A72" w14:textId="23531EA9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t>A.</w:t>
      </w:r>
      <w:r w:rsidRPr="00C24C66">
        <w:rPr>
          <w:snapToGrid w:val="0"/>
        </w:rPr>
        <w:tab/>
      </w:r>
      <w:r w:rsidRPr="00C24C66">
        <w:t>keďže EÚ je založená na hodnotách rešpektovania ľudskej dôstojnosti, slobody, demokracie, rovnosti a právneho štátu, ako aj dodržiavania ľudských práv vrátane práv osôb patriacich k menšinám, pričom tieto hodnoty sú stanovené v článku 2 Z</w:t>
      </w:r>
      <w:r w:rsidR="009B5531" w:rsidRPr="00C24C66">
        <w:t xml:space="preserve">mluvy o </w:t>
      </w:r>
      <w:r w:rsidRPr="00C24C66">
        <w:t>EÚ, zohľadnené v charte a zakotvené v medzinárodných dohovoroch o ľudských právach; keďže ide o spoločné hodnoty všetkých členských štátov a Európska únia a každý členský štát by ich mali podporovať a aktívne presadzovať vo všetkých svojich politikách, a to konzistentne na vnútornej aj vonkajšej úrovni; keďže členské štáty by mali zabezpečiť, aby nedochádzalo k zhoršovaniu ochrany hodnôt zakotvených v článku 2 Z</w:t>
      </w:r>
      <w:r w:rsidR="009B5531" w:rsidRPr="00C24C66">
        <w:t xml:space="preserve">mluvy o </w:t>
      </w:r>
      <w:r w:rsidRPr="00C24C66">
        <w:t>EÚ; keďže akékoľvek oslabenie týchto hodnôt môže narušiť práva a slobody ľudí žijúcich v EÚ;</w:t>
      </w:r>
    </w:p>
    <w:p w14:paraId="524FBE09" w14:textId="7F89238B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B.</w:t>
      </w:r>
      <w:r w:rsidRPr="00C24C66">
        <w:rPr>
          <w:snapToGrid w:val="0"/>
        </w:rPr>
        <w:tab/>
      </w:r>
      <w:r w:rsidRPr="00C24C66">
        <w:t>keďže v článku 6 ods. 3 Z</w:t>
      </w:r>
      <w:r w:rsidR="009B5531" w:rsidRPr="00C24C66">
        <w:t xml:space="preserve">mluvy o </w:t>
      </w:r>
      <w:r w:rsidRPr="00C24C66">
        <w:t>EÚ sa uznáva, že základné práva tak, ako sú zaručené Európskym dohovorom o ochrane ľudských práv a základných slobôd (EDĽP) a ako vyplývajú z ústavných tradícií spoločných pre členské štáty, predstavujú všeobecné zásady práva Únie;</w:t>
      </w:r>
    </w:p>
    <w:p w14:paraId="583A4911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C.</w:t>
      </w:r>
      <w:r w:rsidRPr="00C24C66">
        <w:rPr>
          <w:snapToGrid w:val="0"/>
        </w:rPr>
        <w:tab/>
      </w:r>
      <w:r w:rsidRPr="00C24C66">
        <w:t xml:space="preserve">keďže fungovanie EÚ sa opiera o vzájomnú dôveru medzi členskými štátmi založenú na predpoklade, že podporujú demokraciu, právny štát a základné práva, ako ich zaručuje </w:t>
      </w:r>
      <w:r w:rsidRPr="00C24C66">
        <w:lastRenderedPageBreak/>
        <w:t>EDĽP a charta;</w:t>
      </w:r>
    </w:p>
    <w:p w14:paraId="4F11FD4C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D.</w:t>
      </w:r>
      <w:r w:rsidRPr="00C24C66">
        <w:rPr>
          <w:snapToGrid w:val="0"/>
        </w:rPr>
        <w:tab/>
      </w:r>
      <w:r w:rsidRPr="00C24C66">
        <w:t>keďže služobná cesta monitorovacej skupiny pre demokraciu, právny štát a základné práva (DRFMG) na Slovensko na účely zistenia potrebných skutočností, ktorá sa uskutočnila od 1. do 3. júna 2025, viedla k vážnym obavám v súvislosti s reformami trestného práva, ktoré oslabujú protikorupčné úsilie, so skrátenými premlčacími lehotami a s využívaním skrátených konaní bez primeranej konzultácie; keďže táto služobná cesta takisto poukázala na riziká súvisiace s </w:t>
      </w:r>
      <w:proofErr w:type="spellStart"/>
      <w:r w:rsidRPr="00C24C66">
        <w:t>diskrečnou</w:t>
      </w:r>
      <w:proofErr w:type="spellEnd"/>
      <w:r w:rsidRPr="00C24C66">
        <w:t xml:space="preserve"> právomocou prokuratúry, absenciou komplexnej protikorupčnej stratégie, rastúcim tlakom na súdnictvo, médiá a občiansku spoločnosť, obmedzovaním slobody médií a s návrhmi spochybňujúcimi nadradenosť práva EÚ; keďže sa konkrétne zistilo, že boj proti korupcii už nepatrí medzi priority vlády a počet prípadov stíhania korupcie klesá, no nie z dôvodu nižšej miery korupcie, ale z dôvodu obmedzeného presadzovania práva, a že okrem prípadov týkajúcich sa predchádzajúcej premiérovej vlády sa nebudú riešiť žiadne nové závažné prípady; keďže sa odhaduje, že z právnych reforiem údajne profitovalo 1 324 odsúdených a 446 ich bolo prepustených predčasne, pričom mnohí z nich sú napojení na politické kruhy;</w:t>
      </w:r>
    </w:p>
    <w:p w14:paraId="002F2A93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E.</w:t>
      </w:r>
      <w:r w:rsidRPr="00C24C66">
        <w:rPr>
          <w:snapToGrid w:val="0"/>
        </w:rPr>
        <w:tab/>
      </w:r>
      <w:r w:rsidRPr="00C24C66">
        <w:t>keďže na základe služobnej cesty Výboru pre kontrolu rozpočtu na Slovensko, ktorá sa uskutočnila od 26. do 28. mája 2025, vznikli vážne obavy, pokiaľ ide o fungovanie systémov kontroly a auditu, spravovanie finančných prostriedkov EÚ a širšie aspekty právneho štátu; keďže služobná cesta prebehla v napätej politickej atmosfére a bola poznačená verejnými útokmi na jej účastníkov, pričom vzbudila vážne obavy týkajúce sa transparentnosti, protichodnosti informácií od orgánov a zainteresovaných strán a nepriateľského prostredia voči zástupcom občianskej spoločnosti a investigatívnym novinárom; keďže sa vďaka nej poukázalo aj na riziká súvisiace s riadením finančných prostriedkov EÚ vrátane štrukturálnych nedostatkov v mechanizmoch dohľadu, nedostatočných záruk proti podvodom a zredukovaných vyšetrovacích kapacít po zrušení Úradu špeciálnej prokuratúry a novele Trestného zákona, čo viedlo k alarmujúcim predbežným štatistikám, podľa ktorých boli v prvých mesiacoch roka 2025 údajne podané len dve obžaloby za podobné trestné činy ako tie, ktoré predtým vyšetroval Úrad špeciálnej prokuratúry; keďže Úrad špeciálnej prokuratúry v minulosti každoročne vyšetroval 120 až 150 obžalôb; keďže služobná cesta odhalila aj nedostatky v efektívnom využívaní finančných prostriedkov EÚ pre zraniteľné komunity, najmä pri čerpaní finančných prostriedkov EÚ určených pre rómske komunity;</w:t>
      </w:r>
    </w:p>
    <w:p w14:paraId="2C80F456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F.</w:t>
      </w:r>
      <w:r w:rsidRPr="00C24C66">
        <w:rPr>
          <w:snapToGrid w:val="0"/>
        </w:rPr>
        <w:tab/>
      </w:r>
      <w:r w:rsidRPr="00C24C66">
        <w:t>keďže novelou Ústavy Slovenskej republiky prijatou 26. septembra 2025 sa jej článok 7 doplnil o dodatočné ustanovenia o národnej identite, ktoré slovenským orgánom vrátane súdov umožňujú posúdiť, či a do akej miery sa na Slovensku uplatňuje právo EÚ vrátane rozsudkov Súdneho dvora Európskej únie (SDEÚ); keďže komisár Rady Európy pre ľudské práva, Benátska komisia a Výbor OSN pre ľudské práva vyjadrili v súvislosti s touto novelou obavy; keďže 21. novembra 2025 sa Komisia rozhodla začať postup v prípade nesplnenia povinnosti zaslaním formálnej výzvy Slovensku z dôvodu porušenia základných zásad práva EÚ, najmä zásad prednosti, autonómie, účinnosti a jednotného uplatňovania práva EÚ;</w:t>
      </w:r>
    </w:p>
    <w:p w14:paraId="6A2A6427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G.</w:t>
      </w:r>
      <w:r w:rsidRPr="00C24C66">
        <w:rPr>
          <w:snapToGrid w:val="0"/>
        </w:rPr>
        <w:tab/>
      </w:r>
      <w:r w:rsidRPr="00C24C66">
        <w:t xml:space="preserve">keďže justičný systém naďalej čelí výzvam, pokiaľ ide o jeho efektívnosť, najmä v správnych veciach; keďže Komisia vo svojej Správe o právnom štáte 2025 odporučila, aby Slovensko zaviedlo opatrenia na zabezpečenie dostatočných záruk nezávislosti, pokiaľ ide o odvolávanie členov Súdnej rady, najmä tých, ktorých nezvolili sudcovia, s prihliadnutím na európske normy týkajúce sa nezávislosti súdnych rád, a aby </w:t>
      </w:r>
      <w:r w:rsidRPr="00C24C66">
        <w:lastRenderedPageBreak/>
        <w:t>zabezpečilo zavedenie a riadne dodržiavanie dostatočných záruk pri posudzovaní trestnej zodpovednosti sudcov za trestný čin „ohýbania práva“ v ich súdnych rozhodnutiach;</w:t>
      </w:r>
    </w:p>
    <w:p w14:paraId="77511D62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H.</w:t>
      </w:r>
      <w:r w:rsidRPr="00C24C66">
        <w:rPr>
          <w:snapToGrid w:val="0"/>
        </w:rPr>
        <w:tab/>
      </w:r>
      <w:r w:rsidRPr="00C24C66">
        <w:t>keďže Komisia vo svojej Správe o právnom štáte 2025 odporučila, aby Slovensko predložilo návrhy na reguláciu lobizmu a sprísnenie systému podávania a overovania majetkových priznaní a aby pokračovalo vo svojom prebiehajúcom úsilí o reformu pravidiel týkajúcich sa konfliktov záujmov a zabezpečilo účinné a nezávislé vyšetrovanie a stíhanie prípadov veľkej korupcie v záujme dosiahnutia presvedčivých výsledkov, a to aj predchádzaním akémukoľvek neprimeranému zasahovaniu a obmedzením využívania právomocí generálneho prokurátora na rušenie konečných rozhodnutí vyšetrovateľov a prokurátorov;</w:t>
      </w:r>
    </w:p>
    <w:p w14:paraId="7DE1240C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I.</w:t>
      </w:r>
      <w:r w:rsidRPr="00C24C66">
        <w:rPr>
          <w:snapToGrid w:val="0"/>
        </w:rPr>
        <w:tab/>
      </w:r>
      <w:r w:rsidRPr="00C24C66">
        <w:t>keďže Komisia 8. mája 2025 v nadväznosti na odporúčanie Európskeho úradu pre boj proti podvodom (OLAF) prijala vykonávacie rozhodnutie o znížení podpory z Mechanizmu na podporu obnovy a odolnosti v prípade konfliktu záujmov v súlade s článkom 22 ods. 5 nariadenia (EÚ) 2021/241 a článkom 19 ods. 1 a 2 písm. a) dohody o financovaní pre Slovensko (C(2025)0294);</w:t>
      </w:r>
    </w:p>
    <w:p w14:paraId="4130CC7B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J.</w:t>
      </w:r>
      <w:r w:rsidRPr="00C24C66">
        <w:rPr>
          <w:snapToGrid w:val="0"/>
        </w:rPr>
        <w:tab/>
      </w:r>
      <w:r w:rsidRPr="00C24C66">
        <w:t xml:space="preserve">keďže 6. júna 2025 Skupina štátov proti korupcii (GRECO) prijala </w:t>
      </w:r>
      <w:r w:rsidRPr="00C24C66">
        <w:rPr>
          <w:i/>
          <w:iCs/>
        </w:rPr>
        <w:t>ad hoc</w:t>
      </w:r>
      <w:r w:rsidRPr="00C24C66">
        <w:t xml:space="preserve"> správu o Slovenskej republike, v ktorej sa zaoberala viacerými odporúčaniami vzhľadom na zistenia týkajúce sa využívania skráteného legislatívneho konania, skrátenia premlčacích lehôt, zníženia trestných sadzieb, inštitucionálnych reforiem s vplyvom na prokuratúru a policajný zbor, ako aj uplatňovania trestného činu „ohýbania práva“; keďže 6. a 7. marca 2026 Benátska komisia a Generálne riaditeľstvo Rady Európy pre ľudské práva a právny štát uviedli, že trestný čin ohýbania práva vzbudzuje obavy, pretože vo svojej podstate predstavuje riziko ohrozenia nezávislosti súdnictva, a zopakovali, že primárnym prostriedkom nápravy by mal byť bežný odvolací postup;</w:t>
      </w:r>
    </w:p>
    <w:p w14:paraId="082168B9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K.</w:t>
      </w:r>
      <w:r w:rsidRPr="00C24C66">
        <w:rPr>
          <w:snapToGrid w:val="0"/>
        </w:rPr>
        <w:tab/>
      </w:r>
      <w:r w:rsidRPr="00C24C66">
        <w:t>keďže Komisia vo svojej Správe o právnom štáte 2025 odporučila, aby Slovensko posilnilo pravidlá a mechanizmy na obnovenie a lepšiu ochranu nezávislého riadenia a redakčnej nezávislosti verejnoprávnych médií s prihliadnutím na európske normy týkajúce sa verejnoprávnych médií a aby pokročilo v procese vytvárania legislatívnych a iných záruk v záujme zlepšenia fyzickej bezpečnosti a pracovného prostredia novinárov vrátane reformy právnej úpravy ohovárania, s prihliadnutím na európske normy v oblasti ochrany novinárov; keďže slovenská vláda a parlament vymenovali v roku 2025 Radu Slovenskej televízie a rozhlasu (STVR), ktorá sa skladá výlučne z nominantov vládnej koalície, čo sa odrazilo vo výbere generálnej riaditeľky a v značnom tlaku vyvíjanom na zamestnancov STVR, pokiaľ ide o redakčný obsah;</w:t>
      </w:r>
    </w:p>
    <w:p w14:paraId="04BB331D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L.</w:t>
      </w:r>
      <w:r w:rsidRPr="00C24C66">
        <w:rPr>
          <w:snapToGrid w:val="0"/>
        </w:rPr>
        <w:tab/>
      </w:r>
      <w:r w:rsidRPr="00C24C66">
        <w:t>keďže 11. februára 2026 sa Ústavný súd Slovenskej republiky rozhodol podať na Súdny dvor Európskej únie návrh na začatie prejudiciálneho konania (C-107/26) v súvislosti so zlučiteľnosťou zákona o Slovenskej televízii a rozhlase s európskym aktom o slobode médií</w:t>
      </w:r>
      <w:r w:rsidRPr="00C24C66">
        <w:rPr>
          <w:rStyle w:val="FootnoteReference"/>
          <w:szCs w:val="24"/>
        </w:rPr>
        <w:footnoteReference w:id="9"/>
      </w:r>
      <w:r w:rsidRPr="00C24C66">
        <w:t>;</w:t>
      </w:r>
    </w:p>
    <w:p w14:paraId="1CA491F7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M.</w:t>
      </w:r>
      <w:r w:rsidRPr="00C24C66">
        <w:rPr>
          <w:snapToGrid w:val="0"/>
        </w:rPr>
        <w:tab/>
      </w:r>
      <w:r w:rsidRPr="00C24C66">
        <w:t xml:space="preserve">keďže v minulosti verejné útoky politikov na Slovensku proti novinárom, občianskej </w:t>
      </w:r>
      <w:r w:rsidRPr="00C24C66">
        <w:lastRenderedPageBreak/>
        <w:t xml:space="preserve">spoločnosti a zraniteľným skupinám prispeli k určitej normalizácii nenávistných prejavov, v kontexte ktorých boli spáchané závažné násilné trestné činy vrátane vraždy Jána </w:t>
      </w:r>
      <w:proofErr w:type="spellStart"/>
      <w:r w:rsidRPr="00C24C66">
        <w:t>Kuciaka</w:t>
      </w:r>
      <w:proofErr w:type="spellEnd"/>
      <w:r w:rsidRPr="00C24C66">
        <w:t xml:space="preserve"> a Martiny </w:t>
      </w:r>
      <w:proofErr w:type="spellStart"/>
      <w:r w:rsidRPr="00C24C66">
        <w:t>Kušnírovej</w:t>
      </w:r>
      <w:proofErr w:type="spellEnd"/>
      <w:r w:rsidRPr="00C24C66">
        <w:t xml:space="preserve">; keďže vražda Jána </w:t>
      </w:r>
      <w:proofErr w:type="spellStart"/>
      <w:r w:rsidRPr="00C24C66">
        <w:t>Kuciaka</w:t>
      </w:r>
      <w:proofErr w:type="spellEnd"/>
      <w:r w:rsidRPr="00C24C66">
        <w:t xml:space="preserve"> a Martiny </w:t>
      </w:r>
      <w:proofErr w:type="spellStart"/>
      <w:r w:rsidRPr="00C24C66">
        <w:t>Kušnírovej</w:t>
      </w:r>
      <w:proofErr w:type="spellEnd"/>
      <w:r w:rsidRPr="00C24C66">
        <w:t xml:space="preserve"> je jedným z najzložitejších vyšetrovaných prípadov; keďže na tento prípad dohliadal Úrad špeciálnej prokuratúry a v súčasnosti je v kompetencii generálneho prokurátora;</w:t>
      </w:r>
    </w:p>
    <w:p w14:paraId="70806D92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N.</w:t>
      </w:r>
      <w:r w:rsidRPr="00C24C66">
        <w:rPr>
          <w:snapToGrid w:val="0"/>
        </w:rPr>
        <w:tab/>
      </w:r>
      <w:r w:rsidRPr="00C24C66">
        <w:t>keďže Komisia vo svojej Správe o právnom štáte 2025 odporučila, aby Slovensko zabezpečilo účinné verejné konzultácie v procese tvorby právnych predpisov a zapojenie zainteresovaných strán do tohto procesu, a to aj riešením častého využívania skráteného legislatívneho konania; keďže v roku 2025 bolo 20 % zákonov schválených v Národnej rade Slovenskej republiky prerokovaných a prijatých v skrátenom legislatívnom konaní;</w:t>
      </w:r>
    </w:p>
    <w:p w14:paraId="09F866C3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O.</w:t>
      </w:r>
      <w:r w:rsidRPr="00C24C66">
        <w:rPr>
          <w:snapToGrid w:val="0"/>
        </w:rPr>
        <w:tab/>
      </w:r>
      <w:r w:rsidRPr="00C24C66">
        <w:t>keďže 12. decembra 2025 Národná rada Slovenskej republiky v skrátenom konaní zmenila zákon o ochrane oznamovateľov; keďže 17. decembra 2025 Ústavný súd Slovenskej republiky účinnosť týchto zmien pozastavil; keďže 30. januára 2026 sa Komisia rozhodla začať postup v prípade nesplnenia povinnosti zaslaním formálnej výzvy Slovensku z dôvodu porušenia pravidiel EÚ o ochrane oznamovateľov;</w:t>
      </w:r>
    </w:p>
    <w:p w14:paraId="198B0FE6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P.</w:t>
      </w:r>
      <w:r w:rsidRPr="00C24C66">
        <w:rPr>
          <w:snapToGrid w:val="0"/>
        </w:rPr>
        <w:tab/>
      </w:r>
      <w:r w:rsidRPr="00C24C66">
        <w:t>keďže Národná rada Slovenskej republiky 16. apríla 2025 schválila novelu zákona o neziskových organizáciách; keďže komisár Rady Európy pre ľudské práva a Benátska komisia vyjadrili obavy, pokiaľ ide o súlad novely s EDĽP; keďže mimovládne organizácie (MVO) sú vystavované očierňujúcim kampaniam, vyhrážkam a zastrašovaniu</w:t>
      </w:r>
      <w:r w:rsidRPr="00C24C66">
        <w:rPr>
          <w:rStyle w:val="FootnoteReference"/>
          <w:color w:val="000000"/>
          <w:spacing w:val="-2"/>
        </w:rPr>
        <w:footnoteReference w:id="10"/>
      </w:r>
      <w:r w:rsidRPr="00C24C66">
        <w:t>; keďže 17. decembra 2025 Ústavný súd dospel k záveru, že novela nie je v súlade s Ústavou Slovenskej republiky ani s EDĽP; keďže napriek tomuto rozhodnutiu slovenské orgány zaviedli alternatívne opatrenia zvyšujúce administratívny dohľad nad organizáciami občianskej spoločnosti a zmenili pravidlá v oblasti transparentnosti, čo vyvoláva obavy z pretrvávajúceho tlaku na občiansky priestor;</w:t>
      </w:r>
    </w:p>
    <w:p w14:paraId="06EDA1DB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Q.</w:t>
      </w:r>
      <w:r w:rsidRPr="00C24C66">
        <w:rPr>
          <w:snapToGrid w:val="0"/>
        </w:rPr>
        <w:tab/>
      </w:r>
      <w:r w:rsidRPr="00C24C66">
        <w:t xml:space="preserve">keďže odborníci OSN na ľudské práva a Výbor OSN pre ľudské práva vyjadrili znepokojenie nad </w:t>
      </w:r>
      <w:proofErr w:type="spellStart"/>
      <w:r w:rsidRPr="00C24C66">
        <w:t>stigmatizáciou</w:t>
      </w:r>
      <w:proofErr w:type="spellEnd"/>
      <w:r w:rsidRPr="00C24C66">
        <w:t xml:space="preserve"> a perzekúciou MVO, novinárov a organizácií občianskej spoločnosti na Slovensku, ako aj nad obmedzovaním občianskeho priestoru; keďže výbor vyzval Slovensko, aby svoje právne predpisy preskúmalo a zmenilo v snahe zabezpečiť plnú ochranu práva na pokojné zhromažďovanie a zaistiť náležitý rámec pre MVO; keďže na Slovensko sa naďalej vzťahuje posilnený režim dohľadu, pokiaľ ide o výkon rozsudkov Európskeho súdu pre ľudské práva, a to z dôvodu nedostatočných záruk v súvislosti s tajným sledovaním</w:t>
      </w:r>
      <w:r w:rsidRPr="00C24C66">
        <w:rPr>
          <w:rStyle w:val="FootnoteReference"/>
          <w:color w:val="000000"/>
          <w:spacing w:val="-2"/>
        </w:rPr>
        <w:footnoteReference w:id="11"/>
      </w:r>
      <w:r w:rsidRPr="00C24C66">
        <w:t>;</w:t>
      </w:r>
    </w:p>
    <w:p w14:paraId="656703FB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R.</w:t>
      </w:r>
      <w:r w:rsidRPr="00C24C66">
        <w:rPr>
          <w:snapToGrid w:val="0"/>
        </w:rPr>
        <w:tab/>
      </w:r>
      <w:r w:rsidRPr="00C24C66">
        <w:t xml:space="preserve">keďže 11. decembra 2025 Národná rada Slovenskej republiky novelizovala Trestný zákon s cieľom kriminalizovať marenie volebnej kampane „v spojení s cudzou mocou alebo cudzím činiteľom“; keďže 27. marca 2026 bol predložený návrh novely zákona o podmienkach výkonu volebného práva s cieľom nahradiť voľbu poštou zo zahraničia </w:t>
      </w:r>
      <w:r w:rsidRPr="00C24C66">
        <w:lastRenderedPageBreak/>
        <w:t>osobnou voľbou na diplomatických a konzulárnych zastúpeniach;</w:t>
      </w:r>
    </w:p>
    <w:p w14:paraId="3C10A194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S.</w:t>
      </w:r>
      <w:r w:rsidRPr="00C24C66">
        <w:rPr>
          <w:snapToGrid w:val="0"/>
        </w:rPr>
        <w:tab/>
      </w:r>
      <w:r w:rsidRPr="00C24C66">
        <w:t>keďže zmenami ústavy, ktoré boli prijaté 26. septembra 2025, sa zaviedli ustanovenia týkajúce sa adopcie, vzdelávacích činností a ústavného vymedzenia pohlavia; keďže komisár Rady Európy pre ľudské práva a Benátska komisia vyjadrili v súvislosti s týmito zmenami obavy;</w:t>
      </w:r>
    </w:p>
    <w:p w14:paraId="65138C18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T.</w:t>
      </w:r>
      <w:r w:rsidRPr="00C24C66">
        <w:rPr>
          <w:snapToGrid w:val="0"/>
        </w:rPr>
        <w:tab/>
      </w:r>
      <w:r w:rsidRPr="00C24C66">
        <w:t>keďže v účinnom vyšetrovaní a stíhaní domáceho násilia na Slovensku existujú systémové nedostatky, ako sa zdôrazňuje v judikatúre Európskeho súdu pre ľudské práva</w:t>
      </w:r>
      <w:r w:rsidRPr="00C24C66">
        <w:rPr>
          <w:rStyle w:val="FootnoteReference"/>
          <w:color w:val="000000"/>
          <w:spacing w:val="-2"/>
        </w:rPr>
        <w:footnoteReference w:id="12"/>
      </w:r>
      <w:r w:rsidRPr="00C24C66">
        <w:t>;</w:t>
      </w:r>
    </w:p>
    <w:p w14:paraId="39F2730C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U.</w:t>
      </w:r>
      <w:r w:rsidRPr="00C24C66">
        <w:rPr>
          <w:snapToGrid w:val="0"/>
        </w:rPr>
        <w:tab/>
      </w:r>
      <w:r w:rsidRPr="00C24C66">
        <w:t>keďže na Súdnom dvore Európskej únie stále prebieha konanie vo veci C-799/23, Komisia/Slovensko; keďže na Slovensko sa naďalej vzťahuje posilnený režim dohľadu, pokiaľ ide o výkon rozsudku Európskeho súdu pre ľudské práva týkajúceho sa diskriminačného zápisu do škôl a vzdelávania rómskych detí v špeciálnych triedach na základných školách pre deti s mentálnym postihnutím</w:t>
      </w:r>
      <w:r w:rsidRPr="00C24C66">
        <w:rPr>
          <w:rStyle w:val="FootnoteReference"/>
          <w:color w:val="000000"/>
          <w:spacing w:val="-2"/>
        </w:rPr>
        <w:footnoteReference w:id="13"/>
      </w:r>
      <w:r w:rsidRPr="00C24C66">
        <w:t xml:space="preserve">; keďže 25. februára 2025 komisár Rady Európy pre ľudské práva vyzval na prijatie naliehavých opatrení na riešenie neprimeraných životných podmienok marginalizovaných rómskych komunít; keďže komisár vydal odporúčania, pokiaľ ide o zaručenie prístupu rómskych detí k inkluzívnemu a kvalitnému vzdelávaniu a ukončenie ich segregácie, ako aj riešenie </w:t>
      </w:r>
      <w:proofErr w:type="spellStart"/>
      <w:r w:rsidRPr="00C24C66">
        <w:t>protirómskeho</w:t>
      </w:r>
      <w:proofErr w:type="spellEnd"/>
      <w:r w:rsidRPr="00C24C66">
        <w:t xml:space="preserve"> rasizmu a diskriminácie, najmä pri činnosti polície; keďže na Slovensko sa naďalej vzťahuje posilnený režim dohľadu, pokiaľ ide o výkon rozsudkov Európskeho súdu pre ľudské práva v súvislosti so zaobchádzaním s Rómami zo strany polície</w:t>
      </w:r>
      <w:r w:rsidRPr="00C24C66">
        <w:rPr>
          <w:rStyle w:val="FootnoteReference"/>
          <w:color w:val="000000"/>
          <w:spacing w:val="-2"/>
        </w:rPr>
        <w:footnoteReference w:id="14"/>
      </w:r>
      <w:r w:rsidRPr="00C24C66">
        <w:t>;</w:t>
      </w:r>
    </w:p>
    <w:p w14:paraId="253476A4" w14:textId="77777777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V.</w:t>
      </w:r>
      <w:r w:rsidRPr="00C24C66">
        <w:rPr>
          <w:snapToGrid w:val="0"/>
        </w:rPr>
        <w:tab/>
      </w:r>
      <w:r w:rsidRPr="00C24C66">
        <w:t>keďže v Správe Únie občianskych slobôd pre Európu o právnom štáte 2025</w:t>
      </w:r>
      <w:r w:rsidRPr="00C24C66">
        <w:rPr>
          <w:rStyle w:val="FootnoteReference"/>
          <w:color w:val="000000"/>
          <w:spacing w:val="-2"/>
          <w:szCs w:val="24"/>
        </w:rPr>
        <w:footnoteReference w:id="15"/>
      </w:r>
      <w:r w:rsidRPr="00C24C66">
        <w:t xml:space="preserve"> sa zdôrazňujú pretrvávajúce obavy týkajúce sa nezávislosti súdnictva, protikorupčného rámca, slobody médií, využívania skrátených legislatívnych konaní, stavu občianskeho priestoru a základných práv na Slovensku, najmä pokiaľ ide o menšiny a zraniteľné skupiny;</w:t>
      </w:r>
    </w:p>
    <w:p w14:paraId="68B83EE7" w14:textId="777FFA89" w:rsidR="00AB5A11" w:rsidRPr="00C24C66" w:rsidRDefault="00AB5A11" w:rsidP="00AB5A11">
      <w:pPr>
        <w:pStyle w:val="NormalHanging12a"/>
        <w:rPr>
          <w:spacing w:val="-2"/>
          <w:szCs w:val="24"/>
        </w:rPr>
      </w:pPr>
      <w:r w:rsidRPr="00C24C66">
        <w:rPr>
          <w:snapToGrid w:val="0"/>
        </w:rPr>
        <w:t>W.</w:t>
      </w:r>
      <w:r w:rsidRPr="00C24C66">
        <w:rPr>
          <w:snapToGrid w:val="0"/>
        </w:rPr>
        <w:tab/>
      </w:r>
      <w:r w:rsidRPr="00C24C66">
        <w:t xml:space="preserve">keďže 11. decembra 2025 Národná rada Slovenskej republiky novelizovala Trestný zákon s cieľom kriminalizovať </w:t>
      </w:r>
      <w:r w:rsidR="00D5278A" w:rsidRPr="00D5278A">
        <w:t xml:space="preserve">spochybňovanie „dekrétov </w:t>
      </w:r>
      <w:r w:rsidRPr="00C24C66">
        <w:t xml:space="preserve">po druhej svetovej vojne“; keďže </w:t>
      </w:r>
      <w:r w:rsidR="00D5278A" w:rsidRPr="00D5278A">
        <w:t xml:space="preserve">existuje riziko, že tento nedávno prijatý zákon bude mať odstrašujúci účinok na slobodu prejavu a akademické slobody, ktoré sú chránené Chartou základných práv Európskej únie; keďže prebiehajúca konfiškácia pôdy na základe spomínaných dekrétov, ktoré sa vzťahovali najmä na občanov patriacich k maďarskej národnostnej menšine, je v skutočnosti systémom zaberania pôdy, ktorý pripravil stovky vlastníkov o cennú pôdu a vyvoláva obavy týkajúce sa právnej istoty a dodržiavania zásad právneho štátu; keďže </w:t>
      </w:r>
      <w:r w:rsidRPr="00C24C66">
        <w:t xml:space="preserve">2. februára 2022 Poradný výbor pre Rámcový dohovor na ochranu národnostných menšín vyzval slovenské orgány, aby začali dialóg so zástupcami dotknutých národnostných menšín o akýchkoľvek možných negatívnych účinkoch </w:t>
      </w:r>
      <w:r w:rsidRPr="00C24C66">
        <w:lastRenderedPageBreak/>
        <w:t>nariadenia z roku 1945 o konfiškácii majetku na súčasné vzťahy medzi etnikami;</w:t>
      </w:r>
    </w:p>
    <w:p w14:paraId="7F520F23" w14:textId="77777777" w:rsidR="00AB5A11" w:rsidRPr="00C24C66" w:rsidRDefault="00AB5A11" w:rsidP="00AB5A11">
      <w:pPr>
        <w:pStyle w:val="NormalHanging12a"/>
        <w:rPr>
          <w:rFonts w:eastAsiaTheme="majorEastAsia"/>
        </w:rPr>
      </w:pPr>
      <w:r w:rsidRPr="00C24C66">
        <w:t>1.</w:t>
      </w:r>
      <w:r w:rsidRPr="00C24C66">
        <w:tab/>
        <w:t>vyjadruje hlboké znepokojenie nad zhoršením situácie v oblasti demokracie, právneho štátu a základných práv na Slovensku; zdôrazňuje, že overiteľné dodržiavanie zásad právneho štátu a charty zo strany členských štátov sa musí považovať za základnú podmienku na získanie akýchkoľvek finančných prostriedkov EÚ; zdôrazňuje, že všetky programy a investície financované z rozpočtu EÚ musia slúžiť verejnému záujmu; zdôrazňuje, že systémové nedostatky v oblasti právneho štátu, najmä pokiaľ ide o nezávislosť súdnictva a systémy auditu a kontroly, ohrozujú ochranu finančných záujmov EÚ;</w:t>
      </w:r>
    </w:p>
    <w:p w14:paraId="0A1BAF26" w14:textId="52D0F3BC" w:rsidR="00AB5A11" w:rsidRPr="00C24C66" w:rsidRDefault="00AB5A11" w:rsidP="00AB5A11">
      <w:pPr>
        <w:pStyle w:val="NormalHanging12a"/>
        <w:rPr>
          <w:rFonts w:eastAsiaTheme="majorEastAsia"/>
        </w:rPr>
      </w:pPr>
      <w:r w:rsidRPr="00C24C66">
        <w:t>2.</w:t>
      </w:r>
      <w:r w:rsidRPr="00C24C66">
        <w:tab/>
        <w:t>vyzýva Komisiu, aby posúdila, či by mohlo existovať jasné riziko vážneho porušenia hodnôt uvedených v článku 2 Z</w:t>
      </w:r>
      <w:r w:rsidR="009B5531" w:rsidRPr="00C24C66">
        <w:t xml:space="preserve">mluvy o </w:t>
      </w:r>
      <w:r w:rsidRPr="00C24C66">
        <w:t>EÚ zo strany Slovenska;</w:t>
      </w:r>
      <w:r w:rsidRPr="00C24C66">
        <w:rPr>
          <w:rStyle w:val="Hyperlink0"/>
        </w:rPr>
        <w:t xml:space="preserve"> okrem toho vyzýva Komisiu</w:t>
      </w:r>
      <w:r w:rsidRPr="00C24C66">
        <w:t>, aby v plnej miere využila všetky dostupné nástroje na riešenie obáv týkajúcich sa demokracie, právneho štátu a základných práv, počnúc nástrojmi prevencie a spolupráce uvedenými v jej výročnej správe o právnom štáte, s cieľom zabezpečiť dodržiavanie hodnôt zakotvených v článku 2 Z</w:t>
      </w:r>
      <w:r w:rsidR="009B5531" w:rsidRPr="00C24C66">
        <w:t xml:space="preserve">mluvy o </w:t>
      </w:r>
      <w:r w:rsidRPr="00C24C66">
        <w:t>EÚ; zdôrazňuje však, že ak by obavy pretrvávali a boli riadne odôvodnené, Komisia by nemala váhať využiť všetky opatrenia na presadzovanie práva, ktoré má k dispozícii, na ochranu rozpočtu EÚ a presadzovanie hodnôt zakotvených v článku 2 Z</w:t>
      </w:r>
      <w:r w:rsidR="009B5531" w:rsidRPr="00C24C66">
        <w:t xml:space="preserve">mluvy o </w:t>
      </w:r>
      <w:r w:rsidRPr="00C24C66">
        <w:t>EÚ vrátane postupov v prípade nesplnenia povinnosti, a najmä zrýchlených postupov v prípade nesplnenia povinnosti, žiadostí o predbežné opatrenia na SDEÚ a opatrení v súvislosti s nevykonávaním rozsudkov SDEÚ, ako aj posilnených auditov, pozastavenia platieb, systematického uplatňovania finančných opráv a postupov vymáhania;</w:t>
      </w:r>
    </w:p>
    <w:p w14:paraId="631AFAFA" w14:textId="77777777" w:rsidR="00AB5A11" w:rsidRPr="00C24C66" w:rsidRDefault="00AB5A11" w:rsidP="00AB5A11">
      <w:pPr>
        <w:pStyle w:val="NormalHanging12a"/>
      </w:pPr>
      <w:r w:rsidRPr="00C24C66">
        <w:t>3.</w:t>
      </w:r>
      <w:r w:rsidRPr="00C24C66">
        <w:tab/>
        <w:t xml:space="preserve">vyjadruje poľutovanie nad tým, že Slovensko prijalo sériu noviel svojho Trestného zákona a Trestného poriadku vrátane zníženia trestných sadzieb za korupciu a hospodárske trestné činy, skrátenia premlčacích lehôt a zrušenia špecializovaných protikorupčných orgánov – Národnej kriminálnej agentúry a Úradu špeciálnej prokuratúry, čo viedlo k oneskoreniam vo vyšetrovaniach postúpených iným orgánom a k výraznému poklesu počtu prípadov korupcie a čo oslabuje stíhanie trestných činov týkajúcich sa finančných prostriedkov EÚ; vyjadruje znepokojenie nad rozsiahlymi </w:t>
      </w:r>
      <w:proofErr w:type="spellStart"/>
      <w:r w:rsidRPr="00C24C66">
        <w:t>diskrečnými</w:t>
      </w:r>
      <w:proofErr w:type="spellEnd"/>
      <w:r w:rsidRPr="00C24C66">
        <w:t xml:space="preserve"> právomocami udelenými slovenskému generálnemu prokurátorovi podľa § 363 slovenského Trestného poriadku, ktoré môžu umožniť prerušenie alebo oneskorenie trestného konania z formálnych dôvodov bez dostatočných záruk, čo predstavuje riziko pre účinné vyšetrovanie a stíhanie prípadov, najmä trestných činov súvisiacich s korupciou; vyjadruje znepokojenie nad správami o obťažovaní a vyšetrovaní bývalých protikorupčných vyšetrovateľov a domnieva sa, že tieto kroky oslabujú boj proti korupcii, môžu ohroziť ochranu finančných záujmov EÚ a môžu mať zastrašujúci účinok na nezávislé vyšetrovania; ďalej vyjadruje znepokojenie nad odhalením konfliktov záujmov pri vykonávaní Mechanizmu na podporu obnovy a odolnosti;</w:t>
      </w:r>
    </w:p>
    <w:p w14:paraId="1D1B2F2D" w14:textId="77777777" w:rsidR="00AB5A11" w:rsidRPr="00C24C66" w:rsidRDefault="00AB5A11" w:rsidP="00AB5A11">
      <w:pPr>
        <w:pStyle w:val="NormalHanging12a"/>
        <w:rPr>
          <w:rFonts w:eastAsiaTheme="majorEastAsia"/>
        </w:rPr>
      </w:pPr>
      <w:r w:rsidRPr="00C24C66">
        <w:t>4.</w:t>
      </w:r>
      <w:r w:rsidRPr="00C24C66">
        <w:tab/>
        <w:t xml:space="preserve">vyjadruje hlboké znepokojenie nad zmenami ústavy na Slovensku, najmä tými, ktoré obmedzujú základné práva, právny štát a prednosť práva EÚ; so znepokojením konštatuje, že organizácie občianskej spoločnosti varovali, že tieto zmeny môžu porušovať základné práva; zdôrazňuje, že ústavné ustanovenia musia byť sformulované dostatočne presne, aby sa zabránilo svojvoľnému výkladu, a musia byť v plnom súlade so záväzkami vyplývajúcimi z práva EÚ vrátane charty, ako aj s medzinárodnými normami v oblasti ľudských práv; pripomína, že prednosť práva EÚ a obligatórny charakter medzinárodných záväzkov sa musia v plnej miere rešpektovať a že žiadne </w:t>
      </w:r>
      <w:r w:rsidRPr="00C24C66">
        <w:lastRenderedPageBreak/>
        <w:t>ústavné ustanovenie nemôže ospravedlniť nedodržiavanie rozsudkov SDEÚ alebo Európskeho súdu pre ľudské práva; vyzýva slovenské orgány, aby zabezpečili úplný súlad Ústavy Slovenskej republiky s právom EÚ a medzinárodným právom v oblasti ľudských práv a aby zohľadnili odporúčania Benátskej komisie a medzinárodných orgánov pre ľudské práva, najmä pokiaľ ide o prednosť práva EÚ, právo na súkromný a rodinný život, nediskrimináciu na základe rodovej identity a sexuálnej orientácie a právo na vzdelanie;</w:t>
      </w:r>
    </w:p>
    <w:p w14:paraId="36ED8978" w14:textId="77777777" w:rsidR="00AB5A11" w:rsidRPr="00C24C66" w:rsidRDefault="00AB5A11" w:rsidP="00AB5A11">
      <w:pPr>
        <w:pStyle w:val="NormalHanging12a"/>
        <w:rPr>
          <w:rFonts w:eastAsiaTheme="majorEastAsia"/>
        </w:rPr>
      </w:pPr>
      <w:r w:rsidRPr="00C24C66">
        <w:t>5.</w:t>
      </w:r>
      <w:r w:rsidRPr="00C24C66">
        <w:tab/>
        <w:t>vyzýva Komisiu, aby posúdila súlad nedávnych legislatívnych zmien s právom EÚ a uplatnila ustanovenia nariadenia o spoločných ustanoveniach v prípadoch nedodržania horizontálnych základných podmienok podľa uvedeného nariadenia</w:t>
      </w:r>
      <w:r w:rsidRPr="00C24C66">
        <w:rPr>
          <w:rStyle w:val="Hyperlink0"/>
        </w:rPr>
        <w:t>;</w:t>
      </w:r>
    </w:p>
    <w:p w14:paraId="51BF9C4E" w14:textId="77777777" w:rsidR="00AB5A11" w:rsidRPr="00C24C66" w:rsidRDefault="00AB5A11" w:rsidP="00AB5A11">
      <w:pPr>
        <w:pStyle w:val="NormalHanging12a"/>
      </w:pPr>
      <w:r w:rsidRPr="00C24C66">
        <w:t>6.</w:t>
      </w:r>
      <w:r w:rsidRPr="00C24C66">
        <w:tab/>
        <w:t>zdôrazňuje, že nariadenie o podmienenosti právnym štátom sa neobmedzuje na krajné opatrenia, ale stanovujú sa v ňom aj včasné opatrenia s čiastočným pozastavením, ak sa zistia porušenia zásad právneho štátu, ktoré predstavujú vážne riziko pre správne finančné riadenie rozpočtu EÚ; opakuje svoju výzvu vyjadrenú v súvislosti s udelením rozpočtového absolutória Komisii za rok 2024, aby sa začal prvý krok postupu stanoveného v článku 6 ods. 1 nariadenia o podmienenosti právnym štátom;</w:t>
      </w:r>
    </w:p>
    <w:p w14:paraId="3EDC42C3" w14:textId="77777777" w:rsidR="00AB5A11" w:rsidRPr="00C24C66" w:rsidRDefault="00AB5A11" w:rsidP="00AB5A11">
      <w:pPr>
        <w:pStyle w:val="NormalHanging12a"/>
        <w:rPr>
          <w:rFonts w:eastAsiaTheme="majorEastAsia"/>
        </w:rPr>
      </w:pPr>
      <w:r w:rsidRPr="00C24C66">
        <w:t>7.</w:t>
      </w:r>
      <w:r w:rsidRPr="00C24C66">
        <w:tab/>
        <w:t>vyjadruje hlboké znepokojenie nad pokusom o zrušenie Úradu na ochranu oznamovateľov, ktoré by viedlo k výraznému zníženiu úrovne ochrany poskytovanej oznamovateľom vrátane zvýšeného vystavenia odvetným opatreniam a obmedzeného prístupu k právnym zárukám; odmieta ustanovenia, ktorými sa zavádza „mechanizmus preskúmania“ umožňujúci orgánom alebo zamestnávateľom odňať oznamovateľom ochranu bez súdneho dohľadu, čo ohrozuje základné právo na účinný prostriedok nápravy zakotvené v charte; zdôrazňuje, že obmedzenie ochrany oznamovateľov je nezlučiteľné so smernicou EÚ o oznamovateľoch a podkopáva právny štát; víta rozhodnutie Národnej rady Slovenskej republiky zo 17. marca 2026 zrušiť kontroverzný zákon a zachovať Úrad na ochranu oznamovateľov; vyzýva Komisiu, aby zrušenie zákona, ktorým sa ruší Úrad na ochranu oznamovateľov na Slovensku, pozorne monitorovala s cieľom zabezpečiť, aby sa týmto zrušením v plnej miere obnovila predchádzajúca úroveň ochrany a zabezpečil súlad s právom EÚ, a aby pred zvážením akýchkoľvek ďalších opatrení posúdila rozsah a účinnosť tohto zrušenia; vyzýva slovenské orgány, aby zabezpečili súlad s právom a normami EÚ v oblasti ochrany oznamovateľov;</w:t>
      </w:r>
    </w:p>
    <w:p w14:paraId="22FA184B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8.</w:t>
      </w:r>
      <w:r w:rsidRPr="00C24C66">
        <w:rPr>
          <w:snapToGrid w:val="0"/>
        </w:rPr>
        <w:tab/>
      </w:r>
      <w:r w:rsidRPr="00C24C66">
        <w:t>naliehavo vyzýva Komisiu, aby zintenzívnila cielené kontroly a kontroly na mieste na Slovensku, a to aj prostredníctvom posilnenej a systematickej spolupráce s úradom OLAF a Európskou prokuratúrou, s cieľom kompenzovať oslabené vnútroštátne kapacity v oblasti presadzovania práva a zabezpečiť účinné opatrenia nadväzujúce na prebiehajúce vyšetrovania; zdôrazňuje, že takéto kontroly sa musia uplatňovať systematicky vo všetkých príslušných tokoch financovania EÚ vrátane finančných prostriedkov z viacročného finančného rámca aj Mechanizmu na podporu obnovy a odolnosti;</w:t>
      </w:r>
    </w:p>
    <w:p w14:paraId="6F82CCD6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9.</w:t>
      </w:r>
      <w:r w:rsidRPr="00C24C66">
        <w:rPr>
          <w:snapToGrid w:val="0"/>
        </w:rPr>
        <w:tab/>
      </w:r>
      <w:r w:rsidRPr="00C24C66">
        <w:t>opätovne potvrdzuje svoju pripravenosť pracovať v duchu lojálnej spolupráce so slovenskými orgánmi, ako aj s občianskou spoločnosťou a nezávislými inštitúciami na riešení zistených nedostatkov; zdôrazňuje, že cieľom jeho kontroly a služobných ciest je podporiť posilňovanie demokratických inštitúcií, právneho štátu a riadneho využívania finančných prostriedkov EÚ; vyzýva slovenské orgány, aby v tomto procese konštruktívne a proaktívne spolupracovali s inštitúciami EÚ;</w:t>
      </w:r>
    </w:p>
    <w:p w14:paraId="07F9148C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lastRenderedPageBreak/>
        <w:t>10.</w:t>
      </w:r>
      <w:r w:rsidRPr="00C24C66">
        <w:rPr>
          <w:snapToGrid w:val="0"/>
        </w:rPr>
        <w:tab/>
      </w:r>
      <w:r w:rsidRPr="00C24C66">
        <w:t>vyzýva slovenské orgány, aby v plnej miere vykonali odporúčania Komisie, skupiny GRECO a Benátskej komisie týkajúce sa súdnictva a boja proti korupcii, najmä pokiaľ ide o zrušenie trestného činu ohýbania práva a zabezpečenie nezávislosti a nestrannosti Súdnej rady v oblasti práva a praxe, fungovanie špecializovaných protikorupčných orgánov, trestné právo hmotné a trestné právo procesné a nezávislosť prokurátorov;</w:t>
      </w:r>
    </w:p>
    <w:p w14:paraId="7995FA6D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11.</w:t>
      </w:r>
      <w:r w:rsidRPr="00C24C66">
        <w:rPr>
          <w:snapToGrid w:val="0"/>
        </w:rPr>
        <w:tab/>
      </w:r>
      <w:r w:rsidRPr="00C24C66">
        <w:t>dôrazne odsudzuje zrušenie Úradu špeciálnej prokuratúry vzhľadom na jeho zjavný vplyv na vyšetrovanie a stíhanie korupcie, ktorý nemožno vykompenzovať činnosťou Európskej prokuratúry, a to najmä vzhľadom na hlásené prípady „fragmentácie“ podvodnej činnosti, v dôsledku ktorej údajná hodnota, o ktorú v daných prípadoch ide, zostáva pod prahom stanoveným pre zapojenie Európskej prokuratúry; zdôrazňuje potrebu naliehavého prehodnotenia nedávnych zmien; vyzýva slovenské orgány, aby zabezpečili úplnú, včasnú a proaktívnu spoluprácu s Európskou prokuratúrou a úradom OLAF;</w:t>
      </w:r>
    </w:p>
    <w:p w14:paraId="09B510F3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12.</w:t>
      </w:r>
      <w:r w:rsidRPr="00C24C66">
        <w:rPr>
          <w:snapToGrid w:val="0"/>
        </w:rPr>
        <w:tab/>
      </w:r>
      <w:r w:rsidRPr="00C24C66">
        <w:t>opakuje svoje obavy týkajúce sa fungovania slovenskej Pôdohospodárskej platobnej agentúry a riadenia finančných prostriedkov v rámci spoločnej poľnohospodárskej politiky vrátane štrukturálnych nedostatkov, ktoré potvrdil Najvyšší kontrolný úrad Slovenskej republiky, nepostačujúcich kontrolných mechanizmov, nedostatočných nápravných opatrení a čoraz väčšieho počtu úhrad s nedostatočnými kontrolami; domnieva sa, že uvedené nedostatky potvrdzujú závažné a systémové chyby v systéme riadenia a kontroly, v rámci ktorého sa spravujú poľnohospodárske výdavky na Slovensku;</w:t>
      </w:r>
    </w:p>
    <w:p w14:paraId="0257FCBE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13.</w:t>
      </w:r>
      <w:r w:rsidRPr="00C24C66">
        <w:rPr>
          <w:snapToGrid w:val="0"/>
        </w:rPr>
        <w:tab/>
      </w:r>
      <w:r w:rsidRPr="00C24C66">
        <w:t>vyjadruje znepokojenie nad obvineniami zo zneužívania prostriedkov a z nezrovnalostí pri realizácii projektov rozvoja vidieka a cestovného ruchu financovaných EÚ na Slovensku vrátane prípadov týkajúcich sa projektov penziónov financovaných EÚ, ktoré zahŕňajú údajné zneužívanie finančných prostriedkov určených na rozvoj poľnohospodárstva a vidieka na výstavbu či renováciu luxusných súkromných nehnuteľností s obmedzenou alebo žiadnou jasnou pridanou hodnotou EÚ; zdôrazňuje, že ak sa takéto praktiky potvrdia, predstavovali by vážne porušenie zásad správneho finančného riadenia, transparentnosti a rovnakého zaobchádzania a oslabili by dôveru verejnosti v rozpočet EÚ;</w:t>
      </w:r>
    </w:p>
    <w:p w14:paraId="0487BCED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14.</w:t>
      </w:r>
      <w:r w:rsidRPr="00C24C66">
        <w:rPr>
          <w:snapToGrid w:val="0"/>
        </w:rPr>
        <w:tab/>
      </w:r>
      <w:r w:rsidRPr="00C24C66">
        <w:t>pripomína povinnosť členských štátov zabezpečiť efektívne, transparentné a zodpovedné riadenie finančných prostriedkov EÚ; vyzýva slovenské orgány, aby v plnej spolupráci s Komisiou prijali okamžité a účinné nápravné opatrenia s konkrétnymi prínosmi pre občanov, a to vrátane posilnenia systémov vnútornej kontroly, zabezpečenia riadneho odhaľovania a riešenia konfliktov záujmov a zlepšenia vymáhania neoprávnených platieb;</w:t>
      </w:r>
    </w:p>
    <w:p w14:paraId="6667708B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15.</w:t>
      </w:r>
      <w:r w:rsidRPr="00C24C66">
        <w:rPr>
          <w:snapToGrid w:val="0"/>
        </w:rPr>
        <w:tab/>
      </w:r>
      <w:r w:rsidRPr="00C24C66">
        <w:t xml:space="preserve">vyjadruje hlboké znepokojenie nad zhoršovaním slobody a plurality médií na Slovensku vrátane politického zasahovania do verejnoprávnych médií, tlaku na novinárov prostredníctvom vytvárania nepriateľskej atmosféry, očierňujúcich kampaní a dezinformácií, využívania strategických žalôb proti verejnej účasti, a to aj zo strany popredných politických činiteľov, a rizika, že vlastníctvo médií sa sústredí v politicky spriaznených rukách, v kombinácii s prepúšťaním vedúcich predstaviteľov kľúčových kultúrnych inštitúcií, čo môže mať zastrašujúci účinok na slobodu tlače a verejnú diskusiu; zdôrazňuje, že oslabené mediálne prostredie výrazne znižuje demokratickú kontrolu a uľahčuje korupciu pri čerpaní finančných prostriedkov EÚ; vyzýva slovenské orgány, aby v súlade s európskym aktom o slobode médií v plnej miere vykonali </w:t>
      </w:r>
      <w:r w:rsidRPr="00C24C66">
        <w:lastRenderedPageBreak/>
        <w:t xml:space="preserve">odporúčania Komisie týkajúce sa médií, najmä pokiaľ ide o právny rámec pre verejnoprávne médiá, a aby zabezpečili redakčnú nezávislosť a ochranu novinárov; vyzýva Slovensko, aby v plnej miere a účinne dodržiavalo európsky akt o slobode médií, a naliehavo vyzýva Komisiu, aby jeho vykonávanie pozorne a proaktívne monitorovala; pripomína, že slovenské orgány musia pri fungovaní a financovaní kultúrnych inštitúcií rešpektovať slobodu prejavu a umenia a zdržať sa zneužívania právnych krokov, ktoré obmedzujú verejnú diskusiu; vzdáva poctu zavraždenému Jánovi </w:t>
      </w:r>
      <w:proofErr w:type="spellStart"/>
      <w:r w:rsidRPr="00C24C66">
        <w:t>Kuciakovi</w:t>
      </w:r>
      <w:proofErr w:type="spellEnd"/>
      <w:r w:rsidRPr="00C24C66">
        <w:t xml:space="preserve"> a jeho dôležitej práci investigatívneho novinára; vyzýva slovenské orgány, aby v tomto prípade zabezpečili výkon spravodlivosti;</w:t>
      </w:r>
    </w:p>
    <w:p w14:paraId="295567EB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16.</w:t>
      </w:r>
      <w:r w:rsidRPr="00C24C66">
        <w:rPr>
          <w:snapToGrid w:val="0"/>
        </w:rPr>
        <w:tab/>
      </w:r>
      <w:r w:rsidRPr="00C24C66">
        <w:t>vyjadruje poľutovanie nad opakovaným a neodôvodneným využívaním skrátených legislatívnych konaní v prípade zásadných reforiem; zdôrazňuje, že skrátené konania sa nesmú stať normou a mali by byť prísne odôvodnené len za náležite opodstatnených okolností, pretože oslabujú verejnú kontrolu, transparentnosť a inkluzívnu tvorbu právnych predpisov, pričom obmedzujú zmysluplné konzultácie a parlamentnú diskusiu; vyzýva slovenské orgány, aby v plnej miere vykonali odporúčania Komisie a skupiny GRECO týkajúce sa systému bŕzd a protiváh, najmä pokiaľ ide o účinné verejné konzultácie a zapojenie zainteresovaných strán do procesu tvorby právnych predpisov, a to aj riešením častého využívania skráteného konania; opakuje svoje znepokojenie nad prístupom novinárov a organizácií občianskej spoločnosti k informáciám, ako aj k správam Najvyššieho kontrolného úradu a sekcie kontroly a prevencie korupcie Úradu vlády;</w:t>
      </w:r>
    </w:p>
    <w:p w14:paraId="4C806E59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17.</w:t>
      </w:r>
      <w:r w:rsidRPr="00C24C66">
        <w:rPr>
          <w:snapToGrid w:val="0"/>
        </w:rPr>
        <w:tab/>
      </w:r>
      <w:r w:rsidRPr="00C24C66">
        <w:t xml:space="preserve">dôrazne odsudzuje rastúci tlak vyvíjaný na organizácie občianskej spoločnosti, strážcov demokracie a odborníkov v oblasti justície vrátane administratívnej záťaže a pokusov o </w:t>
      </w:r>
      <w:proofErr w:type="spellStart"/>
      <w:r w:rsidRPr="00C24C66">
        <w:t>delegitimizáciu</w:t>
      </w:r>
      <w:proofErr w:type="spellEnd"/>
      <w:r w:rsidRPr="00C24C66">
        <w:t xml:space="preserve"> ich práce; domnieva sa, že tieto kroky oslabujú zodpovednosť a účinnú ochranu základných práv; vyzýva slovenské orgány, aby ukončili </w:t>
      </w:r>
      <w:proofErr w:type="spellStart"/>
      <w:r w:rsidRPr="00C24C66">
        <w:t>stigmatizáciu</w:t>
      </w:r>
      <w:proofErr w:type="spellEnd"/>
      <w:r w:rsidRPr="00C24C66">
        <w:t xml:space="preserve"> a perzekúciu organizácií občianskej spoločnosti a zabezpečili, aby právne predpisy, ktoré majú vplyv na občiansku spoločnosť, a to aj v oblasti financovania a podávania správ, plne rešpektovali právo EÚ a medzinárodné právo v oblasti ľudských práv, najmä pokiaľ ide o právo na súkromný život, slobodu prejavu, slobodu zhromažďovania a slobodu združovania;</w:t>
      </w:r>
    </w:p>
    <w:p w14:paraId="76162D36" w14:textId="77777777" w:rsidR="00AB5A11" w:rsidRPr="00C24C66" w:rsidRDefault="00AB5A11" w:rsidP="00AB5A11">
      <w:pPr>
        <w:pStyle w:val="NormalHanging12a"/>
        <w:rPr>
          <w:szCs w:val="24"/>
        </w:rPr>
      </w:pPr>
      <w:r w:rsidRPr="00C24C66">
        <w:rPr>
          <w:snapToGrid w:val="0"/>
        </w:rPr>
        <w:t>18.</w:t>
      </w:r>
      <w:r w:rsidRPr="00C24C66">
        <w:rPr>
          <w:snapToGrid w:val="0"/>
        </w:rPr>
        <w:tab/>
      </w:r>
      <w:r w:rsidRPr="00C24C66">
        <w:t>vyzýva slovenské orgány, aby zabezpečili, že volebné právne predpisy vrátane tých, ktoré sa týkajú voľby poštou, ako aj tresty súvisiace s porušovaním týchto právnych predpisov budú plne rešpektovať právo EÚ a medzinárodné právo v oblasti ľudských práv, najmä pokiaľ ide o právo voliť a byť volený, slobodu prejavu a slobodu združovania; pripomína, že obmedzenia voľby poštou by mali byť riadne odôvodnené a primerané, najmä ak neexistujú podložené systémové nedostatky týkajúce sa integrity takejto voľby, a zdôrazňuje potrebu zabezpečiť rovnaký prístup slovenských občanov s pobytom v zahraničí k volebnej účasti;</w:t>
      </w:r>
    </w:p>
    <w:p w14:paraId="4BD16B80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19.</w:t>
      </w:r>
      <w:r w:rsidRPr="00C24C66">
        <w:rPr>
          <w:snapToGrid w:val="0"/>
        </w:rPr>
        <w:tab/>
      </w:r>
      <w:r w:rsidRPr="00C24C66">
        <w:t>vyzýva slovenské orgány, aby v právnych predpisoch aj v praxi zabezpečili účinné predchádzanie násiliu na ženách a domácemu násiliu a boj proti nemu v súlade s právom EÚ a medzinárodným právom v oblasti ľudských práv; opakuje, že je dôležité bezodkladne ratifikovať Dohovor Rady Európy o predchádzaní násiliu na ženách a domácemu násiliu a o boji proti nemu a zosúladiť právne vymedzenie znásilnenia s medzinárodnými normami v oblasti ľudských práv</w:t>
      </w:r>
      <w:bookmarkStart w:id="7" w:name="_Hlk228978064"/>
      <w:r w:rsidRPr="00C24C66">
        <w:t>;</w:t>
      </w:r>
    </w:p>
    <w:p w14:paraId="3C15E325" w14:textId="03BB5A80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20.</w:t>
      </w:r>
      <w:r w:rsidRPr="00C24C66">
        <w:rPr>
          <w:snapToGrid w:val="0"/>
        </w:rPr>
        <w:tab/>
      </w:r>
      <w:r w:rsidRPr="00C24C66">
        <w:t xml:space="preserve">vyzýva slovenské orgány, aby vzhľadom na odmietavý postoj, ktorý vyvolalo viacero legislatívnych iniciatív na Slovensku, najmä od roku 2023, zabezpečili úplné </w:t>
      </w:r>
      <w:r w:rsidRPr="00C24C66">
        <w:lastRenderedPageBreak/>
        <w:t>dodržiavanie svojej povinnosti zaručiť účinný, včasný a nediskriminačný prístup k sexuálnemu a reprodukčnému zdraviu a</w:t>
      </w:r>
      <w:r w:rsidR="00F60CAD">
        <w:t> </w:t>
      </w:r>
      <w:r w:rsidRPr="00C24C66">
        <w:t>právam</w:t>
      </w:r>
      <w:r w:rsidR="00F60CAD">
        <w:t xml:space="preserve"> </w:t>
      </w:r>
      <w:r w:rsidR="00F60CAD" w:rsidRPr="00F60CAD">
        <w:t>vrátane prístupu k bezpečnému a zákonnému umelému prerušeniu tehotenstva</w:t>
      </w:r>
      <w:r w:rsidRPr="00C24C66">
        <w:t>; pripomína, že tieto záväzky vyplývajú z medzinárodných noriem v oblasti ľudských práv a sú neoddeliteľnou súčasťou ochrany základných práv vrátane práva na súkromný a rodinný život, zdravie a nediskrimináciu;</w:t>
      </w:r>
      <w:bookmarkEnd w:id="7"/>
    </w:p>
    <w:p w14:paraId="2EB7CD85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21.</w:t>
      </w:r>
      <w:r w:rsidRPr="00C24C66">
        <w:rPr>
          <w:snapToGrid w:val="0"/>
        </w:rPr>
        <w:tab/>
      </w:r>
      <w:r w:rsidRPr="00C24C66">
        <w:t>vyzýva slovenské orgány, aby v právnych predpisoch aj v praxi zabezpečili účinnú ochranu práv LGBTIQ+ osôb v súlade s právom EÚ a medzinárodným právom v oblasti ľudských práv;</w:t>
      </w:r>
    </w:p>
    <w:p w14:paraId="5C54414E" w14:textId="77777777" w:rsidR="00AB5A11" w:rsidRPr="00C24C66" w:rsidRDefault="00AB5A11" w:rsidP="00AB5A11">
      <w:pPr>
        <w:pStyle w:val="NormalHanging12a"/>
        <w:rPr>
          <w:spacing w:val="-2"/>
        </w:rPr>
      </w:pPr>
      <w:r w:rsidRPr="00C24C66">
        <w:rPr>
          <w:snapToGrid w:val="0"/>
        </w:rPr>
        <w:t>22.</w:t>
      </w:r>
      <w:r w:rsidRPr="00C24C66">
        <w:rPr>
          <w:snapToGrid w:val="0"/>
        </w:rPr>
        <w:tab/>
      </w:r>
      <w:r w:rsidRPr="00C24C66">
        <w:t>vyzýva slovenské orgány, aby v právnych predpisoch aj v praxi zabezpečili účinnú ochranu práv Rómov v súlade s právom EÚ a medzinárodným právom v oblasti ľudských práv, najmä pokiaľ ide o ukončenie segregácie vo vzdelávaní, prístup k zdravotnej starostlivosti a činnosť polície; opakuje svoje znepokojenie nad čerpaním finančných prostriedkov EÚ určených pre rómske komunity na Slovensku;</w:t>
      </w:r>
    </w:p>
    <w:p w14:paraId="275A2CF2" w14:textId="77777777" w:rsidR="00AB5A11" w:rsidRDefault="00AB5A11" w:rsidP="00AB5A11">
      <w:pPr>
        <w:pStyle w:val="NormalHanging12a"/>
      </w:pPr>
      <w:r w:rsidRPr="00C24C66">
        <w:rPr>
          <w:snapToGrid w:val="0"/>
        </w:rPr>
        <w:t>23.</w:t>
      </w:r>
      <w:r w:rsidRPr="00C24C66">
        <w:rPr>
          <w:snapToGrid w:val="0"/>
        </w:rPr>
        <w:tab/>
      </w:r>
      <w:r w:rsidRPr="00C24C66">
        <w:t xml:space="preserve">vyjadruje osobitné znepokojenie nad právami menšín na Slovensku vzhľadom na politický diskurz, legislatívne iniciatívy a administratívne postupy, ktoré môžu viesť k diskriminácii, </w:t>
      </w:r>
      <w:proofErr w:type="spellStart"/>
      <w:r w:rsidRPr="00C24C66">
        <w:t>stigmatizácii</w:t>
      </w:r>
      <w:proofErr w:type="spellEnd"/>
      <w:r w:rsidRPr="00C24C66">
        <w:t xml:space="preserve"> alebo vylúčeniu, a nad retroaktívnou konfiškáciou majetku na základe kolektívnej viny pripisovanej občanom EÚ rôzneho etnického pôvodu; je presvedčený, že historické krivdy by sa mali riešiť formou dialógu, a nie </w:t>
      </w:r>
      <w:proofErr w:type="spellStart"/>
      <w:r w:rsidRPr="00C24C66">
        <w:t>kriminalizáciou</w:t>
      </w:r>
      <w:proofErr w:type="spellEnd"/>
      <w:r w:rsidRPr="00C24C66">
        <w:t>; zdôrazňuje, že ochrana práv menšín je základným prvkom právneho štátu a demokratickej správy vecí verejných; vyzýva slovenské orgány, aby v právnych predpisoch aj v praxi zabezpečili účinnú ochranu osôb patriacich k menšinám v súlade s právom EÚ a medzinárodným právom v oblasti ľudských práv, najmä pokiaľ ide o slobodu prejavu a právo vlastniť majetok;</w:t>
      </w:r>
    </w:p>
    <w:p w14:paraId="56CD9F19" w14:textId="5A29A09A" w:rsidR="00D069B1" w:rsidRPr="00C24C66" w:rsidRDefault="00D069B1" w:rsidP="00AB5A11">
      <w:pPr>
        <w:pStyle w:val="NormalHanging12a"/>
        <w:rPr>
          <w:spacing w:val="-2"/>
        </w:rPr>
      </w:pPr>
      <w:r>
        <w:rPr>
          <w:spacing w:val="-2"/>
        </w:rPr>
        <w:t>24</w:t>
      </w:r>
      <w:r w:rsidRPr="00D069B1">
        <w:rPr>
          <w:spacing w:val="-2"/>
        </w:rPr>
        <w:t>.</w:t>
      </w:r>
      <w:r w:rsidRPr="00D069B1">
        <w:rPr>
          <w:spacing w:val="-2"/>
        </w:rPr>
        <w:tab/>
        <w:t>vyjadruje vážne znepokojenie nad administratívnymi a právnymi krokmi Slovenského pozemkového fondu a štátneho podniku Lesy Slovenskej republiky, ktorých výsledkom je konfiškácia pôdy a lesov bez náhrady na základe povojnových dekrétov; vyzýva slovenské orgány, aby zrušili novelu Trestného zákona, pozastavili všetky súdne konania a ukončili všetky prebiehajúce konfiškácie pôdy;</w:t>
      </w:r>
    </w:p>
    <w:p w14:paraId="497B1110" w14:textId="0A031475" w:rsidR="00AB5A11" w:rsidRPr="00C24C66" w:rsidRDefault="00D5278A" w:rsidP="00AB5A11">
      <w:pPr>
        <w:pStyle w:val="NormalHanging12a"/>
        <w:rPr>
          <w:spacing w:val="-2"/>
        </w:rPr>
      </w:pPr>
      <w:r>
        <w:rPr>
          <w:snapToGrid w:val="0"/>
        </w:rPr>
        <w:t>25</w:t>
      </w:r>
      <w:r w:rsidR="00AB5A11" w:rsidRPr="00C24C66">
        <w:rPr>
          <w:snapToGrid w:val="0"/>
        </w:rPr>
        <w:t>.</w:t>
      </w:r>
      <w:r w:rsidR="00AB5A11" w:rsidRPr="00C24C66">
        <w:rPr>
          <w:snapToGrid w:val="0"/>
        </w:rPr>
        <w:tab/>
      </w:r>
      <w:r w:rsidR="00AB5A11" w:rsidRPr="00C24C66">
        <w:t>vyzýva slovenské orgány, aby vyšetrili systémové nedostatky, ktoré pretrvávajú pri vybavovaní sťažností na zlé zaobchádzanie zo strany polície, vrátane absencie nestranného a účinného vyšetrovania hodnoverných obvinení zo zlého zaobchádzania; vyzýva na posilnenie záruk proti zlému zaobchádzaniu zo strany orgánov presadzovania práva vrátane záruk inštitucionálnej nezávislosti, účinných mechanizmov dohľadu a primeraných procesných záruk na vyvodenie zodpovednosti a posilnenie dôvery verejnosti v inštitúcie presadzovania práva;</w:t>
      </w:r>
    </w:p>
    <w:p w14:paraId="27838799" w14:textId="33347E2F" w:rsidR="00E365E1" w:rsidRPr="00C24C66" w:rsidRDefault="00D5278A" w:rsidP="009B5531">
      <w:pPr>
        <w:pStyle w:val="NormalHanging12a"/>
      </w:pPr>
      <w:r>
        <w:rPr>
          <w:snapToGrid w:val="0"/>
        </w:rPr>
        <w:t>26</w:t>
      </w:r>
      <w:r w:rsidR="00AB5A11" w:rsidRPr="00C24C66">
        <w:rPr>
          <w:snapToGrid w:val="0"/>
        </w:rPr>
        <w:t>.</w:t>
      </w:r>
      <w:r w:rsidR="00AB5A11" w:rsidRPr="00C24C66">
        <w:rPr>
          <w:snapToGrid w:val="0"/>
        </w:rPr>
        <w:tab/>
      </w:r>
      <w:r w:rsidR="00AB5A11" w:rsidRPr="00C24C66">
        <w:t>poveruje svoju predsedníčku, aby postúpila toto uznesenie Rade, Komisii, vládam a parlamentom členských štátov, Rade Európy, Organizácii pre bezpečnosť a spoluprácu v Európe a Organizácii Spojených národov.</w:t>
      </w:r>
    </w:p>
    <w:sectPr w:rsidR="00E365E1" w:rsidRPr="00C24C66" w:rsidSect="00E511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8F89" w14:textId="77777777" w:rsidR="00FB2F74" w:rsidRPr="00E5114B" w:rsidRDefault="00FB2F74">
      <w:r w:rsidRPr="00E5114B">
        <w:separator/>
      </w:r>
    </w:p>
  </w:endnote>
  <w:endnote w:type="continuationSeparator" w:id="0">
    <w:p w14:paraId="7ADC0429" w14:textId="77777777" w:rsidR="00FB2F74" w:rsidRPr="00E5114B" w:rsidRDefault="00FB2F74">
      <w:r w:rsidRPr="00E511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2FBD" w14:textId="77777777" w:rsidR="00064002" w:rsidRPr="00E511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ED77" w14:textId="77777777" w:rsidR="00064002" w:rsidRPr="00E511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4819" w14:textId="77777777" w:rsidR="00064002" w:rsidRPr="00E511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B5553" w14:textId="77777777" w:rsidR="00FB2F74" w:rsidRPr="00E5114B" w:rsidRDefault="00FB2F74">
      <w:r w:rsidRPr="00E5114B">
        <w:separator/>
      </w:r>
    </w:p>
  </w:footnote>
  <w:footnote w:type="continuationSeparator" w:id="0">
    <w:p w14:paraId="3BF71BAB" w14:textId="77777777" w:rsidR="00FB2F74" w:rsidRPr="00E5114B" w:rsidRDefault="00FB2F74">
      <w:r w:rsidRPr="00E5114B">
        <w:continuationSeparator/>
      </w:r>
    </w:p>
  </w:footnote>
  <w:footnote w:id="1">
    <w:p w14:paraId="54EF6576" w14:textId="0641F2FD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 v. EÚ L 305, 26.11.2019, s. 17, ELI: </w:t>
      </w:r>
      <w:hyperlink r:id="rId1" w:tooltip="Umožňuje prístup k tomuto dokumentu prostredníctvom identifikátora URI používaného v rámci ELI." w:history="1">
        <w:r w:rsidRPr="00C24C66">
          <w:rPr>
            <w:rStyle w:val="Hyperlink"/>
            <w:sz w:val="24"/>
            <w:szCs w:val="24"/>
            <w:lang w:val="sk-SK"/>
          </w:rPr>
          <w:t>http://data.europa.eu/eli/dir/2019/1937/oj</w:t>
        </w:r>
      </w:hyperlink>
      <w:r w:rsidRPr="00C24C66">
        <w:rPr>
          <w:sz w:val="24"/>
          <w:szCs w:val="24"/>
          <w:lang w:val="sk-SK"/>
        </w:rPr>
        <w:t>.</w:t>
      </w:r>
    </w:p>
  </w:footnote>
  <w:footnote w:id="2">
    <w:p w14:paraId="7F143788" w14:textId="56445CCC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 v. EÚ L 433</w:t>
      </w:r>
      <w:r w:rsidR="009B5531" w:rsidRPr="00C24C66">
        <w:rPr>
          <w:sz w:val="24"/>
          <w:szCs w:val="24"/>
          <w:lang w:val="sk-SK"/>
        </w:rPr>
        <w:t xml:space="preserve"> </w:t>
      </w:r>
      <w:r w:rsidRPr="00C24C66">
        <w:rPr>
          <w:sz w:val="24"/>
          <w:szCs w:val="24"/>
          <w:lang w:val="sk-SK"/>
        </w:rPr>
        <w:t>I, 22.12.2020, s. </w:t>
      </w:r>
      <w:r w:rsidRPr="00C24C66">
        <w:rPr>
          <w:sz w:val="24"/>
          <w:szCs w:val="24"/>
          <w:lang w:val="sk-SK"/>
        </w:rPr>
        <w:t>1, ELI: </w:t>
      </w:r>
      <w:hyperlink r:id="rId2" w:tooltip="Umožňuje prístup k tomuto dokumentu prostredníctvom identifikátora URI používaného v rámci ELI." w:history="1">
        <w:r w:rsidRPr="00C24C66">
          <w:rPr>
            <w:rStyle w:val="Hyperlink"/>
            <w:sz w:val="24"/>
            <w:szCs w:val="24"/>
            <w:lang w:val="sk-SK"/>
          </w:rPr>
          <w:t>http://data.europa.eu/eli/reg/2020/2092/oj</w:t>
        </w:r>
      </w:hyperlink>
      <w:r w:rsidRPr="00C24C66">
        <w:rPr>
          <w:sz w:val="24"/>
          <w:szCs w:val="24"/>
          <w:lang w:val="sk-SK"/>
        </w:rPr>
        <w:t>.</w:t>
      </w:r>
    </w:p>
  </w:footnote>
  <w:footnote w:id="3">
    <w:p w14:paraId="45A34A2D" w14:textId="6C0EB540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 v. EÚ L 231, 30.6.2021, s. </w:t>
      </w:r>
      <w:r w:rsidRPr="00C24C66">
        <w:rPr>
          <w:sz w:val="24"/>
          <w:szCs w:val="24"/>
          <w:lang w:val="sk-SK"/>
        </w:rPr>
        <w:t>159, ELI: </w:t>
      </w:r>
      <w:hyperlink r:id="rId3" w:tooltip="Umožňuje prístup k tomuto dokumentu prostredníctvom identifikátora URI používaného v rámci ELI." w:history="1">
        <w:r w:rsidRPr="00C24C66">
          <w:rPr>
            <w:rStyle w:val="Hyperlink"/>
            <w:sz w:val="24"/>
            <w:szCs w:val="24"/>
            <w:lang w:val="sk-SK"/>
          </w:rPr>
          <w:t>http://data.europa.eu/eli/reg/2021/1060/oj</w:t>
        </w:r>
      </w:hyperlink>
      <w:r w:rsidRPr="00C24C66">
        <w:rPr>
          <w:sz w:val="24"/>
          <w:szCs w:val="24"/>
          <w:lang w:val="sk-SK"/>
        </w:rPr>
        <w:t>.</w:t>
      </w:r>
    </w:p>
  </w:footnote>
  <w:footnote w:id="4">
    <w:p w14:paraId="24617E3C" w14:textId="08A58604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 v. EÚ C 390, 18.11.2019, s. 111.</w:t>
      </w:r>
    </w:p>
  </w:footnote>
  <w:footnote w:id="5">
    <w:p w14:paraId="4B348E20" w14:textId="5F70B6CC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 v. EÚ C 108, 26.3.2021, s. 107.</w:t>
      </w:r>
    </w:p>
  </w:footnote>
  <w:footnote w:id="6">
    <w:p w14:paraId="3A3D42A8" w14:textId="5CC714A9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 v. EÚ C 149, 28.4.2023, s. 22.</w:t>
      </w:r>
    </w:p>
  </w:footnote>
  <w:footnote w:id="7">
    <w:p w14:paraId="5B33097C" w14:textId="65359F9C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Ú. v. </w:t>
      </w:r>
      <w:r w:rsidRPr="00C24C66">
        <w:rPr>
          <w:sz w:val="24"/>
          <w:szCs w:val="24"/>
          <w:lang w:val="sk-SK"/>
        </w:rPr>
        <w:t>EÚ C, C/2024/5712, 17.10.2024, ELI: </w:t>
      </w:r>
      <w:hyperlink r:id="rId4" w:tgtFrame="_blank" w:tooltip="Umožňuje prístup k tomuto dokumentu prostredníctvom identifikátora URI používaného v rámci ELI." w:history="1">
        <w:r w:rsidRPr="00C24C66">
          <w:rPr>
            <w:rStyle w:val="Hyperlink"/>
            <w:sz w:val="24"/>
            <w:szCs w:val="24"/>
            <w:lang w:val="sk-SK"/>
          </w:rPr>
          <w:t>http://data.europa.eu/eli/C/2024/5712/oj</w:t>
        </w:r>
      </w:hyperlink>
      <w:r w:rsidRPr="00C24C66">
        <w:rPr>
          <w:sz w:val="24"/>
          <w:szCs w:val="24"/>
          <w:lang w:val="sk-SK"/>
        </w:rPr>
        <w:t>.</w:t>
      </w:r>
    </w:p>
  </w:footnote>
  <w:footnote w:id="8">
    <w:p w14:paraId="4FFFCDCF" w14:textId="0A44EF85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Prijaté texty, P10_TA(2026)0125.</w:t>
      </w:r>
    </w:p>
  </w:footnote>
  <w:footnote w:id="9">
    <w:p w14:paraId="23877064" w14:textId="1275ED52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Nariadenie Európskeho parlamentu a Rady (EÚ) 2024/1083 z 11. apríla 2024, ktorým sa stanovuje spoločný rámec pre mediálne služby na vnútornom trhu a mení smernica 2010/13/EÚ (Európsky akt o slobode médií) (Ú. v. </w:t>
      </w:r>
      <w:r w:rsidRPr="00C24C66">
        <w:rPr>
          <w:sz w:val="24"/>
          <w:szCs w:val="24"/>
          <w:lang w:val="sk-SK"/>
        </w:rPr>
        <w:t>EÚ L, 2024/1083, 17.4.2024, ELI: </w:t>
      </w:r>
      <w:hyperlink r:id="rId5" w:tgtFrame="_blank" w:tooltip="Umožňuje prístup k tomuto dokumentu prostredníctvom identifikátora URI používaného v rámci ELI." w:history="1">
        <w:r w:rsidRPr="00C24C66">
          <w:rPr>
            <w:rStyle w:val="Hyperlink"/>
            <w:sz w:val="24"/>
            <w:szCs w:val="24"/>
            <w:lang w:val="sk-SK"/>
          </w:rPr>
          <w:t>http://data.europa.eu/eli/reg/2024/1083/oj</w:t>
        </w:r>
      </w:hyperlink>
      <w:r w:rsidRPr="00C24C66">
        <w:rPr>
          <w:sz w:val="24"/>
          <w:szCs w:val="24"/>
          <w:lang w:val="sk-SK"/>
        </w:rPr>
        <w:t>).</w:t>
      </w:r>
    </w:p>
  </w:footnote>
  <w:footnote w:id="10">
    <w:p w14:paraId="1DEF7F47" w14:textId="098B48EA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 xml:space="preserve">Civil </w:t>
      </w:r>
      <w:proofErr w:type="spellStart"/>
      <w:r w:rsidRPr="00C24C66">
        <w:rPr>
          <w:sz w:val="24"/>
          <w:szCs w:val="24"/>
          <w:lang w:val="sk-SK"/>
        </w:rPr>
        <w:t>Liberties</w:t>
      </w:r>
      <w:proofErr w:type="spellEnd"/>
      <w:r w:rsidRPr="00C24C66">
        <w:rPr>
          <w:sz w:val="24"/>
          <w:szCs w:val="24"/>
          <w:lang w:val="sk-SK"/>
        </w:rPr>
        <w:t xml:space="preserve"> Union </w:t>
      </w:r>
      <w:proofErr w:type="spellStart"/>
      <w:r w:rsidRPr="00C24C66">
        <w:rPr>
          <w:sz w:val="24"/>
          <w:szCs w:val="24"/>
          <w:lang w:val="sk-SK"/>
        </w:rPr>
        <w:t>for</w:t>
      </w:r>
      <w:proofErr w:type="spellEnd"/>
      <w:r w:rsidRPr="00C24C66">
        <w:rPr>
          <w:sz w:val="24"/>
          <w:szCs w:val="24"/>
          <w:lang w:val="sk-SK"/>
        </w:rPr>
        <w:t xml:space="preserve"> </w:t>
      </w:r>
      <w:proofErr w:type="spellStart"/>
      <w:r w:rsidRPr="00C24C66">
        <w:rPr>
          <w:sz w:val="24"/>
          <w:szCs w:val="24"/>
          <w:lang w:val="sk-SK"/>
        </w:rPr>
        <w:t>Europe</w:t>
      </w:r>
      <w:proofErr w:type="spellEnd"/>
      <w:r w:rsidRPr="00C24C66">
        <w:rPr>
          <w:sz w:val="24"/>
          <w:szCs w:val="24"/>
          <w:lang w:val="sk-SK"/>
        </w:rPr>
        <w:t xml:space="preserve"> (</w:t>
      </w:r>
      <w:proofErr w:type="spellStart"/>
      <w:r w:rsidRPr="00C24C66">
        <w:rPr>
          <w:sz w:val="24"/>
          <w:szCs w:val="24"/>
          <w:lang w:val="sk-SK"/>
        </w:rPr>
        <w:t>Liberties</w:t>
      </w:r>
      <w:proofErr w:type="spellEnd"/>
      <w:r w:rsidRPr="00C24C66">
        <w:rPr>
          <w:sz w:val="24"/>
          <w:szCs w:val="24"/>
          <w:lang w:val="sk-SK"/>
        </w:rPr>
        <w:t xml:space="preserve">), </w:t>
      </w:r>
      <w:proofErr w:type="spellStart"/>
      <w:r w:rsidRPr="00C24C66">
        <w:rPr>
          <w:sz w:val="24"/>
          <w:szCs w:val="24"/>
          <w:lang w:val="sk-SK"/>
        </w:rPr>
        <w:t>Liberties</w:t>
      </w:r>
      <w:proofErr w:type="spellEnd"/>
      <w:r w:rsidRPr="00C24C66">
        <w:rPr>
          <w:sz w:val="24"/>
          <w:szCs w:val="24"/>
          <w:lang w:val="sk-SK"/>
        </w:rPr>
        <w:t xml:space="preserve"> Rule of </w:t>
      </w:r>
      <w:proofErr w:type="spellStart"/>
      <w:r w:rsidRPr="00C24C66">
        <w:rPr>
          <w:sz w:val="24"/>
          <w:szCs w:val="24"/>
          <w:lang w:val="sk-SK"/>
        </w:rPr>
        <w:t>Law</w:t>
      </w:r>
      <w:proofErr w:type="spellEnd"/>
      <w:r w:rsidRPr="00C24C66">
        <w:rPr>
          <w:sz w:val="24"/>
          <w:szCs w:val="24"/>
          <w:lang w:val="sk-SK"/>
        </w:rPr>
        <w:t xml:space="preserve"> Report 2025: Slovakia (Správa Únie občianskych slobôd pre Európu o právnom štáte 2025: Slovensko); Európska komisia, Správa o právnom štáte 2025 – kapitola o Slovensku; informácie z Kancelárie verejného ochrancu práv (ombudsmana) Slovenskej republiky, 2025.</w:t>
      </w:r>
    </w:p>
  </w:footnote>
  <w:footnote w:id="11">
    <w:p w14:paraId="07F27D32" w14:textId="1D881D8C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 xml:space="preserve">Rozsudky Európskeho súdu pre ľudské práva z 26. októbra 2023 vo veci </w:t>
      </w:r>
      <w:proofErr w:type="spellStart"/>
      <w:r w:rsidRPr="00C24C66">
        <w:rPr>
          <w:sz w:val="24"/>
          <w:szCs w:val="24"/>
          <w:lang w:val="sk-SK"/>
        </w:rPr>
        <w:t>Plechlo</w:t>
      </w:r>
      <w:proofErr w:type="spellEnd"/>
      <w:r w:rsidRPr="00C24C66">
        <w:rPr>
          <w:sz w:val="24"/>
          <w:szCs w:val="24"/>
          <w:lang w:val="sk-SK"/>
        </w:rPr>
        <w:t>/Slovensko (18593/19) a z 20. júla 2021 vo veci Zoltán Varga/Slovensko (58361/12).</w:t>
      </w:r>
    </w:p>
  </w:footnote>
  <w:footnote w:id="12">
    <w:p w14:paraId="7CB995B1" w14:textId="4A6B4222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Rozsudok Európskeho súdu pre ľudské práva z 22. januára 2026 vo veci J. S./Slovensko (35767/23).</w:t>
      </w:r>
    </w:p>
  </w:footnote>
  <w:footnote w:id="13">
    <w:p w14:paraId="76B09FC8" w14:textId="763C680E" w:rsidR="00AB5A11" w:rsidRPr="00C24C66" w:rsidRDefault="00AB5A11" w:rsidP="00E5114B">
      <w:pPr>
        <w:pStyle w:val="FootnoteText"/>
        <w:ind w:left="567" w:hanging="567"/>
        <w:rPr>
          <w:i/>
          <w:iCs/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Rozsudok Európskeho súdu pre ľudské práva z 27. februára 2025 vo veci Salay/Slovensko (29359/22).</w:t>
      </w:r>
    </w:p>
  </w:footnote>
  <w:footnote w:id="14">
    <w:p w14:paraId="70EEBEDA" w14:textId="3448DC94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r w:rsidRPr="00C24C66">
        <w:rPr>
          <w:sz w:val="24"/>
          <w:szCs w:val="24"/>
          <w:lang w:val="sk-SK"/>
        </w:rPr>
        <w:t>Rozsudky Európskeho súdu pre ľudské práva z 1. septembra 2020 vo veci R. R. a R. D./Slovensko, z 8. septembra 2022 vo veci P. H./Slovensko</w:t>
      </w:r>
      <w:r w:rsidRPr="00C24C66">
        <w:rPr>
          <w:i/>
          <w:sz w:val="24"/>
          <w:szCs w:val="24"/>
          <w:lang w:val="sk-SK"/>
        </w:rPr>
        <w:t xml:space="preserve"> </w:t>
      </w:r>
      <w:r w:rsidRPr="00C24C66">
        <w:rPr>
          <w:sz w:val="24"/>
          <w:szCs w:val="24"/>
          <w:lang w:val="sk-SK"/>
        </w:rPr>
        <w:t>(37574/19) a z 24. októbra 2024 vo veci B. B./Slovensko (48587/21).</w:t>
      </w:r>
    </w:p>
  </w:footnote>
  <w:footnote w:id="15">
    <w:p w14:paraId="121CB380" w14:textId="43D1CF0C" w:rsidR="00AB5A11" w:rsidRPr="00C24C66" w:rsidRDefault="00AB5A11" w:rsidP="00E5114B">
      <w:pPr>
        <w:pStyle w:val="FootnoteText"/>
        <w:ind w:left="567" w:hanging="567"/>
        <w:rPr>
          <w:sz w:val="24"/>
          <w:szCs w:val="24"/>
          <w:lang w:val="sk-SK"/>
        </w:rPr>
      </w:pPr>
      <w:r w:rsidRPr="00C24C66">
        <w:rPr>
          <w:rStyle w:val="FootnoteReference"/>
          <w:sz w:val="24"/>
          <w:szCs w:val="24"/>
          <w:lang w:val="sk-SK"/>
        </w:rPr>
        <w:footnoteRef/>
      </w:r>
      <w:r w:rsidR="00E5114B" w:rsidRPr="00C24C66">
        <w:rPr>
          <w:sz w:val="24"/>
          <w:szCs w:val="24"/>
          <w:lang w:val="sk-SK"/>
        </w:rPr>
        <w:t xml:space="preserve"> </w:t>
      </w:r>
      <w:r w:rsidR="00E5114B" w:rsidRPr="00C24C66">
        <w:rPr>
          <w:sz w:val="24"/>
          <w:szCs w:val="24"/>
          <w:lang w:val="sk-SK"/>
        </w:rPr>
        <w:tab/>
      </w:r>
      <w:hyperlink r:id="rId6" w:history="1">
        <w:r w:rsidRPr="00C24C66">
          <w:rPr>
            <w:rStyle w:val="Hyperlink"/>
            <w:sz w:val="24"/>
            <w:szCs w:val="24"/>
            <w:lang w:val="sk-SK"/>
          </w:rPr>
          <w:t>https://www.liberties.eu/f/vdxw3e</w:t>
        </w:r>
      </w:hyperlink>
      <w:r w:rsidRPr="00C24C66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5166" w14:textId="77777777" w:rsidR="00064002" w:rsidRPr="00E511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AB04" w14:textId="77777777" w:rsidR="00064002" w:rsidRPr="00E511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006CC" w14:textId="77777777" w:rsidR="00064002" w:rsidRPr="00E511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7356366">
    <w:abstractNumId w:val="9"/>
  </w:num>
  <w:num w:numId="2" w16cid:durableId="1573808781">
    <w:abstractNumId w:val="9"/>
  </w:num>
  <w:num w:numId="3" w16cid:durableId="174617283">
    <w:abstractNumId w:val="7"/>
  </w:num>
  <w:num w:numId="4" w16cid:durableId="914433337">
    <w:abstractNumId w:val="7"/>
  </w:num>
  <w:num w:numId="5" w16cid:durableId="749931315">
    <w:abstractNumId w:val="6"/>
  </w:num>
  <w:num w:numId="6" w16cid:durableId="1527448571">
    <w:abstractNumId w:val="6"/>
  </w:num>
  <w:num w:numId="7" w16cid:durableId="906722624">
    <w:abstractNumId w:val="5"/>
  </w:num>
  <w:num w:numId="8" w16cid:durableId="765271477">
    <w:abstractNumId w:val="5"/>
  </w:num>
  <w:num w:numId="9" w16cid:durableId="1789085203">
    <w:abstractNumId w:val="4"/>
  </w:num>
  <w:num w:numId="10" w16cid:durableId="2138255939">
    <w:abstractNumId w:val="4"/>
  </w:num>
  <w:num w:numId="11" w16cid:durableId="1322470206">
    <w:abstractNumId w:val="8"/>
  </w:num>
  <w:num w:numId="12" w16cid:durableId="618219018">
    <w:abstractNumId w:val="8"/>
  </w:num>
  <w:num w:numId="13" w16cid:durableId="1155679477">
    <w:abstractNumId w:val="3"/>
  </w:num>
  <w:num w:numId="14" w16cid:durableId="161118806">
    <w:abstractNumId w:val="3"/>
  </w:num>
  <w:num w:numId="15" w16cid:durableId="1428845619">
    <w:abstractNumId w:val="2"/>
  </w:num>
  <w:num w:numId="16" w16cid:durableId="770200383">
    <w:abstractNumId w:val="2"/>
  </w:num>
  <w:num w:numId="17" w16cid:durableId="650407377">
    <w:abstractNumId w:val="1"/>
  </w:num>
  <w:num w:numId="18" w16cid:durableId="1033264633">
    <w:abstractNumId w:val="1"/>
  </w:num>
  <w:num w:numId="19" w16cid:durableId="1294826226">
    <w:abstractNumId w:val="0"/>
  </w:num>
  <w:num w:numId="20" w16cid:durableId="744762064">
    <w:abstractNumId w:val="0"/>
  </w:num>
  <w:num w:numId="21" w16cid:durableId="1537232072">
    <w:abstractNumId w:val="9"/>
  </w:num>
  <w:num w:numId="22" w16cid:durableId="291600904">
    <w:abstractNumId w:val="7"/>
  </w:num>
  <w:num w:numId="23" w16cid:durableId="1652712108">
    <w:abstractNumId w:val="6"/>
  </w:num>
  <w:num w:numId="24" w16cid:durableId="535049031">
    <w:abstractNumId w:val="5"/>
  </w:num>
  <w:num w:numId="25" w16cid:durableId="2012681279">
    <w:abstractNumId w:val="4"/>
  </w:num>
  <w:num w:numId="26" w16cid:durableId="1888955552">
    <w:abstractNumId w:val="8"/>
  </w:num>
  <w:num w:numId="27" w16cid:durableId="1907108793">
    <w:abstractNumId w:val="3"/>
  </w:num>
  <w:num w:numId="28" w16cid:durableId="2115396803">
    <w:abstractNumId w:val="2"/>
  </w:num>
  <w:num w:numId="29" w16cid:durableId="17586340">
    <w:abstractNumId w:val="1"/>
  </w:num>
  <w:num w:numId="30" w16cid:durableId="1816945541">
    <w:abstractNumId w:val="0"/>
  </w:num>
  <w:num w:numId="31" w16cid:durableId="264196300">
    <w:abstractNumId w:val="9"/>
  </w:num>
  <w:num w:numId="32" w16cid:durableId="1875116742">
    <w:abstractNumId w:val="7"/>
  </w:num>
  <w:num w:numId="33" w16cid:durableId="1123232572">
    <w:abstractNumId w:val="6"/>
  </w:num>
  <w:num w:numId="34" w16cid:durableId="1260790621">
    <w:abstractNumId w:val="5"/>
  </w:num>
  <w:num w:numId="35" w16cid:durableId="1055393612">
    <w:abstractNumId w:val="4"/>
  </w:num>
  <w:num w:numId="36" w16cid:durableId="296448042">
    <w:abstractNumId w:val="8"/>
  </w:num>
  <w:num w:numId="37" w16cid:durableId="1186363390">
    <w:abstractNumId w:val="3"/>
  </w:num>
  <w:num w:numId="38" w16cid:durableId="1490487251">
    <w:abstractNumId w:val="2"/>
  </w:num>
  <w:num w:numId="39" w16cid:durableId="1615554784">
    <w:abstractNumId w:val="1"/>
  </w:num>
  <w:num w:numId="40" w16cid:durableId="1786221">
    <w:abstractNumId w:val="0"/>
  </w:num>
  <w:num w:numId="41" w16cid:durableId="331298410">
    <w:abstractNumId w:val="10"/>
  </w:num>
  <w:num w:numId="42" w16cid:durableId="1043679093">
    <w:abstractNumId w:val="10"/>
  </w:num>
  <w:num w:numId="43" w16cid:durableId="216287474">
    <w:abstractNumId w:val="10"/>
  </w:num>
  <w:num w:numId="44" w16cid:durableId="16933378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5/2026"/>
    <w:docVar w:name="dvlangue" w:val="SK"/>
    <w:docVar w:name="dvnumam" w:val="0"/>
    <w:docVar w:name="dvpe" w:val="783.288"/>
    <w:docVar w:name="dvtitre" w:val="Uznesenie Európskeho parlamentu z/zo xx. xxx 2026 o právnom štáte, základných právach a zneužívaní fondov EÚ na Slovensku: potreba reakcie EÚ(2026/2607(RSP))"/>
  </w:docVars>
  <w:rsids>
    <w:rsidRoot w:val="00FB2F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EC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5A9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C73"/>
    <w:rsid w:val="008C2AC6"/>
    <w:rsid w:val="00930C23"/>
    <w:rsid w:val="0093193B"/>
    <w:rsid w:val="009509D8"/>
    <w:rsid w:val="00950B64"/>
    <w:rsid w:val="00981893"/>
    <w:rsid w:val="009B5531"/>
    <w:rsid w:val="00A1687D"/>
    <w:rsid w:val="00A43E52"/>
    <w:rsid w:val="00A4678D"/>
    <w:rsid w:val="00A778C7"/>
    <w:rsid w:val="00AB441E"/>
    <w:rsid w:val="00AB5A11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C66"/>
    <w:rsid w:val="00C61C0C"/>
    <w:rsid w:val="00C941CB"/>
    <w:rsid w:val="00C96BC0"/>
    <w:rsid w:val="00CC2357"/>
    <w:rsid w:val="00CF071A"/>
    <w:rsid w:val="00D058B8"/>
    <w:rsid w:val="00D069B1"/>
    <w:rsid w:val="00D5278A"/>
    <w:rsid w:val="00D56C11"/>
    <w:rsid w:val="00D834A0"/>
    <w:rsid w:val="00D872DF"/>
    <w:rsid w:val="00D91E21"/>
    <w:rsid w:val="00DA7FCD"/>
    <w:rsid w:val="00E365E1"/>
    <w:rsid w:val="00E5114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CAD"/>
    <w:rsid w:val="00F74202"/>
    <w:rsid w:val="00F87713"/>
    <w:rsid w:val="00FB2F7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E0B15"/>
  <w15:chartTrackingRefBased/>
  <w15:docId w15:val="{B8DF6FA7-3872-4000-A69D-71F8D28B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5A1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B5A1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B5A11"/>
    <w:rPr>
      <w:color w:val="0563C1" w:themeColor="hyperlink"/>
      <w:u w:val="single"/>
    </w:rPr>
  </w:style>
  <w:style w:type="character" w:customStyle="1" w:styleId="Hyperlink0">
    <w:name w:val="Hyperlink.0"/>
    <w:basedOn w:val="DefaultParagraphFont"/>
    <w:rsid w:val="00AB5A11"/>
    <w:rPr>
      <w:outline w:val="0"/>
      <w:color w:val="000000"/>
      <w:u w:color="000000"/>
    </w:rPr>
  </w:style>
  <w:style w:type="character" w:customStyle="1" w:styleId="NormalHanging12aChar">
    <w:name w:val="NormalHanging12a Char"/>
    <w:basedOn w:val="DefaultParagraphFont"/>
    <w:link w:val="NormalHanging12a"/>
    <w:rsid w:val="00AB5A11"/>
    <w:rPr>
      <w:sz w:val="24"/>
      <w:lang w:val="sk-SK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uiPriority w:val="99"/>
    <w:rsid w:val="00AB5A11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9B5531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C96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060/oj" TargetMode="External"/><Relationship Id="rId2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dir/2019/1937/oj" TargetMode="External"/><Relationship Id="rId6" Type="http://schemas.openxmlformats.org/officeDocument/2006/relationships/hyperlink" Target="https://www.liberties.eu/f/vdxw3e" TargetMode="External"/><Relationship Id="rId5" Type="http://schemas.openxmlformats.org/officeDocument/2006/relationships/hyperlink" Target="http://data.europa.eu/eli/reg/2024/1083/oj" TargetMode="External"/><Relationship Id="rId4" Type="http://schemas.openxmlformats.org/officeDocument/2006/relationships/hyperlink" Target="http://data.europa.eu/eli/C/2024/5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5052</Words>
  <Characters>31261</Characters>
  <Application>Microsoft Office Word</Application>
  <DocSecurity>0</DocSecurity>
  <Lines>260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2026-05-20T13:57:00Z</dcterms:created>
  <dcterms:modified xsi:type="dcterms:W3CDTF">2026-05-20T13:57:00Z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B10-0245/2026</vt:lpwstr>
  </property>
  <property fmtid="{D5CDD505-2E9C-101B-9397-08002B2CF9AE}" pid="4" name="&lt;Type&gt;">
    <vt:lpwstr>RR</vt:lpwstr>
  </property>
</Properties>
</file>