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30BF" w14:paraId="12FA122F" w14:textId="77777777" w:rsidTr="0010095E">
        <w:trPr>
          <w:trHeight w:hRule="exact" w:val="1418"/>
        </w:trPr>
        <w:tc>
          <w:tcPr>
            <w:tcW w:w="6804" w:type="dxa"/>
            <w:shd w:val="clear" w:color="auto" w:fill="auto"/>
            <w:vAlign w:val="center"/>
          </w:tcPr>
          <w:p w14:paraId="168044E6" w14:textId="77777777" w:rsidR="00751A4A" w:rsidRPr="006E30BF" w:rsidRDefault="0081202A" w:rsidP="0010095E">
            <w:pPr>
              <w:pStyle w:val="EPName"/>
            </w:pPr>
            <w:r w:rsidRPr="006E30BF">
              <w:t>Europa-Parlamentet</w:t>
            </w:r>
          </w:p>
          <w:p w14:paraId="51DFD6CA" w14:textId="77777777" w:rsidR="00751A4A" w:rsidRPr="006E30BF" w:rsidRDefault="005F1B17" w:rsidP="005F1B17">
            <w:pPr>
              <w:pStyle w:val="EPTerm"/>
              <w:rPr>
                <w:rStyle w:val="HideTWBExt"/>
                <w:noProof w:val="0"/>
                <w:vanish w:val="0"/>
                <w:color w:val="auto"/>
              </w:rPr>
            </w:pPr>
            <w:r w:rsidRPr="006E30BF">
              <w:t>2024</w:t>
            </w:r>
            <w:r w:rsidR="00817416" w:rsidRPr="006E30BF">
              <w:t>-202</w:t>
            </w:r>
            <w:r w:rsidRPr="006E30BF">
              <w:t>9</w:t>
            </w:r>
          </w:p>
        </w:tc>
        <w:tc>
          <w:tcPr>
            <w:tcW w:w="2268" w:type="dxa"/>
            <w:shd w:val="clear" w:color="auto" w:fill="auto"/>
          </w:tcPr>
          <w:p w14:paraId="133FD5CF" w14:textId="77777777" w:rsidR="00751A4A" w:rsidRPr="006E30BF" w:rsidRDefault="00187494" w:rsidP="0010095E">
            <w:pPr>
              <w:pStyle w:val="EPLogo"/>
            </w:pPr>
            <w:r w:rsidRPr="006E30BF">
              <w:rPr>
                <w:noProof/>
                <w:lang w:eastAsia="ja-JP"/>
              </w:rPr>
              <w:drawing>
                <wp:inline distT="0" distB="0" distL="0" distR="0" wp14:anchorId="75AC3C42" wp14:editId="6B909B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986074" w14:textId="77777777" w:rsidR="00D058B8" w:rsidRPr="006E30BF" w:rsidRDefault="00D058B8" w:rsidP="004C5D52">
      <w:pPr>
        <w:pStyle w:val="LineTop"/>
      </w:pPr>
    </w:p>
    <w:p w14:paraId="56B911A3" w14:textId="77777777" w:rsidR="00680577" w:rsidRPr="006E30BF" w:rsidRDefault="0081202A" w:rsidP="00680577">
      <w:pPr>
        <w:pStyle w:val="EPBodyTA1"/>
      </w:pPr>
      <w:r w:rsidRPr="006E30BF">
        <w:t>VEDTAGNE TEKSTER</w:t>
      </w:r>
    </w:p>
    <w:p w14:paraId="14E68FB5" w14:textId="77777777" w:rsidR="00D058B8" w:rsidRPr="006E30BF" w:rsidRDefault="00D058B8" w:rsidP="00D058B8">
      <w:pPr>
        <w:pStyle w:val="LineBottom"/>
      </w:pPr>
    </w:p>
    <w:p w14:paraId="6C23BF09" w14:textId="17273706" w:rsidR="0081202A" w:rsidRPr="006E30BF" w:rsidRDefault="0081202A" w:rsidP="0081202A">
      <w:pPr>
        <w:pStyle w:val="ATHeading1"/>
      </w:pPr>
      <w:bookmarkStart w:id="0" w:name="TANumber"/>
      <w:r w:rsidRPr="006E30BF">
        <w:t>P10_TA(2026)</w:t>
      </w:r>
      <w:bookmarkEnd w:id="0"/>
      <w:r w:rsidR="00A771EB">
        <w:t>0</w:t>
      </w:r>
      <w:r w:rsidR="00363988">
        <w:t>185</w:t>
      </w:r>
    </w:p>
    <w:p w14:paraId="3264A386" w14:textId="6BF647AA" w:rsidR="0081202A" w:rsidRPr="006E30BF" w:rsidRDefault="00AC7B72" w:rsidP="00AC7B72">
      <w:pPr>
        <w:pStyle w:val="ATHeading2"/>
      </w:pPr>
      <w:r>
        <w:t>Undertrykkelse og henrettelse af demonstranter, systemkritikere, politiske fanger og religiøse mindretal i Iran</w:t>
      </w:r>
    </w:p>
    <w:p w14:paraId="59E20AD8" w14:textId="037750A1" w:rsidR="0081202A" w:rsidRPr="006E30BF" w:rsidRDefault="0081202A" w:rsidP="0081202A">
      <w:pPr>
        <w:rPr>
          <w:i/>
          <w:vanish/>
        </w:rPr>
      </w:pPr>
      <w:r w:rsidRPr="006E30BF">
        <w:rPr>
          <w:i/>
        </w:rPr>
        <w:fldChar w:fldCharType="begin"/>
      </w:r>
      <w:r w:rsidRPr="006E30BF">
        <w:rPr>
          <w:i/>
        </w:rPr>
        <w:instrText xml:space="preserve"> TC"(</w:instrText>
      </w:r>
      <w:bookmarkStart w:id="1" w:name="DocNumber"/>
      <w:r w:rsidRPr="006E30BF">
        <w:rPr>
          <w:i/>
        </w:rPr>
        <w:instrText>B10-0260</w:instrText>
      </w:r>
      <w:r w:rsidR="00AC7B72">
        <w:rPr>
          <w:i/>
        </w:rPr>
        <w:instrText>, 0262, 0263, 0265 og 0266</w:instrText>
      </w:r>
      <w:r w:rsidR="00AC7B72" w:rsidRPr="002B79E1">
        <w:rPr>
          <w:i/>
        </w:rPr>
        <w:instrText>/</w:instrText>
      </w:r>
      <w:r w:rsidRPr="006E30BF">
        <w:rPr>
          <w:i/>
        </w:rPr>
        <w:instrText>/2026</w:instrText>
      </w:r>
      <w:bookmarkEnd w:id="1"/>
      <w:r w:rsidRPr="006E30BF">
        <w:rPr>
          <w:i/>
        </w:rPr>
        <w:instrText xml:space="preserve">)"\l3 \n&gt; \* MERGEFORMAT </w:instrText>
      </w:r>
      <w:r w:rsidRPr="006E30BF">
        <w:rPr>
          <w:i/>
        </w:rPr>
        <w:fldChar w:fldCharType="end"/>
      </w:r>
    </w:p>
    <w:p w14:paraId="4FC6DF07" w14:textId="77777777" w:rsidR="0081202A" w:rsidRPr="006E30BF" w:rsidRDefault="0081202A" w:rsidP="0081202A">
      <w:pPr>
        <w:rPr>
          <w:vanish/>
        </w:rPr>
      </w:pPr>
      <w:bookmarkStart w:id="2" w:name="PE"/>
      <w:r w:rsidRPr="006E30BF">
        <w:rPr>
          <w:vanish/>
        </w:rPr>
        <w:t>PE783.303</w:t>
      </w:r>
      <w:bookmarkEnd w:id="2"/>
    </w:p>
    <w:p w14:paraId="1B66F23A" w14:textId="68606743" w:rsidR="0081202A" w:rsidRPr="006E30BF" w:rsidRDefault="0081202A" w:rsidP="0081202A">
      <w:pPr>
        <w:pStyle w:val="ATHeading3"/>
      </w:pPr>
      <w:bookmarkStart w:id="3" w:name="Sujet"/>
      <w:r w:rsidRPr="006E30BF">
        <w:t xml:space="preserve">Europa-Parlamentets beslutning af </w:t>
      </w:r>
      <w:r w:rsidR="00AC7B72">
        <w:t>21</w:t>
      </w:r>
      <w:r w:rsidR="003F7F2E">
        <w:t>.</w:t>
      </w:r>
      <w:r w:rsidR="00AC7B72">
        <w:t xml:space="preserve"> maj</w:t>
      </w:r>
      <w:r w:rsidRPr="006E30BF">
        <w:t xml:space="preserve"> 2026 om undertrykkelse og henrettelse af demonstranter, systemkritikere, politiske fanger og religiøse mindretal i Iran</w:t>
      </w:r>
      <w:bookmarkEnd w:id="3"/>
      <w:r w:rsidRPr="006E30BF">
        <w:t xml:space="preserve"> </w:t>
      </w:r>
      <w:bookmarkStart w:id="4" w:name="References"/>
      <w:r w:rsidRPr="006E30BF">
        <w:t>(2026/2733(RSP))</w:t>
      </w:r>
      <w:bookmarkEnd w:id="4"/>
    </w:p>
    <w:p w14:paraId="7C345113" w14:textId="77777777" w:rsidR="002D7549" w:rsidRPr="006E30BF" w:rsidRDefault="002D7549" w:rsidP="002D7549">
      <w:pPr>
        <w:pStyle w:val="EPComma"/>
      </w:pPr>
      <w:bookmarkStart w:id="5" w:name="TextBodyBegin"/>
      <w:bookmarkEnd w:id="5"/>
      <w:r w:rsidRPr="006E30BF">
        <w:rPr>
          <w:i/>
          <w:iCs/>
        </w:rPr>
        <w:t>Europa-Parlamentet,</w:t>
      </w:r>
    </w:p>
    <w:p w14:paraId="7E173325" w14:textId="77777777" w:rsidR="002D7549" w:rsidRPr="006E30BF" w:rsidRDefault="002D7549" w:rsidP="002D7549">
      <w:pPr>
        <w:pStyle w:val="NormalHanging12a"/>
      </w:pPr>
      <w:r w:rsidRPr="006E30BF">
        <w:t>–</w:t>
      </w:r>
      <w:r w:rsidRPr="006E30BF">
        <w:tab/>
        <w:t>der henviser til sine tidligere beslutninger om Den Islamiske Republik Iran,</w:t>
      </w:r>
    </w:p>
    <w:p w14:paraId="5B120C59" w14:textId="77777777" w:rsidR="002D7549" w:rsidRPr="006E30BF" w:rsidRDefault="002D7549" w:rsidP="002D7549">
      <w:pPr>
        <w:pStyle w:val="NormalHanging12a"/>
      </w:pPr>
      <w:r w:rsidRPr="006E30BF">
        <w:t>–</w:t>
      </w:r>
      <w:r w:rsidRPr="006E30BF">
        <w:tab/>
        <w:t>der henviser til forretningsordenens artikel 150, stk. 5, og artikel 136, stk. 4,</w:t>
      </w:r>
    </w:p>
    <w:p w14:paraId="5E70A08D" w14:textId="77777777" w:rsidR="002D7549" w:rsidRPr="006E30BF" w:rsidRDefault="002D7549" w:rsidP="002D7549">
      <w:pPr>
        <w:pStyle w:val="NormalHanging12a"/>
      </w:pPr>
      <w:r w:rsidRPr="006E30BF">
        <w:t>A.</w:t>
      </w:r>
      <w:r w:rsidRPr="006E30BF">
        <w:tab/>
        <w:t>der henviser til, at det iranske folk stod over for det største massemord på demonstranter i landets historie efter opstanden i 2025-2026 med ofre i titusindvis, herunder mindst 236 mindreårige, samt massetilbageholdelser, henrettelser, tortur og daglig terror; der henviser til, at Iran har det højeste antal dødsdomme pr. indbygger i verden; der henviser til, at regimet bruger den igangværende krig som et dække for at fremskynde henrettelserne yderligere;</w:t>
      </w:r>
    </w:p>
    <w:p w14:paraId="21CC227B" w14:textId="77777777" w:rsidR="002D7549" w:rsidRPr="006E30BF" w:rsidRDefault="002D7549" w:rsidP="002D7549">
      <w:pPr>
        <w:pStyle w:val="NormalHanging12a"/>
      </w:pPr>
      <w:r w:rsidRPr="006E30BF">
        <w:t>B.</w:t>
      </w:r>
      <w:r w:rsidRPr="006E30BF">
        <w:tab/>
        <w:t>der henviser til, at FN's uafhængige internationale undersøgelsesmission om Iran advarede om, at undertrykkelsen kan udgøre forbrydelser mod menneskeheden;</w:t>
      </w:r>
    </w:p>
    <w:p w14:paraId="2F5399AF" w14:textId="77777777" w:rsidR="002D7549" w:rsidRPr="006E30BF" w:rsidRDefault="002D7549" w:rsidP="002D7549">
      <w:pPr>
        <w:pStyle w:val="NormalHanging12a"/>
      </w:pPr>
      <w:r w:rsidRPr="006E30BF">
        <w:t>C.</w:t>
      </w:r>
      <w:r w:rsidRPr="006E30BF">
        <w:tab/>
        <w:t>der henviser til, at myndighederne i marts 2026 efter pseudoanklager baseret på tilståelser opnået ved tortur, seksuel vold, udsendte tvangstilståelser og simulerede henrettelser begyndte at henrette personer, der havde demonstreret i januar;</w:t>
      </w:r>
    </w:p>
    <w:p w14:paraId="353B8F9D" w14:textId="77777777" w:rsidR="002D7549" w:rsidRPr="006E30BF" w:rsidRDefault="002D7549" w:rsidP="002D7549">
      <w:pPr>
        <w:pStyle w:val="NormalHanging12a"/>
      </w:pPr>
      <w:r w:rsidRPr="006E30BF">
        <w:t>D.</w:t>
      </w:r>
      <w:r w:rsidRPr="006E30BF">
        <w:tab/>
        <w:t xml:space="preserve">der henviser til, at regimet i uforholdsmæssig grad går efter religiøse og etniske mindretal, herunder </w:t>
      </w:r>
      <w:proofErr w:type="spellStart"/>
      <w:r w:rsidRPr="006E30BF">
        <w:t>ahwazier</w:t>
      </w:r>
      <w:proofErr w:type="spellEnd"/>
      <w:r w:rsidRPr="006E30BF">
        <w:t xml:space="preserve">, afghanere, </w:t>
      </w:r>
      <w:proofErr w:type="spellStart"/>
      <w:r w:rsidRPr="006E30BF">
        <w:t>azeriere</w:t>
      </w:r>
      <w:proofErr w:type="spellEnd"/>
      <w:r w:rsidRPr="006E30BF">
        <w:t xml:space="preserve">, </w:t>
      </w:r>
      <w:proofErr w:type="spellStart"/>
      <w:r w:rsidRPr="006E30BF">
        <w:t>bahaier</w:t>
      </w:r>
      <w:proofErr w:type="spellEnd"/>
      <w:r w:rsidRPr="006E30BF">
        <w:t xml:space="preserve">, </w:t>
      </w:r>
      <w:proofErr w:type="spellStart"/>
      <w:r w:rsidRPr="006E30BF">
        <w:t>baluchier</w:t>
      </w:r>
      <w:proofErr w:type="spellEnd"/>
      <w:r w:rsidRPr="006E30BF">
        <w:t xml:space="preserve">, kristne, jøder, kurdere, sunnier og </w:t>
      </w:r>
      <w:proofErr w:type="spellStart"/>
      <w:r w:rsidRPr="006E30BF">
        <w:t>zoroastriere</w:t>
      </w:r>
      <w:proofErr w:type="spellEnd"/>
      <w:r w:rsidRPr="006E30BF">
        <w:t>; der henviser til, at regimet har intensiveret sin kampagne mod kvinderettighedsforkæmpere, journalister og menneskerettighedsforkæmpere;</w:t>
      </w:r>
    </w:p>
    <w:p w14:paraId="490146FC" w14:textId="77777777" w:rsidR="002D7549" w:rsidRPr="006E30BF" w:rsidRDefault="002D7549" w:rsidP="002D7549">
      <w:pPr>
        <w:pStyle w:val="NormalHanging12a"/>
        <w:rPr>
          <w:rFonts w:eastAsiaTheme="minorHAnsi"/>
        </w:rPr>
      </w:pPr>
      <w:r w:rsidRPr="006E30BF">
        <w:t>1.</w:t>
      </w:r>
      <w:r w:rsidRPr="006E30BF">
        <w:tab/>
        <w:t>udtrykker sin solidaritet med det iranske folk og dets kamp for frihed, demokrati og menneskerettigheder;</w:t>
      </w:r>
    </w:p>
    <w:p w14:paraId="510D204A" w14:textId="77777777" w:rsidR="002D7549" w:rsidRPr="006E30BF" w:rsidRDefault="002D7549" w:rsidP="002D7549">
      <w:pPr>
        <w:pStyle w:val="NormalHanging12a"/>
        <w:rPr>
          <w:rFonts w:eastAsiaTheme="minorHAnsi"/>
        </w:rPr>
      </w:pPr>
      <w:r w:rsidRPr="006E30BF">
        <w:t>2.</w:t>
      </w:r>
      <w:r w:rsidRPr="006E30BF">
        <w:tab/>
        <w:t xml:space="preserve">fordømmer regimets tiltagende undertrykkelse og anvendelse af dødsstraf for at </w:t>
      </w:r>
      <w:r w:rsidRPr="006E30BF">
        <w:lastRenderedPageBreak/>
        <w:t>afskrække fra politisk mobilisering; kræver, at henrettelserne indstilles øjeblikkeligt, og at dødsstraffen afskaffes fuldt ud;</w:t>
      </w:r>
    </w:p>
    <w:p w14:paraId="7F9CA28D" w14:textId="77777777" w:rsidR="002D7549" w:rsidRPr="006E30BF" w:rsidRDefault="002D7549" w:rsidP="002D7549">
      <w:pPr>
        <w:pStyle w:val="NormalHanging12a"/>
        <w:rPr>
          <w:rFonts w:eastAsiaTheme="minorHAnsi"/>
        </w:rPr>
      </w:pPr>
      <w:r w:rsidRPr="006E30BF">
        <w:t>3.</w:t>
      </w:r>
      <w:r w:rsidRPr="006E30BF">
        <w:tab/>
        <w:t>beklager dybt den hemmelige henrettelse af systemkritikere i marts og april 2026, navnlig mindreårige; hylder det bemærkelsesværdige mod hos de personer, som blev henrettet;</w:t>
      </w:r>
    </w:p>
    <w:p w14:paraId="3714FC1A" w14:textId="77777777" w:rsidR="002D7549" w:rsidRDefault="002D7549" w:rsidP="002D7549">
      <w:pPr>
        <w:pStyle w:val="NormalHanging12a"/>
      </w:pPr>
      <w:r w:rsidRPr="006E30BF">
        <w:t>4.</w:t>
      </w:r>
      <w:r w:rsidRPr="006E30BF">
        <w:tab/>
        <w:t>kræver øjeblikkelig og betingelsesløs løsladelse af alle politiske fanger, der tilbageholdes, og at de ansvarlige for den vold, som udøves, stilles til ansvar;</w:t>
      </w:r>
    </w:p>
    <w:p w14:paraId="1CDA0097" w14:textId="0B82DF4F" w:rsidR="00363988" w:rsidRPr="006E30BF" w:rsidRDefault="00363988" w:rsidP="002D7549">
      <w:pPr>
        <w:pStyle w:val="NormalHanging12a"/>
        <w:rPr>
          <w:rFonts w:eastAsiaTheme="minorHAnsi"/>
        </w:rPr>
      </w:pPr>
      <w:r>
        <w:t>5.</w:t>
      </w:r>
      <w:r>
        <w:tab/>
      </w:r>
      <w:r w:rsidRPr="00363988">
        <w:t xml:space="preserve">fremhæver, hvordan anholdelserne af </w:t>
      </w:r>
      <w:proofErr w:type="spellStart"/>
      <w:r w:rsidRPr="00363988">
        <w:t>Peyvand</w:t>
      </w:r>
      <w:proofErr w:type="spellEnd"/>
      <w:r w:rsidRPr="00363988">
        <w:t xml:space="preserve"> og </w:t>
      </w:r>
      <w:proofErr w:type="spellStart"/>
      <w:r w:rsidRPr="00363988">
        <w:t>Borna</w:t>
      </w:r>
      <w:proofErr w:type="spellEnd"/>
      <w:r w:rsidRPr="00363988">
        <w:t xml:space="preserve"> Naimi fra </w:t>
      </w:r>
      <w:proofErr w:type="spellStart"/>
      <w:r w:rsidRPr="00363988">
        <w:t>Baha'i-samfundet</w:t>
      </w:r>
      <w:proofErr w:type="spellEnd"/>
      <w:r w:rsidRPr="00363988">
        <w:t xml:space="preserve"> endnu en gang er et eksempel på regimets brutale undertrykkelse af mindretal</w:t>
      </w:r>
      <w:r w:rsidR="001E7055">
        <w:t>,</w:t>
      </w:r>
      <w:r w:rsidRPr="00363988">
        <w:t xml:space="preserve"> og kræver deres øjeblikkelige og betingelsesløse løsladelse;</w:t>
      </w:r>
    </w:p>
    <w:p w14:paraId="3B18351B" w14:textId="25D9F69B" w:rsidR="002D7549" w:rsidRPr="006E30BF" w:rsidRDefault="00363988" w:rsidP="002D7549">
      <w:pPr>
        <w:pStyle w:val="NormalHanging12a"/>
        <w:rPr>
          <w:rFonts w:eastAsiaTheme="minorHAnsi"/>
        </w:rPr>
      </w:pPr>
      <w:r>
        <w:t>6</w:t>
      </w:r>
      <w:r w:rsidR="002D7549" w:rsidRPr="006E30BF">
        <w:t>.</w:t>
      </w:r>
      <w:r w:rsidR="002D7549" w:rsidRPr="006E30BF">
        <w:tab/>
        <w:t>opfordrer Rådet til at udvide sanktionerne mod iranske embedsmænd, der er ansvarlige for undertrykkelse, herunder retsvæsenet, fængselsadministrationen, Den Islamiske Revolutionsgarde (IRGC) og enheder med tilknytning til den øverste leder;</w:t>
      </w:r>
    </w:p>
    <w:p w14:paraId="2ABA2779" w14:textId="35D64CC2" w:rsidR="002D7549" w:rsidRPr="006E30BF" w:rsidRDefault="00363988" w:rsidP="002D7549">
      <w:pPr>
        <w:pStyle w:val="NormalHanging12a"/>
        <w:rPr>
          <w:rFonts w:eastAsiaTheme="minorHAnsi"/>
        </w:rPr>
      </w:pPr>
      <w:r>
        <w:t>7</w:t>
      </w:r>
      <w:r w:rsidR="002D7549" w:rsidRPr="006E30BF">
        <w:t>.</w:t>
      </w:r>
      <w:r w:rsidR="002D7549" w:rsidRPr="006E30BF">
        <w:tab/>
        <w:t xml:space="preserve">opfordrer til sanktioner mod </w:t>
      </w:r>
      <w:proofErr w:type="spellStart"/>
      <w:r w:rsidR="002D7549" w:rsidRPr="006E30BF">
        <w:t>IRGC's</w:t>
      </w:r>
      <w:proofErr w:type="spellEnd"/>
      <w:r w:rsidR="002D7549" w:rsidRPr="006E30BF">
        <w:t xml:space="preserve"> og loyale familiemedlemmers aktiver og til, at de nægtes indrejse i EU;</w:t>
      </w:r>
    </w:p>
    <w:p w14:paraId="42891E8E" w14:textId="794B8E02" w:rsidR="002D7549" w:rsidRPr="006E30BF" w:rsidRDefault="00363988" w:rsidP="002D7549">
      <w:pPr>
        <w:pStyle w:val="NormalHanging12a"/>
        <w:rPr>
          <w:rFonts w:eastAsiaTheme="minorHAnsi"/>
        </w:rPr>
      </w:pPr>
      <w:r>
        <w:t>8</w:t>
      </w:r>
      <w:r w:rsidR="002D7549" w:rsidRPr="006E30BF">
        <w:t>.</w:t>
      </w:r>
      <w:r w:rsidR="002D7549" w:rsidRPr="006E30BF">
        <w:tab/>
        <w:t>opfordrer indtrængende medlemsstaterne til at lukke iranske diplomatiske missioner, der er forbundet med tværnational undertrykkelse;</w:t>
      </w:r>
    </w:p>
    <w:p w14:paraId="21660002" w14:textId="6293D344" w:rsidR="002D7549" w:rsidRPr="006E30BF" w:rsidRDefault="00363988" w:rsidP="002D7549">
      <w:pPr>
        <w:pStyle w:val="NormalHanging12a"/>
        <w:rPr>
          <w:rFonts w:eastAsiaTheme="minorHAnsi"/>
        </w:rPr>
      </w:pPr>
      <w:r>
        <w:t>9</w:t>
      </w:r>
      <w:r w:rsidR="002D7549" w:rsidRPr="006E30BF">
        <w:t>.</w:t>
      </w:r>
      <w:r w:rsidR="002D7549" w:rsidRPr="006E30BF">
        <w:tab/>
        <w:t>opfordrer Kommissionen og medlemsstaterne til at lukke hullerne i håndhævelsen af sanktioner;</w:t>
      </w:r>
    </w:p>
    <w:p w14:paraId="611B1F12" w14:textId="5C1CD14F" w:rsidR="002D7549" w:rsidRPr="006E30BF" w:rsidRDefault="00363988" w:rsidP="002D7549">
      <w:pPr>
        <w:pStyle w:val="NormalHanging12a"/>
        <w:rPr>
          <w:rFonts w:eastAsiaTheme="minorHAnsi"/>
        </w:rPr>
      </w:pPr>
      <w:r>
        <w:t>10</w:t>
      </w:r>
      <w:r w:rsidR="002D7549" w:rsidRPr="006E30BF">
        <w:t>.</w:t>
      </w:r>
      <w:r w:rsidR="002D7549" w:rsidRPr="006E30BF">
        <w:tab/>
        <w:t>opfordrer medlemsstaterne til at sikre, at undersøgelsesmissionen modtager tilstrækkelige ressourcer, og til at dele oplysninger med den og oprette en domstol for Iran med henblik på at forfølge ansvarlighed og universel jurisdiktion ved europæiske domstole;</w:t>
      </w:r>
    </w:p>
    <w:p w14:paraId="6883E747" w14:textId="5896BC55" w:rsidR="002D7549" w:rsidRPr="006E30BF" w:rsidRDefault="00363988" w:rsidP="002D7549">
      <w:pPr>
        <w:pStyle w:val="NormalHanging12a"/>
      </w:pPr>
      <w:r>
        <w:t>11</w:t>
      </w:r>
      <w:r w:rsidR="002D7549" w:rsidRPr="006E30BF">
        <w:t>.</w:t>
      </w:r>
      <w:r w:rsidR="002D7549" w:rsidRPr="006E30BF">
        <w:tab/>
        <w:t>fordømmer den blokering af internettet, der er indført i Iran, og opfordrer EU og ligesindede partnere til at give iranerne værktøjer til sikker internetadgang;</w:t>
      </w:r>
    </w:p>
    <w:p w14:paraId="274C84A8" w14:textId="29C3F3A7" w:rsidR="002D7549" w:rsidRPr="006E30BF" w:rsidRDefault="00363988" w:rsidP="002D7549">
      <w:pPr>
        <w:pStyle w:val="NormalHanging12a"/>
      </w:pPr>
      <w:r>
        <w:t>12</w:t>
      </w:r>
      <w:r w:rsidR="002D7549" w:rsidRPr="006E30BF">
        <w:t>.</w:t>
      </w:r>
      <w:r w:rsidR="002D7549" w:rsidRPr="006E30BF">
        <w:tab/>
        <w:t>opfordrer medlemsstaterne til at tage behørigt hensyn til de forfulgte iraneres sårbarhed, når de behandler sager i henhold til nationale retlige rammer;</w:t>
      </w:r>
    </w:p>
    <w:p w14:paraId="3D89F028" w14:textId="5D672149" w:rsidR="002D7549" w:rsidRPr="006E30BF" w:rsidRDefault="00363988" w:rsidP="002D7549">
      <w:pPr>
        <w:pStyle w:val="NormalHanging12a"/>
      </w:pPr>
      <w:r>
        <w:t>13</w:t>
      </w:r>
      <w:r w:rsidR="002D7549" w:rsidRPr="006E30BF">
        <w:t>.</w:t>
      </w:r>
      <w:r w:rsidR="002D7549" w:rsidRPr="006E30BF">
        <w:tab/>
        <w:t>opfordrer NF/HR, Rådet og medlemsstaterne til at gøre menneskerettigheder, løsladelse af alle politiske fanger, indstilling af henrettelser og retfærdighed for ofrene ved at gerningsmændene stilles til ansvar til centrale elementer i enhver indsats for at bringe den igangværende krig til ophør;</w:t>
      </w:r>
    </w:p>
    <w:p w14:paraId="3E775271" w14:textId="5874E2A2" w:rsidR="00E365E1" w:rsidRPr="006E30BF" w:rsidRDefault="00363988" w:rsidP="00AC7B72">
      <w:pPr>
        <w:pStyle w:val="NormalHanging12a"/>
      </w:pPr>
      <w:r>
        <w:t>14</w:t>
      </w:r>
      <w:r w:rsidR="002D7549" w:rsidRPr="006E30BF">
        <w:t>.</w:t>
      </w:r>
      <w:r w:rsidR="002D7549" w:rsidRPr="006E30BF">
        <w:tab/>
        <w:t>pålægger sin formand at sende denne beslutning til Rådet, Kommissionen, næstformanden/den højtstående repræsentant, medlemsstaternes regeringer og parlamenter og Den Islamiske Republik Irans myndigheder.</w:t>
      </w:r>
    </w:p>
    <w:sectPr w:rsidR="00E365E1" w:rsidRPr="006E30BF" w:rsidSect="006E30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10CD7" w14:textId="77777777" w:rsidR="0081202A" w:rsidRPr="006E30BF" w:rsidRDefault="0081202A">
      <w:r w:rsidRPr="006E30BF">
        <w:separator/>
      </w:r>
    </w:p>
  </w:endnote>
  <w:endnote w:type="continuationSeparator" w:id="0">
    <w:p w14:paraId="09F1ADC3" w14:textId="77777777" w:rsidR="0081202A" w:rsidRPr="006E30BF" w:rsidRDefault="0081202A">
      <w:r w:rsidRPr="006E30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DC12" w14:textId="77777777" w:rsidR="00064002" w:rsidRPr="006E30B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0ED8" w14:textId="77777777" w:rsidR="00064002" w:rsidRPr="006E30B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2F17" w14:textId="77777777" w:rsidR="00064002" w:rsidRPr="006E30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860E4" w14:textId="77777777" w:rsidR="0081202A" w:rsidRPr="006E30BF" w:rsidRDefault="0081202A">
      <w:r w:rsidRPr="006E30BF">
        <w:separator/>
      </w:r>
    </w:p>
  </w:footnote>
  <w:footnote w:type="continuationSeparator" w:id="0">
    <w:p w14:paraId="6E82DD3D" w14:textId="77777777" w:rsidR="0081202A" w:rsidRPr="006E30BF" w:rsidRDefault="0081202A">
      <w:r w:rsidRPr="006E30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28D1" w14:textId="77777777" w:rsidR="00064002" w:rsidRPr="006E30B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C9EC" w14:textId="77777777" w:rsidR="00064002" w:rsidRPr="006E30B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1B1B2" w14:textId="77777777" w:rsidR="00064002" w:rsidRPr="006E30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1890802">
    <w:abstractNumId w:val="9"/>
  </w:num>
  <w:num w:numId="2" w16cid:durableId="834497458">
    <w:abstractNumId w:val="9"/>
  </w:num>
  <w:num w:numId="3" w16cid:durableId="712195288">
    <w:abstractNumId w:val="7"/>
  </w:num>
  <w:num w:numId="4" w16cid:durableId="814104264">
    <w:abstractNumId w:val="7"/>
  </w:num>
  <w:num w:numId="5" w16cid:durableId="872768499">
    <w:abstractNumId w:val="6"/>
  </w:num>
  <w:num w:numId="6" w16cid:durableId="207108938">
    <w:abstractNumId w:val="6"/>
  </w:num>
  <w:num w:numId="7" w16cid:durableId="497423297">
    <w:abstractNumId w:val="5"/>
  </w:num>
  <w:num w:numId="8" w16cid:durableId="2069648514">
    <w:abstractNumId w:val="5"/>
  </w:num>
  <w:num w:numId="9" w16cid:durableId="1425178617">
    <w:abstractNumId w:val="4"/>
  </w:num>
  <w:num w:numId="10" w16cid:durableId="262347224">
    <w:abstractNumId w:val="4"/>
  </w:num>
  <w:num w:numId="11" w16cid:durableId="108163421">
    <w:abstractNumId w:val="8"/>
  </w:num>
  <w:num w:numId="12" w16cid:durableId="1826781626">
    <w:abstractNumId w:val="8"/>
  </w:num>
  <w:num w:numId="13" w16cid:durableId="235165619">
    <w:abstractNumId w:val="3"/>
  </w:num>
  <w:num w:numId="14" w16cid:durableId="1003824704">
    <w:abstractNumId w:val="3"/>
  </w:num>
  <w:num w:numId="15" w16cid:durableId="330261358">
    <w:abstractNumId w:val="2"/>
  </w:num>
  <w:num w:numId="16" w16cid:durableId="2085253312">
    <w:abstractNumId w:val="2"/>
  </w:num>
  <w:num w:numId="17" w16cid:durableId="74671027">
    <w:abstractNumId w:val="1"/>
  </w:num>
  <w:num w:numId="18" w16cid:durableId="2027636326">
    <w:abstractNumId w:val="1"/>
  </w:num>
  <w:num w:numId="19" w16cid:durableId="687172978">
    <w:abstractNumId w:val="0"/>
  </w:num>
  <w:num w:numId="20" w16cid:durableId="796989563">
    <w:abstractNumId w:val="0"/>
  </w:num>
  <w:num w:numId="21" w16cid:durableId="1003052258">
    <w:abstractNumId w:val="9"/>
  </w:num>
  <w:num w:numId="22" w16cid:durableId="1236161532">
    <w:abstractNumId w:val="7"/>
  </w:num>
  <w:num w:numId="23" w16cid:durableId="1003505636">
    <w:abstractNumId w:val="6"/>
  </w:num>
  <w:num w:numId="24" w16cid:durableId="488907262">
    <w:abstractNumId w:val="5"/>
  </w:num>
  <w:num w:numId="25" w16cid:durableId="1732800761">
    <w:abstractNumId w:val="4"/>
  </w:num>
  <w:num w:numId="26" w16cid:durableId="2099672640">
    <w:abstractNumId w:val="8"/>
  </w:num>
  <w:num w:numId="27" w16cid:durableId="2128811571">
    <w:abstractNumId w:val="3"/>
  </w:num>
  <w:num w:numId="28" w16cid:durableId="462581861">
    <w:abstractNumId w:val="2"/>
  </w:num>
  <w:num w:numId="29" w16cid:durableId="1620868181">
    <w:abstractNumId w:val="1"/>
  </w:num>
  <w:num w:numId="30" w16cid:durableId="795029485">
    <w:abstractNumId w:val="0"/>
  </w:num>
  <w:num w:numId="31" w16cid:durableId="1295988376">
    <w:abstractNumId w:val="9"/>
  </w:num>
  <w:num w:numId="32" w16cid:durableId="430004733">
    <w:abstractNumId w:val="7"/>
  </w:num>
  <w:num w:numId="33" w16cid:durableId="917523292">
    <w:abstractNumId w:val="6"/>
  </w:num>
  <w:num w:numId="34" w16cid:durableId="1191456576">
    <w:abstractNumId w:val="5"/>
  </w:num>
  <w:num w:numId="35" w16cid:durableId="197279837">
    <w:abstractNumId w:val="4"/>
  </w:num>
  <w:num w:numId="36" w16cid:durableId="843666309">
    <w:abstractNumId w:val="8"/>
  </w:num>
  <w:num w:numId="37" w16cid:durableId="565845173">
    <w:abstractNumId w:val="3"/>
  </w:num>
  <w:num w:numId="38" w16cid:durableId="1857887919">
    <w:abstractNumId w:val="2"/>
  </w:num>
  <w:num w:numId="39" w16cid:durableId="916590801">
    <w:abstractNumId w:val="1"/>
  </w:num>
  <w:num w:numId="40" w16cid:durableId="1095785937">
    <w:abstractNumId w:val="0"/>
  </w:num>
  <w:num w:numId="41" w16cid:durableId="1069889311">
    <w:abstractNumId w:val="10"/>
  </w:num>
  <w:num w:numId="42" w16cid:durableId="394621494">
    <w:abstractNumId w:val="10"/>
  </w:num>
  <w:num w:numId="43" w16cid:durableId="1367218055">
    <w:abstractNumId w:val="10"/>
  </w:num>
  <w:num w:numId="44" w16cid:durableId="1921208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2026"/>
    <w:docVar w:name="dvlangue" w:val="DA"/>
    <w:docVar w:name="dvnumam" w:val="0"/>
    <w:docVar w:name="dvpe" w:val="783.303"/>
    <w:docVar w:name="dvtitre" w:val="Europa-Parlamentets beslutning af xx.xx 2026 om undertrykkelse og henrettelse af demonstranter, systemkritikere, politiske fanger og religiøse mindretal i Iran(2026/2733(RSP))"/>
  </w:docVars>
  <w:rsids>
    <w:rsidRoot w:val="0081202A"/>
    <w:rsid w:val="00002272"/>
    <w:rsid w:val="00064002"/>
    <w:rsid w:val="000677B9"/>
    <w:rsid w:val="000831BA"/>
    <w:rsid w:val="000A42CC"/>
    <w:rsid w:val="000E7DD9"/>
    <w:rsid w:val="0010095E"/>
    <w:rsid w:val="00125B37"/>
    <w:rsid w:val="00187494"/>
    <w:rsid w:val="001E7055"/>
    <w:rsid w:val="001F32AE"/>
    <w:rsid w:val="002767FF"/>
    <w:rsid w:val="002B18FE"/>
    <w:rsid w:val="002B5493"/>
    <w:rsid w:val="002C58F5"/>
    <w:rsid w:val="002D7549"/>
    <w:rsid w:val="00343214"/>
    <w:rsid w:val="00361C00"/>
    <w:rsid w:val="00363988"/>
    <w:rsid w:val="00395FA1"/>
    <w:rsid w:val="003E15D4"/>
    <w:rsid w:val="003F7F2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30BF"/>
    <w:rsid w:val="006F74FA"/>
    <w:rsid w:val="00731ADD"/>
    <w:rsid w:val="00734777"/>
    <w:rsid w:val="00747932"/>
    <w:rsid w:val="00751A4A"/>
    <w:rsid w:val="00756632"/>
    <w:rsid w:val="00762C74"/>
    <w:rsid w:val="00786EC0"/>
    <w:rsid w:val="007D1690"/>
    <w:rsid w:val="007E22AD"/>
    <w:rsid w:val="0081202A"/>
    <w:rsid w:val="00817416"/>
    <w:rsid w:val="00842779"/>
    <w:rsid w:val="00865F67"/>
    <w:rsid w:val="00881A7B"/>
    <w:rsid w:val="008840E5"/>
    <w:rsid w:val="00887B3E"/>
    <w:rsid w:val="008C2AC6"/>
    <w:rsid w:val="008F54AE"/>
    <w:rsid w:val="00930C23"/>
    <w:rsid w:val="0093193B"/>
    <w:rsid w:val="009509D8"/>
    <w:rsid w:val="00950B64"/>
    <w:rsid w:val="00981893"/>
    <w:rsid w:val="00A1687D"/>
    <w:rsid w:val="00A43E52"/>
    <w:rsid w:val="00A4678D"/>
    <w:rsid w:val="00A771EB"/>
    <w:rsid w:val="00A778C7"/>
    <w:rsid w:val="00AB441E"/>
    <w:rsid w:val="00AB6293"/>
    <w:rsid w:val="00AC7B72"/>
    <w:rsid w:val="00AE0928"/>
    <w:rsid w:val="00AF3B82"/>
    <w:rsid w:val="00B12E95"/>
    <w:rsid w:val="00B22876"/>
    <w:rsid w:val="00B558F0"/>
    <w:rsid w:val="00BD48FE"/>
    <w:rsid w:val="00BD7BD8"/>
    <w:rsid w:val="00BE6ADC"/>
    <w:rsid w:val="00C05BFE"/>
    <w:rsid w:val="00C23CD4"/>
    <w:rsid w:val="00C61C0C"/>
    <w:rsid w:val="00C739BC"/>
    <w:rsid w:val="00C941CB"/>
    <w:rsid w:val="00CC2357"/>
    <w:rsid w:val="00CF071A"/>
    <w:rsid w:val="00D058B8"/>
    <w:rsid w:val="00D56C11"/>
    <w:rsid w:val="00D834A0"/>
    <w:rsid w:val="00D872DF"/>
    <w:rsid w:val="00D91E21"/>
    <w:rsid w:val="00DA7FCD"/>
    <w:rsid w:val="00E3338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6E734"/>
  <w15:chartTrackingRefBased/>
  <w15:docId w15:val="{5A02DFAB-7256-4352-8598-DEE16AAA4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7549"/>
    <w:pPr>
      <w:spacing w:after="240"/>
      <w:ind w:left="567" w:hanging="567"/>
    </w:pPr>
  </w:style>
  <w:style w:type="paragraph" w:customStyle="1" w:styleId="EPComma">
    <w:name w:val="EPComma"/>
    <w:basedOn w:val="Normal"/>
    <w:rsid w:val="002D7549"/>
    <w:pPr>
      <w:spacing w:before="480" w:after="240"/>
    </w:pPr>
  </w:style>
  <w:style w:type="character" w:customStyle="1" w:styleId="NormalHanging12aChar">
    <w:name w:val="NormalHanging12a Char"/>
    <w:basedOn w:val="DefaultParagraphFont"/>
    <w:link w:val="NormalHanging12a"/>
    <w:locked/>
    <w:rsid w:val="002D7549"/>
    <w:rPr>
      <w:sz w:val="24"/>
      <w:lang w:val="da-DK"/>
    </w:rPr>
  </w:style>
  <w:style w:type="paragraph" w:styleId="Revision">
    <w:name w:val="Revision"/>
    <w:hidden/>
    <w:uiPriority w:val="99"/>
    <w:semiHidden/>
    <w:rsid w:val="00AC7B72"/>
    <w:rPr>
      <w:sz w:val="24"/>
      <w:lang w:val="da-DK"/>
    </w:rPr>
  </w:style>
  <w:style w:type="character" w:styleId="CommentReference">
    <w:name w:val="annotation reference"/>
    <w:basedOn w:val="DefaultParagraphFont"/>
    <w:rsid w:val="00363988"/>
    <w:rPr>
      <w:sz w:val="16"/>
      <w:szCs w:val="16"/>
    </w:rPr>
  </w:style>
  <w:style w:type="paragraph" w:styleId="CommentText">
    <w:name w:val="annotation text"/>
    <w:basedOn w:val="Normal"/>
    <w:link w:val="CommentTextChar"/>
    <w:rsid w:val="00363988"/>
    <w:rPr>
      <w:sz w:val="20"/>
    </w:rPr>
  </w:style>
  <w:style w:type="character" w:customStyle="1" w:styleId="CommentTextChar">
    <w:name w:val="Comment Text Char"/>
    <w:basedOn w:val="DefaultParagraphFont"/>
    <w:link w:val="CommentText"/>
    <w:rsid w:val="00363988"/>
    <w:rPr>
      <w:lang w:val="da-DK"/>
    </w:rPr>
  </w:style>
  <w:style w:type="paragraph" w:styleId="CommentSubject">
    <w:name w:val="annotation subject"/>
    <w:basedOn w:val="CommentText"/>
    <w:next w:val="CommentText"/>
    <w:link w:val="CommentSubjectChar"/>
    <w:rsid w:val="00363988"/>
    <w:rPr>
      <w:b/>
      <w:bCs/>
    </w:rPr>
  </w:style>
  <w:style w:type="character" w:customStyle="1" w:styleId="CommentSubjectChar">
    <w:name w:val="Comment Subject Char"/>
    <w:basedOn w:val="CommentTextChar"/>
    <w:link w:val="CommentSubject"/>
    <w:rsid w:val="0036398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2026-05-21T13:06:00Z</dcterms:created>
  <dcterms:modified xsi:type="dcterms:W3CDTF">2026-05-21T13:06:00Z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B10-0260/2026</vt:lpwstr>
  </property>
  <property fmtid="{D5CDD505-2E9C-101B-9397-08002B2CF9AE}" pid="4" name="&lt;Type&gt;">
    <vt:lpwstr>RR</vt:lpwstr>
  </property>
</Properties>
</file>