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456AA" w14:paraId="35D77A5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2C5A603" w14:textId="77777777" w:rsidR="00751A4A" w:rsidRPr="005456AA" w:rsidRDefault="00197C53" w:rsidP="0010095E">
            <w:pPr>
              <w:pStyle w:val="EPName"/>
            </w:pPr>
            <w:r w:rsidRPr="005456AA">
              <w:t>Parlamento europeo</w:t>
            </w:r>
          </w:p>
          <w:p w14:paraId="637EA15F" w14:textId="77777777" w:rsidR="00751A4A" w:rsidRPr="005456A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456AA">
              <w:t>2024</w:t>
            </w:r>
            <w:r w:rsidR="00817416" w:rsidRPr="005456AA">
              <w:t>-202</w:t>
            </w:r>
            <w:r w:rsidRPr="005456AA">
              <w:t>9</w:t>
            </w:r>
          </w:p>
        </w:tc>
        <w:tc>
          <w:tcPr>
            <w:tcW w:w="2268" w:type="dxa"/>
            <w:shd w:val="clear" w:color="auto" w:fill="auto"/>
          </w:tcPr>
          <w:p w14:paraId="0C01A304" w14:textId="77777777" w:rsidR="00751A4A" w:rsidRPr="005456AA" w:rsidRDefault="00187494" w:rsidP="0010095E">
            <w:pPr>
              <w:pStyle w:val="EPLogo"/>
            </w:pPr>
            <w:r w:rsidRPr="005456AA">
              <w:rPr>
                <w:noProof/>
                <w:lang w:eastAsia="ja-JP"/>
              </w:rPr>
              <w:drawing>
                <wp:inline distT="0" distB="0" distL="0" distR="0" wp14:anchorId="161E92AA" wp14:editId="2DED50D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7D23B0" w14:textId="77777777" w:rsidR="00D058B8" w:rsidRPr="005456AA" w:rsidRDefault="00D058B8" w:rsidP="004C5D52">
      <w:pPr>
        <w:pStyle w:val="LineTop"/>
      </w:pPr>
    </w:p>
    <w:p w14:paraId="29CEE6BD" w14:textId="77777777" w:rsidR="00680577" w:rsidRPr="005456AA" w:rsidRDefault="00197C53" w:rsidP="00680577">
      <w:pPr>
        <w:pStyle w:val="EPBodyTA1"/>
      </w:pPr>
      <w:r w:rsidRPr="005456AA">
        <w:t>TESTI APPROVATI</w:t>
      </w:r>
    </w:p>
    <w:p w14:paraId="0176A54C" w14:textId="77777777" w:rsidR="00D058B8" w:rsidRPr="005456AA" w:rsidRDefault="00D058B8" w:rsidP="00D058B8">
      <w:pPr>
        <w:pStyle w:val="LineBottom"/>
      </w:pPr>
    </w:p>
    <w:p w14:paraId="3FB016C5" w14:textId="46B122B5" w:rsidR="00197C53" w:rsidRPr="005456AA" w:rsidRDefault="00197C53" w:rsidP="00197C53">
      <w:pPr>
        <w:pStyle w:val="ATHeading1"/>
      </w:pPr>
      <w:bookmarkStart w:id="0" w:name="TANumber"/>
      <w:r w:rsidRPr="005456AA">
        <w:t>P10_</w:t>
      </w:r>
      <w:proofErr w:type="gramStart"/>
      <w:r w:rsidRPr="005456AA">
        <w:t>TA(</w:t>
      </w:r>
      <w:proofErr w:type="gramEnd"/>
      <w:r w:rsidRPr="005456AA">
        <w:t>2026)0</w:t>
      </w:r>
      <w:r w:rsidR="005456AA" w:rsidRPr="005456AA">
        <w:t>187</w:t>
      </w:r>
      <w:bookmarkEnd w:id="0"/>
    </w:p>
    <w:p w14:paraId="61666C51" w14:textId="77777777" w:rsidR="00197C53" w:rsidRPr="005456AA" w:rsidRDefault="00197C53" w:rsidP="00197C53">
      <w:pPr>
        <w:pStyle w:val="ATHeading2"/>
      </w:pPr>
      <w:bookmarkStart w:id="1" w:name="title"/>
      <w:r w:rsidRPr="005456AA">
        <w:t xml:space="preserve">I casi dei difensori dei diritti umani e dell'ambiente </w:t>
      </w:r>
      <w:proofErr w:type="spellStart"/>
      <w:r w:rsidRPr="005456AA">
        <w:t>Andrie</w:t>
      </w:r>
      <w:proofErr w:type="spellEnd"/>
      <w:r w:rsidRPr="005456AA">
        <w:t xml:space="preserve"> Yunus e Muhammad </w:t>
      </w:r>
      <w:proofErr w:type="spellStart"/>
      <w:r w:rsidRPr="005456AA">
        <w:t>Rosidi</w:t>
      </w:r>
      <w:proofErr w:type="spellEnd"/>
      <w:r w:rsidRPr="005456AA">
        <w:t xml:space="preserve"> in Indonesia</w:t>
      </w:r>
      <w:bookmarkEnd w:id="1"/>
    </w:p>
    <w:p w14:paraId="3156422F" w14:textId="7AB22492" w:rsidR="00197C53" w:rsidRPr="005456AA" w:rsidRDefault="00197C53" w:rsidP="00197C53">
      <w:pPr>
        <w:rPr>
          <w:i/>
          <w:vanish/>
        </w:rPr>
      </w:pPr>
      <w:r w:rsidRPr="005456AA">
        <w:rPr>
          <w:i/>
        </w:rPr>
        <w:fldChar w:fldCharType="begin"/>
      </w:r>
      <w:r w:rsidRPr="005456AA">
        <w:rPr>
          <w:i/>
        </w:rPr>
        <w:instrText xml:space="preserve"> TC"(</w:instrText>
      </w:r>
      <w:bookmarkStart w:id="2" w:name="DocNumber"/>
      <w:r w:rsidRPr="005456AA">
        <w:rPr>
          <w:i/>
        </w:rPr>
        <w:instrText>B10-0248</w:instrText>
      </w:r>
      <w:r w:rsidR="00F54A89" w:rsidRPr="005456AA">
        <w:rPr>
          <w:i/>
        </w:rPr>
        <w:instrText>, 0250, 0256, 0257 e 0264</w:instrText>
      </w:r>
      <w:r w:rsidRPr="005456AA">
        <w:rPr>
          <w:i/>
        </w:rPr>
        <w:instrText>/2026</w:instrText>
      </w:r>
      <w:bookmarkEnd w:id="2"/>
      <w:r w:rsidRPr="005456AA">
        <w:rPr>
          <w:i/>
        </w:rPr>
        <w:instrText xml:space="preserve">)"\l3 \n&gt; \* MERGEFORMAT </w:instrText>
      </w:r>
      <w:r w:rsidRPr="005456AA">
        <w:rPr>
          <w:i/>
        </w:rPr>
        <w:fldChar w:fldCharType="end"/>
      </w:r>
    </w:p>
    <w:p w14:paraId="5535C7FC" w14:textId="77777777" w:rsidR="00197C53" w:rsidRPr="005456AA" w:rsidRDefault="00197C53" w:rsidP="00197C53">
      <w:pPr>
        <w:rPr>
          <w:vanish/>
        </w:rPr>
      </w:pPr>
      <w:bookmarkStart w:id="3" w:name="PE"/>
      <w:r w:rsidRPr="005456AA">
        <w:rPr>
          <w:vanish/>
        </w:rPr>
        <w:t>PE783.291</w:t>
      </w:r>
      <w:bookmarkEnd w:id="3"/>
    </w:p>
    <w:p w14:paraId="0B45F042" w14:textId="77777777" w:rsidR="00197C53" w:rsidRPr="005456AA" w:rsidRDefault="00197C53" w:rsidP="00197C53">
      <w:pPr>
        <w:pStyle w:val="ATHeading3"/>
      </w:pPr>
      <w:bookmarkStart w:id="4" w:name="Sujet"/>
      <w:r w:rsidRPr="005456AA">
        <w:t xml:space="preserve">Risoluzione del Parlamento europeo del 21 maggio 2026 sui casi dei difensori dei diritti umani e dell'ambiente </w:t>
      </w:r>
      <w:proofErr w:type="spellStart"/>
      <w:r w:rsidRPr="005456AA">
        <w:t>Andrie</w:t>
      </w:r>
      <w:proofErr w:type="spellEnd"/>
      <w:r w:rsidRPr="005456AA">
        <w:t xml:space="preserve"> Yunus e Muhammad </w:t>
      </w:r>
      <w:proofErr w:type="spellStart"/>
      <w:r w:rsidRPr="005456AA">
        <w:t>Rosidi</w:t>
      </w:r>
      <w:proofErr w:type="spellEnd"/>
      <w:r w:rsidRPr="005456AA">
        <w:t xml:space="preserve"> in Indonesia</w:t>
      </w:r>
      <w:bookmarkEnd w:id="4"/>
      <w:r w:rsidRPr="005456AA">
        <w:t xml:space="preserve"> </w:t>
      </w:r>
      <w:bookmarkStart w:id="5" w:name="References"/>
      <w:r w:rsidRPr="005456AA">
        <w:t>(2026/2738(RSP))</w:t>
      </w:r>
      <w:bookmarkEnd w:id="5"/>
    </w:p>
    <w:p w14:paraId="5807881F" w14:textId="77777777" w:rsidR="00733B0D" w:rsidRPr="005456AA" w:rsidRDefault="00733B0D" w:rsidP="00733B0D">
      <w:pPr>
        <w:pStyle w:val="EPComma"/>
      </w:pPr>
      <w:bookmarkStart w:id="6" w:name="TextBodyBegin"/>
      <w:bookmarkEnd w:id="6"/>
      <w:r w:rsidRPr="005456AA">
        <w:rPr>
          <w:i/>
          <w:iCs/>
        </w:rPr>
        <w:t>Il Parlamento europeo</w:t>
      </w:r>
      <w:r w:rsidRPr="005456AA">
        <w:t>,</w:t>
      </w:r>
    </w:p>
    <w:p w14:paraId="33FE02D3" w14:textId="77777777" w:rsidR="00733B0D" w:rsidRPr="005456AA" w:rsidRDefault="00733B0D" w:rsidP="00733B0D">
      <w:pPr>
        <w:pStyle w:val="NormalHanging12a"/>
      </w:pPr>
      <w:r w:rsidRPr="005456AA">
        <w:t>–</w:t>
      </w:r>
      <w:r w:rsidRPr="005456AA">
        <w:tab/>
        <w:t>viste le sue precedenti risoluzioni sull'Indonesia,</w:t>
      </w:r>
    </w:p>
    <w:p w14:paraId="32BF3245" w14:textId="77777777" w:rsidR="00733B0D" w:rsidRPr="005456AA" w:rsidRDefault="00733B0D" w:rsidP="00733B0D">
      <w:pPr>
        <w:pStyle w:val="NormalHanging12a"/>
      </w:pPr>
      <w:r w:rsidRPr="005456AA">
        <w:t>–</w:t>
      </w:r>
      <w:r w:rsidRPr="005456AA">
        <w:tab/>
        <w:t>visti l'articolo 150, paragrafo 5, e l'articolo 136, paragrafo 4, del suo regolamento,</w:t>
      </w:r>
    </w:p>
    <w:p w14:paraId="6BF83DD5" w14:textId="77777777" w:rsidR="00733B0D" w:rsidRPr="005456AA" w:rsidRDefault="00733B0D" w:rsidP="00733B0D">
      <w:pPr>
        <w:pStyle w:val="NormalHanging12a"/>
      </w:pPr>
      <w:r w:rsidRPr="005456AA">
        <w:t>A.</w:t>
      </w:r>
      <w:r w:rsidRPr="005456AA">
        <w:tab/>
        <w:t xml:space="preserve">considerando che, nel marzo 2026, </w:t>
      </w:r>
      <w:proofErr w:type="spellStart"/>
      <w:r w:rsidRPr="005456AA">
        <w:t>Andrie</w:t>
      </w:r>
      <w:proofErr w:type="spellEnd"/>
      <w:r w:rsidRPr="005456AA">
        <w:t xml:space="preserve"> Yunus, rappresentante della Commissione per le persone scomparse e le vittime di violenza (</w:t>
      </w:r>
      <w:proofErr w:type="spellStart"/>
      <w:r w:rsidRPr="005456AA">
        <w:t>KontraS</w:t>
      </w:r>
      <w:proofErr w:type="spellEnd"/>
      <w:r w:rsidRPr="005456AA">
        <w:t>), è stato vittima di un attacco con l'acido a Giacarta, dopo aver registrato un podcast sulla rimilitarizzazione e sul controllo giurisdizionale in Indonesia; che quattro membri dell'Agenzia di intelligence strategica dell'Indonesia sono stati rinviati a giudizio dinanzi a un tribunale militare, nonostante vi siano elementi attendibili che indicano il coinvolgimento di altri responsabili e l'esistenza di possibili catene di comando, e che permangono preoccupazioni in merito al trasferimento del caso dalla giurisdizione civile a quella militare;</w:t>
      </w:r>
    </w:p>
    <w:p w14:paraId="2D68FA22" w14:textId="77777777" w:rsidR="00733B0D" w:rsidRPr="005456AA" w:rsidRDefault="00733B0D" w:rsidP="00733B0D">
      <w:pPr>
        <w:pStyle w:val="NormalHanging12a"/>
      </w:pPr>
      <w:r w:rsidRPr="005456AA">
        <w:t>B.</w:t>
      </w:r>
      <w:r w:rsidRPr="005456AA">
        <w:tab/>
        <w:t xml:space="preserve">considerando che anche Muhammad </w:t>
      </w:r>
      <w:proofErr w:type="spellStart"/>
      <w:r w:rsidRPr="005456AA">
        <w:t>Rosidi</w:t>
      </w:r>
      <w:proofErr w:type="spellEnd"/>
      <w:r w:rsidRPr="005456AA">
        <w:t>, attivista ambientale impegnato nella lotta contro l'estrazione illegale e il contrabbando di stagno, è stato vittima di un attacco con l'acido nel febbraio 2026;</w:t>
      </w:r>
    </w:p>
    <w:p w14:paraId="2F50B79B" w14:textId="77777777" w:rsidR="00733B0D" w:rsidRPr="005456AA" w:rsidRDefault="00733B0D" w:rsidP="00733B0D">
      <w:pPr>
        <w:pStyle w:val="NormalHanging12a"/>
      </w:pPr>
      <w:r w:rsidRPr="005456AA">
        <w:t>C.</w:t>
      </w:r>
      <w:r w:rsidRPr="005456AA">
        <w:tab/>
        <w:t>considerando che in Indonesia si registra una riduzione dello spazio civico e una crescente repressione nei confronti di difensori dei diritti umani, giornalisti, sindacalisti, studenti e attivisti ambientali, nonché l'esistenza di discriminazioni nei confronti delle minoranze, misure di repressione delle critiche e violenze in Papua e nella Papua occidentale; che le recenti riforme giuridiche estendono i poteri militari ai settori civili, anche mediante i tribunali militari, il che compromette il controllo civile, limita le libertà fondamentali e rischia di consolidare l'impunità;</w:t>
      </w:r>
    </w:p>
    <w:p w14:paraId="46A07333" w14:textId="77777777" w:rsidR="00733B0D" w:rsidRPr="005456AA" w:rsidRDefault="00733B0D" w:rsidP="00733B0D">
      <w:pPr>
        <w:pStyle w:val="NormalHanging12a"/>
      </w:pPr>
      <w:r w:rsidRPr="005456AA">
        <w:t>D.</w:t>
      </w:r>
      <w:r w:rsidRPr="005456AA">
        <w:tab/>
        <w:t xml:space="preserve">considerando che l'Indonesia continua a essere uno dei partner strategici dell'UE nella regione indo-pacifica, nonché un attore importante nella promozione della sicurezza </w:t>
      </w:r>
      <w:r w:rsidRPr="005456AA">
        <w:lastRenderedPageBreak/>
        <w:t>regionale;</w:t>
      </w:r>
    </w:p>
    <w:p w14:paraId="147046B8" w14:textId="77777777" w:rsidR="00733B0D" w:rsidRPr="005456AA" w:rsidRDefault="00733B0D" w:rsidP="00733B0D">
      <w:pPr>
        <w:pStyle w:val="NormalHanging12a"/>
      </w:pPr>
      <w:r w:rsidRPr="005456AA">
        <w:t>1.</w:t>
      </w:r>
      <w:r w:rsidRPr="005456AA">
        <w:tab/>
        <w:t xml:space="preserve">esprime profonda preoccupazione per gli attacchi perpetrati contro </w:t>
      </w:r>
      <w:proofErr w:type="spellStart"/>
      <w:r w:rsidRPr="005456AA">
        <w:t>Andrie</w:t>
      </w:r>
      <w:proofErr w:type="spellEnd"/>
      <w:r w:rsidRPr="005456AA">
        <w:t xml:space="preserve"> Yunus e Muhammad </w:t>
      </w:r>
      <w:proofErr w:type="spellStart"/>
      <w:r w:rsidRPr="005456AA">
        <w:t>Rosidi</w:t>
      </w:r>
      <w:proofErr w:type="spellEnd"/>
      <w:r w:rsidRPr="005456AA">
        <w:t>, nonché per il più ampio fenomeno di violenza nei confronti dei difensori dei diritti umani e dell'ambiente in Indonesia; evidenzia i rischi cui sono esposti i difensori dell'ambiente in Indonesia, in particolare quelli che denunciano attività estrattive illegali;</w:t>
      </w:r>
    </w:p>
    <w:p w14:paraId="3255B67E" w14:textId="77777777" w:rsidR="00733B0D" w:rsidRPr="005456AA" w:rsidRDefault="00733B0D" w:rsidP="00733B0D">
      <w:pPr>
        <w:pStyle w:val="NormalHanging12a"/>
      </w:pPr>
      <w:r w:rsidRPr="005456AA">
        <w:t>2.</w:t>
      </w:r>
      <w:r w:rsidRPr="005456AA">
        <w:tab/>
        <w:t>invita le autorità a condurre un'indagine rapida, approfondita, trasparente e indipendente su entrambi gli attacchi e a processare tutti i responsabili di violazioni dei diritti umani, compresi gli istigatori, dinanzi a tribunali civili per porre fine all'impunità;</w:t>
      </w:r>
    </w:p>
    <w:p w14:paraId="1D46DBB7" w14:textId="77777777" w:rsidR="00733B0D" w:rsidRPr="005456AA" w:rsidRDefault="00733B0D" w:rsidP="00733B0D">
      <w:pPr>
        <w:pStyle w:val="NormalHanging12a"/>
      </w:pPr>
      <w:r w:rsidRPr="005456AA">
        <w:t>3.</w:t>
      </w:r>
      <w:r w:rsidRPr="005456AA">
        <w:tab/>
        <w:t>esprime profonda preoccupazione per i piani del governo che rischiano di limitare ulteriormente la libertà di espressione, compresi i progetti di legge in materia di disinformazione, radiodiffusione e cibersicurezza, nonché i piani volti a sottoporre i difensori dei diritti umani a controlli e certificazione per determinare chi abbia diritto alla tutela giuridica;</w:t>
      </w:r>
    </w:p>
    <w:p w14:paraId="4267AA16" w14:textId="77777777" w:rsidR="00733B0D" w:rsidRPr="005456AA" w:rsidRDefault="00733B0D" w:rsidP="00733B0D">
      <w:pPr>
        <w:pStyle w:val="NormalHanging12a"/>
      </w:pPr>
      <w:r w:rsidRPr="005456AA">
        <w:t>4.</w:t>
      </w:r>
      <w:r w:rsidRPr="005456AA">
        <w:tab/>
        <w:t>invita l'Indonesia a riconsiderare e modificare sostanzialmente la legislazione repressiva e a garantire un ambiente sicuro per i difensori dei diritti umani, gli attivisti ambientali, i sindacati e i giornalisti, che sia libero da sorveglianza, vessazioni e rappresaglie;</w:t>
      </w:r>
    </w:p>
    <w:p w14:paraId="1DF4E716" w14:textId="77777777" w:rsidR="00733B0D" w:rsidRPr="005456AA" w:rsidRDefault="00733B0D" w:rsidP="00733B0D">
      <w:pPr>
        <w:pStyle w:val="NormalHanging12a"/>
      </w:pPr>
      <w:r w:rsidRPr="005456AA">
        <w:t>5.</w:t>
      </w:r>
      <w:r w:rsidRPr="005456AA">
        <w:tab/>
        <w:t>esorta l'UE e gli Stati membri a intensificare il dialogo con l'Indonesia, anche al più alto livello e nei consessi internazionali, al fine di affrontare il deterioramento della situazione dei diritti umani, in particolare in Papua e nella Papua occidentale, anche attraverso il dialogo UE-Indonesia sui diritti umani;</w:t>
      </w:r>
    </w:p>
    <w:p w14:paraId="5751E958" w14:textId="77777777" w:rsidR="00733B0D" w:rsidRPr="005456AA" w:rsidRDefault="00733B0D" w:rsidP="00733B0D">
      <w:pPr>
        <w:pStyle w:val="NormalHanging12a"/>
      </w:pPr>
      <w:r w:rsidRPr="005456AA">
        <w:t>6.</w:t>
      </w:r>
      <w:r w:rsidRPr="005456AA">
        <w:tab/>
        <w:t>sottolinea il ruolo dell'Indonesia quale partner strategico dell'UE e interlocutore chiave nella risposta alle sfide regionali, che vanno dalla sicurezza economica e dal degrado ambientale alla sicurezza regionale e alla libertà di navigazione; chiede che l'UE faccia rispettare gli impegni in materia di diritti umani, lavoro e ambiente in tutte le sue relazioni con l'Indonesia; invita la Commissione a finanziare la protezione dei difensori dei diritti umani; sottolinea l'importanza di applicare un rigoroso dovere di diligenza nella catena di approvvigionamento;</w:t>
      </w:r>
    </w:p>
    <w:p w14:paraId="7C71B134" w14:textId="1D4D6ADD" w:rsidR="00BA037B" w:rsidRPr="005456AA" w:rsidRDefault="00733B0D" w:rsidP="00BA037B">
      <w:pPr>
        <w:pStyle w:val="NormalHanging12a"/>
      </w:pPr>
      <w:r w:rsidRPr="005456AA">
        <w:t>7.</w:t>
      </w:r>
      <w:r w:rsidRPr="005456AA">
        <w:tab/>
        <w:t>incarica la sua Presidente di trasmettere la presente risoluzione al Consiglio, alla Commissione, alla VP</w:t>
      </w:r>
      <w:r w:rsidR="00B32818" w:rsidRPr="005456AA">
        <w:t> </w:t>
      </w:r>
      <w:r w:rsidRPr="005456AA">
        <w:t>/</w:t>
      </w:r>
      <w:r w:rsidR="00B32818" w:rsidRPr="005456AA">
        <w:t> </w:t>
      </w:r>
      <w:r w:rsidRPr="005456AA">
        <w:t>AR e agli Stati membri dell'UE nonché al governo e al parlamento dell'Indonesia.</w:t>
      </w:r>
    </w:p>
    <w:p w14:paraId="30A808BC" w14:textId="77777777" w:rsidR="00E365E1" w:rsidRPr="005456AA" w:rsidRDefault="00E365E1" w:rsidP="00197C53"/>
    <w:sectPr w:rsidR="00E365E1" w:rsidRPr="005456AA" w:rsidSect="00BA037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ED898F" w14:textId="77777777" w:rsidR="00197C53" w:rsidRPr="00BA037B" w:rsidRDefault="00197C53">
      <w:r w:rsidRPr="00BA037B">
        <w:separator/>
      </w:r>
    </w:p>
  </w:endnote>
  <w:endnote w:type="continuationSeparator" w:id="0">
    <w:p w14:paraId="53623D07" w14:textId="77777777" w:rsidR="00197C53" w:rsidRPr="00BA037B" w:rsidRDefault="00197C53">
      <w:r w:rsidRPr="00BA037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1EFB5" w14:textId="77777777" w:rsidR="00064002" w:rsidRPr="00BA037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D43C7" w14:textId="77777777" w:rsidR="00064002" w:rsidRPr="00BA037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E90DE" w14:textId="77777777" w:rsidR="00064002" w:rsidRPr="00BA037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43DE3E" w14:textId="77777777" w:rsidR="00197C53" w:rsidRPr="00BA037B" w:rsidRDefault="00197C53">
      <w:r w:rsidRPr="00BA037B">
        <w:separator/>
      </w:r>
    </w:p>
  </w:footnote>
  <w:footnote w:type="continuationSeparator" w:id="0">
    <w:p w14:paraId="4D5D551E" w14:textId="77777777" w:rsidR="00197C53" w:rsidRPr="00BA037B" w:rsidRDefault="00197C53">
      <w:r w:rsidRPr="00BA037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51791" w14:textId="77777777" w:rsidR="00064002" w:rsidRPr="00BA037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1A587" w14:textId="77777777" w:rsidR="00064002" w:rsidRPr="00BA037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1DEE1" w14:textId="77777777" w:rsidR="00064002" w:rsidRPr="00BA037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39672518">
    <w:abstractNumId w:val="9"/>
  </w:num>
  <w:num w:numId="2" w16cid:durableId="680622607">
    <w:abstractNumId w:val="9"/>
  </w:num>
  <w:num w:numId="3" w16cid:durableId="37707943">
    <w:abstractNumId w:val="7"/>
  </w:num>
  <w:num w:numId="4" w16cid:durableId="1358315621">
    <w:abstractNumId w:val="7"/>
  </w:num>
  <w:num w:numId="5" w16cid:durableId="787509102">
    <w:abstractNumId w:val="6"/>
  </w:num>
  <w:num w:numId="6" w16cid:durableId="1570581562">
    <w:abstractNumId w:val="6"/>
  </w:num>
  <w:num w:numId="7" w16cid:durableId="731080493">
    <w:abstractNumId w:val="5"/>
  </w:num>
  <w:num w:numId="8" w16cid:durableId="521672163">
    <w:abstractNumId w:val="5"/>
  </w:num>
  <w:num w:numId="9" w16cid:durableId="2105690554">
    <w:abstractNumId w:val="4"/>
  </w:num>
  <w:num w:numId="10" w16cid:durableId="1863012760">
    <w:abstractNumId w:val="4"/>
  </w:num>
  <w:num w:numId="11" w16cid:durableId="1682505794">
    <w:abstractNumId w:val="8"/>
  </w:num>
  <w:num w:numId="12" w16cid:durableId="1552421010">
    <w:abstractNumId w:val="8"/>
  </w:num>
  <w:num w:numId="13" w16cid:durableId="611520838">
    <w:abstractNumId w:val="3"/>
  </w:num>
  <w:num w:numId="14" w16cid:durableId="7799194">
    <w:abstractNumId w:val="3"/>
  </w:num>
  <w:num w:numId="15" w16cid:durableId="28654833">
    <w:abstractNumId w:val="2"/>
  </w:num>
  <w:num w:numId="16" w16cid:durableId="1887251348">
    <w:abstractNumId w:val="2"/>
  </w:num>
  <w:num w:numId="17" w16cid:durableId="763652389">
    <w:abstractNumId w:val="1"/>
  </w:num>
  <w:num w:numId="18" w16cid:durableId="1522472896">
    <w:abstractNumId w:val="1"/>
  </w:num>
  <w:num w:numId="19" w16cid:durableId="875200218">
    <w:abstractNumId w:val="0"/>
  </w:num>
  <w:num w:numId="20" w16cid:durableId="2129469221">
    <w:abstractNumId w:val="0"/>
  </w:num>
  <w:num w:numId="21" w16cid:durableId="1123692750">
    <w:abstractNumId w:val="9"/>
  </w:num>
  <w:num w:numId="22" w16cid:durableId="1700276710">
    <w:abstractNumId w:val="7"/>
  </w:num>
  <w:num w:numId="23" w16cid:durableId="42797893">
    <w:abstractNumId w:val="6"/>
  </w:num>
  <w:num w:numId="24" w16cid:durableId="801313326">
    <w:abstractNumId w:val="5"/>
  </w:num>
  <w:num w:numId="25" w16cid:durableId="1057701414">
    <w:abstractNumId w:val="4"/>
  </w:num>
  <w:num w:numId="26" w16cid:durableId="2003699185">
    <w:abstractNumId w:val="8"/>
  </w:num>
  <w:num w:numId="27" w16cid:durableId="459954982">
    <w:abstractNumId w:val="3"/>
  </w:num>
  <w:num w:numId="28" w16cid:durableId="323052170">
    <w:abstractNumId w:val="2"/>
  </w:num>
  <w:num w:numId="29" w16cid:durableId="754202177">
    <w:abstractNumId w:val="1"/>
  </w:num>
  <w:num w:numId="30" w16cid:durableId="1847359253">
    <w:abstractNumId w:val="0"/>
  </w:num>
  <w:num w:numId="31" w16cid:durableId="1594432747">
    <w:abstractNumId w:val="9"/>
  </w:num>
  <w:num w:numId="32" w16cid:durableId="533419528">
    <w:abstractNumId w:val="7"/>
  </w:num>
  <w:num w:numId="33" w16cid:durableId="1757240091">
    <w:abstractNumId w:val="6"/>
  </w:num>
  <w:num w:numId="34" w16cid:durableId="1375618990">
    <w:abstractNumId w:val="5"/>
  </w:num>
  <w:num w:numId="35" w16cid:durableId="1742094493">
    <w:abstractNumId w:val="4"/>
  </w:num>
  <w:num w:numId="36" w16cid:durableId="1845590900">
    <w:abstractNumId w:val="8"/>
  </w:num>
  <w:num w:numId="37" w16cid:durableId="1616056921">
    <w:abstractNumId w:val="3"/>
  </w:num>
  <w:num w:numId="38" w16cid:durableId="1829469350">
    <w:abstractNumId w:val="2"/>
  </w:num>
  <w:num w:numId="39" w16cid:durableId="1866286542">
    <w:abstractNumId w:val="1"/>
  </w:num>
  <w:num w:numId="40" w16cid:durableId="1007319524">
    <w:abstractNumId w:val="0"/>
  </w:num>
  <w:num w:numId="41" w16cid:durableId="668751672">
    <w:abstractNumId w:val="10"/>
  </w:num>
  <w:num w:numId="42" w16cid:durableId="1553885045">
    <w:abstractNumId w:val="10"/>
  </w:num>
  <w:num w:numId="43" w16cid:durableId="1667897051">
    <w:abstractNumId w:val="10"/>
  </w:num>
  <w:num w:numId="44" w16cid:durableId="147968450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248/2026"/>
    <w:docVar w:name="dvlangue" w:val="IT"/>
    <w:docVar w:name="dvnumam" w:val="0"/>
    <w:docVar w:name="dvpe" w:val="783.291"/>
    <w:docVar w:name="dvtitre" w:val="Risoluzione del Parlamento europeo del 21 maggio 2026 sui casi dei difensori dei diritti umani e dell'ambiente Andrie Yunus e Muhammad Rosidi in Indonesia(2026/2738(RSP))"/>
  </w:docVars>
  <w:rsids>
    <w:rsidRoot w:val="00197C5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7C53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6AA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3B0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2818"/>
    <w:rsid w:val="00B558F0"/>
    <w:rsid w:val="00BA037B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2F8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4A89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665593"/>
  <w15:chartTrackingRefBased/>
  <w15:docId w15:val="{BE210954-03E9-48DC-9D16-A59A39B62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733B0D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733B0D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733B0D"/>
    <w:rPr>
      <w:sz w:val="24"/>
      <w:lang w:val="it-IT"/>
    </w:rPr>
  </w:style>
  <w:style w:type="character" w:customStyle="1" w:styleId="EPCommaChar">
    <w:name w:val="EPComma Char"/>
    <w:basedOn w:val="DefaultParagraphFont"/>
    <w:link w:val="EPComma"/>
    <w:rsid w:val="00733B0D"/>
    <w:rPr>
      <w:sz w:val="24"/>
      <w:lang w:val="it-IT"/>
    </w:rPr>
  </w:style>
  <w:style w:type="paragraph" w:styleId="Revision">
    <w:name w:val="Revision"/>
    <w:hidden/>
    <w:uiPriority w:val="99"/>
    <w:semiHidden/>
    <w:rsid w:val="00F54A89"/>
    <w:rPr>
      <w:sz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644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CL1</dc:creator>
  <cp:keywords/>
  <cp:lastModifiedBy>CL</cp:lastModifiedBy>
  <cp:revision>2</cp:revision>
  <cp:lastPrinted>2004-11-19T15:42:00Z</cp:lastPrinted>
  <dcterms:created xsi:type="dcterms:W3CDTF">2026-05-21T11:58:00Z</dcterms:created>
  <dcterms:modified xsi:type="dcterms:W3CDTF">2026-05-21T11:58:00Z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B10-0248/2026</vt:lpwstr>
  </property>
  <property fmtid="{D5CDD505-2E9C-101B-9397-08002B2CF9AE}" pid="4" name="&lt;Type&gt;">
    <vt:lpwstr>RR</vt:lpwstr>
  </property>
</Properties>
</file>