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359C" w14:paraId="30171A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98F707" w14:textId="77777777" w:rsidR="00751A4A" w:rsidRPr="002B359C" w:rsidRDefault="00EF79F5" w:rsidP="0010095E">
            <w:pPr>
              <w:pStyle w:val="EPName"/>
            </w:pPr>
            <w:r w:rsidRPr="002B359C">
              <w:t>Parlament Europejski</w:t>
            </w:r>
          </w:p>
          <w:p w14:paraId="35498D01" w14:textId="77777777" w:rsidR="00751A4A" w:rsidRPr="002B35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359C">
              <w:t>2024</w:t>
            </w:r>
            <w:r w:rsidR="00817416" w:rsidRPr="002B359C">
              <w:t>-202</w:t>
            </w:r>
            <w:r w:rsidRPr="002B359C">
              <w:t>9</w:t>
            </w:r>
          </w:p>
        </w:tc>
        <w:tc>
          <w:tcPr>
            <w:tcW w:w="2268" w:type="dxa"/>
            <w:shd w:val="clear" w:color="auto" w:fill="auto"/>
          </w:tcPr>
          <w:p w14:paraId="61B32173" w14:textId="77777777" w:rsidR="00751A4A" w:rsidRPr="002B359C" w:rsidRDefault="00187494" w:rsidP="0010095E">
            <w:pPr>
              <w:pStyle w:val="EPLogo"/>
            </w:pPr>
            <w:r w:rsidRPr="002B359C">
              <w:rPr>
                <w:noProof/>
                <w:lang w:eastAsia="ja-JP"/>
              </w:rPr>
              <w:drawing>
                <wp:inline distT="0" distB="0" distL="0" distR="0" wp14:anchorId="129470EF" wp14:editId="63BD2E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62BB5E" w14:textId="77777777" w:rsidR="00D058B8" w:rsidRPr="002B359C" w:rsidRDefault="00D058B8" w:rsidP="004C5D52">
      <w:pPr>
        <w:pStyle w:val="LineTop"/>
      </w:pPr>
    </w:p>
    <w:p w14:paraId="43BAA957" w14:textId="77777777" w:rsidR="00680577" w:rsidRPr="002B359C" w:rsidRDefault="00EF79F5" w:rsidP="00680577">
      <w:pPr>
        <w:pStyle w:val="EPBodyTA1"/>
      </w:pPr>
      <w:r w:rsidRPr="002B359C">
        <w:t>TEKSTY PRZYJĘTE</w:t>
      </w:r>
    </w:p>
    <w:p w14:paraId="6AFF3E2E" w14:textId="77777777" w:rsidR="00D058B8" w:rsidRPr="002B359C" w:rsidRDefault="00D058B8" w:rsidP="00D058B8">
      <w:pPr>
        <w:pStyle w:val="LineBottom"/>
      </w:pPr>
    </w:p>
    <w:p w14:paraId="5D014C44" w14:textId="0916FABB" w:rsidR="00EF79F5" w:rsidRPr="002B359C" w:rsidRDefault="00EF79F5" w:rsidP="00EF79F5">
      <w:pPr>
        <w:pStyle w:val="ATHeading1"/>
      </w:pPr>
      <w:bookmarkStart w:id="0" w:name="TANumber"/>
      <w:r w:rsidRPr="002B359C">
        <w:t>P10_TA(2026)0</w:t>
      </w:r>
      <w:bookmarkEnd w:id="0"/>
      <w:r w:rsidR="00262719">
        <w:t>187</w:t>
      </w:r>
    </w:p>
    <w:p w14:paraId="15D7B9BA" w14:textId="5F3F63C7" w:rsidR="00EF79F5" w:rsidRPr="002B359C" w:rsidRDefault="00A9423C" w:rsidP="00A9423C">
      <w:pPr>
        <w:pStyle w:val="ATHeading2"/>
      </w:pPr>
      <w:r w:rsidRPr="00A9423C">
        <w:rPr>
          <w:bCs/>
        </w:rPr>
        <w:t xml:space="preserve">Przypadki obrońców praw człowieka i środowiska </w:t>
      </w:r>
      <w:proofErr w:type="spellStart"/>
      <w:r w:rsidRPr="00A9423C">
        <w:rPr>
          <w:bCs/>
        </w:rPr>
        <w:t>Andriego</w:t>
      </w:r>
      <w:proofErr w:type="spellEnd"/>
      <w:r w:rsidRPr="00A9423C">
        <w:rPr>
          <w:bCs/>
        </w:rPr>
        <w:t xml:space="preserve"> </w:t>
      </w:r>
      <w:proofErr w:type="spellStart"/>
      <w:r w:rsidRPr="00A9423C">
        <w:rPr>
          <w:bCs/>
        </w:rPr>
        <w:t>Yunusa</w:t>
      </w:r>
      <w:proofErr w:type="spellEnd"/>
      <w:r w:rsidRPr="00A9423C">
        <w:rPr>
          <w:bCs/>
        </w:rPr>
        <w:t xml:space="preserve"> i Muhammada </w:t>
      </w:r>
      <w:proofErr w:type="spellStart"/>
      <w:r w:rsidRPr="00A9423C">
        <w:rPr>
          <w:bCs/>
        </w:rPr>
        <w:t>Rosidiego</w:t>
      </w:r>
      <w:proofErr w:type="spellEnd"/>
      <w:r w:rsidRPr="00A9423C">
        <w:rPr>
          <w:bCs/>
        </w:rPr>
        <w:t xml:space="preserve"> w</w:t>
      </w:r>
      <w:r>
        <w:rPr>
          <w:bCs/>
        </w:rPr>
        <w:t xml:space="preserve"> </w:t>
      </w:r>
      <w:r w:rsidRPr="00A9423C">
        <w:rPr>
          <w:bCs/>
        </w:rPr>
        <w:t>Indonezji</w:t>
      </w:r>
    </w:p>
    <w:p w14:paraId="0FFCD310" w14:textId="2D565518" w:rsidR="00EF79F5" w:rsidRPr="002B359C" w:rsidRDefault="00EF79F5" w:rsidP="00EF79F5">
      <w:pPr>
        <w:rPr>
          <w:i/>
          <w:vanish/>
        </w:rPr>
      </w:pPr>
      <w:r w:rsidRPr="002B359C">
        <w:rPr>
          <w:i/>
        </w:rPr>
        <w:fldChar w:fldCharType="begin"/>
      </w:r>
      <w:r w:rsidRPr="002B359C">
        <w:rPr>
          <w:i/>
        </w:rPr>
        <w:instrText xml:space="preserve"> TC"(</w:instrText>
      </w:r>
      <w:bookmarkStart w:id="1" w:name="DocNumber"/>
      <w:r w:rsidR="00A9423C" w:rsidRPr="001252F6">
        <w:rPr>
          <w:i/>
        </w:rPr>
        <w:instrText>B10-0248</w:instrText>
      </w:r>
      <w:r w:rsidR="00A9423C">
        <w:rPr>
          <w:i/>
        </w:rPr>
        <w:instrText>, 0250, 0256, 0257 oraz 0264</w:instrText>
      </w:r>
      <w:r w:rsidR="00A9423C" w:rsidRPr="001252F6">
        <w:rPr>
          <w:i/>
        </w:rPr>
        <w:instrText>/2026</w:instrText>
      </w:r>
      <w:bookmarkEnd w:id="1"/>
      <w:r w:rsidRPr="002B359C">
        <w:rPr>
          <w:i/>
        </w:rPr>
        <w:instrText xml:space="preserve">)"\l3 \n&gt; \* MERGEFORMAT </w:instrText>
      </w:r>
      <w:r w:rsidRPr="002B359C">
        <w:rPr>
          <w:i/>
        </w:rPr>
        <w:fldChar w:fldCharType="end"/>
      </w:r>
    </w:p>
    <w:p w14:paraId="7139D305" w14:textId="77777777" w:rsidR="00EF79F5" w:rsidRPr="002B359C" w:rsidRDefault="00EF79F5" w:rsidP="00EF79F5">
      <w:pPr>
        <w:rPr>
          <w:vanish/>
        </w:rPr>
      </w:pPr>
      <w:bookmarkStart w:id="2" w:name="PE"/>
      <w:r w:rsidRPr="002B359C">
        <w:rPr>
          <w:vanish/>
        </w:rPr>
        <w:t>PE783.291</w:t>
      </w:r>
      <w:bookmarkEnd w:id="2"/>
    </w:p>
    <w:p w14:paraId="52614839" w14:textId="39CA3F19" w:rsidR="00EF79F5" w:rsidRPr="002B359C" w:rsidRDefault="00EF79F5" w:rsidP="00EF79F5">
      <w:pPr>
        <w:pStyle w:val="ATHeading3"/>
      </w:pPr>
      <w:bookmarkStart w:id="3" w:name="Sujet"/>
      <w:r w:rsidRPr="002B359C">
        <w:t xml:space="preserve">Rezolucja Parlamentu Europejskiego z dnia </w:t>
      </w:r>
      <w:r w:rsidR="00A9423C">
        <w:t>21 maja</w:t>
      </w:r>
      <w:r w:rsidRPr="002B359C">
        <w:t xml:space="preserve"> 2026 r. w sprawie przypadków obrońców praw człowieka i środowiska </w:t>
      </w:r>
      <w:proofErr w:type="spellStart"/>
      <w:r w:rsidRPr="002B359C">
        <w:t>Andriego</w:t>
      </w:r>
      <w:proofErr w:type="spellEnd"/>
      <w:r w:rsidRPr="002B359C">
        <w:t xml:space="preserve"> </w:t>
      </w:r>
      <w:proofErr w:type="spellStart"/>
      <w:r w:rsidRPr="002B359C">
        <w:t>Yunusa</w:t>
      </w:r>
      <w:proofErr w:type="spellEnd"/>
      <w:r w:rsidRPr="002B359C">
        <w:t xml:space="preserve"> i Muhammada </w:t>
      </w:r>
      <w:proofErr w:type="spellStart"/>
      <w:r w:rsidRPr="002B359C">
        <w:t>Rosidiego</w:t>
      </w:r>
      <w:proofErr w:type="spellEnd"/>
      <w:r w:rsidRPr="002B359C">
        <w:t xml:space="preserve"> w Indonezji</w:t>
      </w:r>
      <w:bookmarkEnd w:id="3"/>
      <w:r w:rsidRPr="002B359C">
        <w:t xml:space="preserve"> </w:t>
      </w:r>
      <w:bookmarkStart w:id="4" w:name="References"/>
      <w:r w:rsidRPr="002B359C">
        <w:t>(2026/2738(RSP))</w:t>
      </w:r>
      <w:bookmarkEnd w:id="4"/>
    </w:p>
    <w:p w14:paraId="4F993D5E" w14:textId="77777777" w:rsidR="00C51FEA" w:rsidRPr="002B359C" w:rsidRDefault="00C51FEA" w:rsidP="00C51FEA">
      <w:pPr>
        <w:pStyle w:val="EPComma"/>
      </w:pPr>
      <w:bookmarkStart w:id="5" w:name="TextBodyBegin"/>
      <w:bookmarkEnd w:id="5"/>
      <w:r w:rsidRPr="002B359C">
        <w:rPr>
          <w:i/>
        </w:rPr>
        <w:t>Parlament Europejski</w:t>
      </w:r>
      <w:r w:rsidRPr="002B359C">
        <w:t>,</w:t>
      </w:r>
    </w:p>
    <w:p w14:paraId="44D42952" w14:textId="77777777" w:rsidR="00C51FEA" w:rsidRPr="002B359C" w:rsidRDefault="00C51FEA" w:rsidP="00C51FEA">
      <w:pPr>
        <w:pStyle w:val="NormalHanging12a"/>
      </w:pPr>
      <w:r w:rsidRPr="002B359C">
        <w:t>–</w:t>
      </w:r>
      <w:r w:rsidRPr="002B359C">
        <w:tab/>
        <w:t>uwzględniając swoje wcześniejsze rezolucje w sprawie Indonezji,</w:t>
      </w:r>
    </w:p>
    <w:p w14:paraId="1A421764" w14:textId="77777777" w:rsidR="00C51FEA" w:rsidRPr="002B359C" w:rsidRDefault="00C51FEA" w:rsidP="00C51FEA">
      <w:pPr>
        <w:pStyle w:val="NormalHanging12a"/>
      </w:pPr>
      <w:r w:rsidRPr="002B359C">
        <w:t>–</w:t>
      </w:r>
      <w:r w:rsidRPr="002B359C">
        <w:tab/>
        <w:t>uwzględniając art. 150 ust. 5 i art. 136 ust. 4 Regulaminu,</w:t>
      </w:r>
    </w:p>
    <w:p w14:paraId="748820AE" w14:textId="77777777" w:rsidR="00C51FEA" w:rsidRPr="002B359C" w:rsidRDefault="00C51FEA" w:rsidP="00C51FEA">
      <w:pPr>
        <w:pStyle w:val="NormalHanging12a"/>
      </w:pPr>
      <w:r w:rsidRPr="002B359C">
        <w:t>A.</w:t>
      </w:r>
      <w:r w:rsidRPr="002B359C">
        <w:tab/>
        <w:t xml:space="preserve">mając na uwadze, że w marcu 2026 r. </w:t>
      </w:r>
      <w:proofErr w:type="spellStart"/>
      <w:r w:rsidRPr="002B359C">
        <w:t>Andrie</w:t>
      </w:r>
      <w:proofErr w:type="spellEnd"/>
      <w:r w:rsidRPr="002B359C">
        <w:t xml:space="preserve"> </w:t>
      </w:r>
      <w:proofErr w:type="spellStart"/>
      <w:r w:rsidRPr="002B359C">
        <w:t>Yunus</w:t>
      </w:r>
      <w:proofErr w:type="spellEnd"/>
      <w:r w:rsidRPr="002B359C">
        <w:t>, przedstawiciel Komisji ds. Osób Zaginionych i Ofiar Przemocy (</w:t>
      </w:r>
      <w:proofErr w:type="spellStart"/>
      <w:r w:rsidRPr="002B359C">
        <w:t>KontraS</w:t>
      </w:r>
      <w:proofErr w:type="spellEnd"/>
      <w:r w:rsidRPr="002B359C">
        <w:t xml:space="preserve">), został zaatakowany kwasem w Dżakarcie po nagraniu </w:t>
      </w:r>
      <w:proofErr w:type="spellStart"/>
      <w:r w:rsidRPr="002B359C">
        <w:t>podcastu</w:t>
      </w:r>
      <w:proofErr w:type="spellEnd"/>
      <w:r w:rsidRPr="002B359C">
        <w:t xml:space="preserve"> na temat remilitaryzacji i kontroli sądowej w Indonezji; mając na uwadze, że przed sądem wojskowym postawiono czterech agentów indonezyjskiego wywiadu strategicznego pomimo wiarygodnych ustaleń wskazujących na udział dodatkowych sprawców i możliwość istnienia łańcuchów dowodzenia; mając na uwadze, że istnieją obawy, iż sprawa zostanie przeniesiona z jurysdykcji cywilnej do wojskowej;</w:t>
      </w:r>
    </w:p>
    <w:p w14:paraId="255AACBF" w14:textId="77777777" w:rsidR="00C51FEA" w:rsidRPr="002B359C" w:rsidRDefault="00C51FEA" w:rsidP="00C51FEA">
      <w:pPr>
        <w:pStyle w:val="NormalHanging12a"/>
      </w:pPr>
      <w:r w:rsidRPr="002B359C">
        <w:t>B.</w:t>
      </w:r>
      <w:r w:rsidRPr="002B359C">
        <w:tab/>
        <w:t xml:space="preserve">mając na uwadze, że aktywista środowiskowy Muhammad </w:t>
      </w:r>
      <w:proofErr w:type="spellStart"/>
      <w:r w:rsidRPr="002B359C">
        <w:t>Rosidi</w:t>
      </w:r>
      <w:proofErr w:type="spellEnd"/>
      <w:r w:rsidRPr="002B359C">
        <w:t>, działający przeciwko nielegalnemu wydobyciu i przemytowi cyny, również padł ofiarą ataku kwasem w lutym 2026 r.;</w:t>
      </w:r>
    </w:p>
    <w:p w14:paraId="22A1E6D7" w14:textId="77777777" w:rsidR="00C51FEA" w:rsidRPr="002B359C" w:rsidRDefault="00C51FEA" w:rsidP="00C51FEA">
      <w:pPr>
        <w:pStyle w:val="NormalHanging12a"/>
      </w:pPr>
      <w:r w:rsidRPr="002B359C">
        <w:t>C.</w:t>
      </w:r>
      <w:r w:rsidRPr="002B359C">
        <w:tab/>
        <w:t>mając na uwadze, że przestrzeń społeczeństwa obywatelskiego w Indonezji kurczy się, a w Papui i Papui Zachodniej nasilają się represje wobec obrońców praw człowieka, dziennikarzy, działaczy związkowych, studentów i działaczy na rzecz ochrony środowiska, a także dyskryminacja mniejszości, tłumienie krytyki i przemoc; mając na uwadze, że niedawne reformy prawodawstwa rozszerzają uprawnienia wojskowe na sektory cywilne, w tym za pośrednictwem sądów wojskowych, podważają nadzór cywilny, ograniczają podstawowe wolności i grożą umocnieniem bezkarności;</w:t>
      </w:r>
    </w:p>
    <w:p w14:paraId="38219C93" w14:textId="77777777" w:rsidR="00C51FEA" w:rsidRPr="002B359C" w:rsidRDefault="00C51FEA" w:rsidP="00C51FEA">
      <w:pPr>
        <w:pStyle w:val="NormalHanging12a"/>
      </w:pPr>
      <w:r w:rsidRPr="002B359C">
        <w:t>D.</w:t>
      </w:r>
      <w:r w:rsidRPr="002B359C">
        <w:tab/>
        <w:t xml:space="preserve">mając na uwadze, że Indonezja pozostaje jednym ze strategicznych partnerów UE w regionie </w:t>
      </w:r>
      <w:proofErr w:type="spellStart"/>
      <w:r w:rsidRPr="002B359C">
        <w:t>Indo</w:t>
      </w:r>
      <w:proofErr w:type="spellEnd"/>
      <w:r w:rsidRPr="002B359C">
        <w:t>-Pacyfiku i ważnym podmiotem wspierającym bezpieczeństwo regionalne;</w:t>
      </w:r>
    </w:p>
    <w:p w14:paraId="7C807E67" w14:textId="77777777" w:rsidR="00C51FEA" w:rsidRPr="002B359C" w:rsidRDefault="00C51FEA" w:rsidP="00C51FEA">
      <w:pPr>
        <w:pStyle w:val="NormalHanging12a"/>
      </w:pPr>
      <w:r w:rsidRPr="002B359C">
        <w:lastRenderedPageBreak/>
        <w:t>1.</w:t>
      </w:r>
      <w:r w:rsidRPr="002B359C">
        <w:tab/>
        <w:t xml:space="preserve">wyraża poważne zaniepokojenie atakami na </w:t>
      </w:r>
      <w:proofErr w:type="spellStart"/>
      <w:r w:rsidRPr="002B359C">
        <w:t>Andriego</w:t>
      </w:r>
      <w:proofErr w:type="spellEnd"/>
      <w:r w:rsidRPr="002B359C">
        <w:t xml:space="preserve"> </w:t>
      </w:r>
      <w:proofErr w:type="spellStart"/>
      <w:r w:rsidRPr="002B359C">
        <w:t>Yunusa</w:t>
      </w:r>
      <w:proofErr w:type="spellEnd"/>
      <w:r w:rsidRPr="002B359C">
        <w:t xml:space="preserve"> i Muhammada </w:t>
      </w:r>
      <w:proofErr w:type="spellStart"/>
      <w:r w:rsidRPr="002B359C">
        <w:t>Rosidiego</w:t>
      </w:r>
      <w:proofErr w:type="spellEnd"/>
      <w:r w:rsidRPr="002B359C">
        <w:t xml:space="preserve"> oraz szerszym schematem przemocy wobec obrońców praw człowieka i środowiska w Indonezji; podkreśla zagrożenia, na jakie narażeni są obrońcy środowiska w Indonezji, zwłaszcza ci, którzy ujawniają nielegalną działalność wydobywczą;</w:t>
      </w:r>
    </w:p>
    <w:p w14:paraId="687E2ECD" w14:textId="77777777" w:rsidR="00C51FEA" w:rsidRPr="002B359C" w:rsidRDefault="00C51FEA" w:rsidP="00C51FEA">
      <w:pPr>
        <w:pStyle w:val="NormalHanging12a"/>
      </w:pPr>
      <w:r w:rsidRPr="002B359C">
        <w:t>2.</w:t>
      </w:r>
      <w:r w:rsidRPr="002B359C">
        <w:tab/>
        <w:t>wzywa władze do przeprowadzenia szybkiego, dokładnego, przejrzystego i niezależnego dochodzenia w sprawie obu ataków oraz do osądzenia w sądach cywilnych wszystkich osób naruszających prawa człowieka, w tym podżegaczy, aby położyć kres bezkarności;</w:t>
      </w:r>
    </w:p>
    <w:p w14:paraId="4BD65234" w14:textId="77777777" w:rsidR="00C51FEA" w:rsidRPr="002B359C" w:rsidRDefault="00C51FEA" w:rsidP="00C51FEA">
      <w:pPr>
        <w:pStyle w:val="NormalHanging12a"/>
      </w:pPr>
      <w:r w:rsidRPr="002B359C">
        <w:t>3.</w:t>
      </w:r>
      <w:r w:rsidRPr="002B359C">
        <w:tab/>
        <w:t xml:space="preserve">jest głęboko zaniepokojony planami rządowymi, które grożą dalszym ograniczeniem wolności wypowiedzi, w tym projektami ustaw o dezinformacji, radiofonii i telewizji oraz </w:t>
      </w:r>
      <w:proofErr w:type="spellStart"/>
      <w:r w:rsidRPr="002B359C">
        <w:t>cyberbezpieczeństwie</w:t>
      </w:r>
      <w:proofErr w:type="spellEnd"/>
      <w:r w:rsidRPr="002B359C">
        <w:t>, a także planami monitorowania i certyfikacji obrońców praw człowieka w celu określenia, kto kwalifikuje się do ochrony prawnej;</w:t>
      </w:r>
    </w:p>
    <w:p w14:paraId="781C65A9" w14:textId="77777777" w:rsidR="00C51FEA" w:rsidRPr="002B359C" w:rsidRDefault="00C51FEA" w:rsidP="00C51FEA">
      <w:pPr>
        <w:pStyle w:val="NormalHanging12a"/>
      </w:pPr>
      <w:r w:rsidRPr="002B359C">
        <w:t>4.</w:t>
      </w:r>
      <w:r w:rsidRPr="002B359C">
        <w:tab/>
        <w:t>wzywa Indonezję do ponownego rozważenia i istotnej zmiany represyjnych przepisów oraz do zagwarantowania bezpiecznego środowiska dla obrońców praw człowieka, aktywistów środowiskowych, związków zawodowych i dziennikarzy, wolnego od inwigilacji, nękania i represji;</w:t>
      </w:r>
    </w:p>
    <w:p w14:paraId="7474FD40" w14:textId="77777777" w:rsidR="00C51FEA" w:rsidRPr="002B359C" w:rsidRDefault="00C51FEA" w:rsidP="00C51FEA">
      <w:pPr>
        <w:pStyle w:val="NormalHanging12a"/>
      </w:pPr>
      <w:r w:rsidRPr="002B359C">
        <w:t>5.</w:t>
      </w:r>
      <w:r w:rsidRPr="002B359C">
        <w:tab/>
        <w:t>wzywa UE i państwa członkowskie do zintensyfikowania współpracy z Indonezją, w tym na najwyższym szczeblu i na forach międzynarodowych, tak aby zaradzić pogarszającej się sytuacji w zakresie praw człowieka, zwłaszcza w Papui i Papui Zachodniej, w tym w ramach dialogu UE–Indonezja na temat praw człowieka;</w:t>
      </w:r>
    </w:p>
    <w:p w14:paraId="47248001" w14:textId="77777777" w:rsidR="00C51FEA" w:rsidRPr="002B359C" w:rsidRDefault="00C51FEA" w:rsidP="00C51FEA">
      <w:pPr>
        <w:pStyle w:val="NormalHanging12a"/>
      </w:pPr>
      <w:r w:rsidRPr="002B359C">
        <w:t>6.</w:t>
      </w:r>
      <w:r w:rsidRPr="002B359C">
        <w:tab/>
        <w:t>podkreśla rolę Indonezji jako strategicznego partnera UE i kluczowego partnera w stawianiu czoła wyzwaniom regionalnym – od bezpieczeństwa gospodarczego i degradacji środowiska po bezpieczeństwo regionalne i wolność żeglugi; wzywa UE do egzekwowania zobowiązań w zakresie praw człowieka, pracy i ochrony środowiska we wszystkich aspektach stosunków z Indonezją; wzywa Komisję do finansowania ochrony obrońców praw człowieka; podkreśla znaczenie należytej staranności w łańcuchu dostaw;</w:t>
      </w:r>
    </w:p>
    <w:p w14:paraId="5E4F74A9" w14:textId="09DDC19E" w:rsidR="002B359C" w:rsidRPr="002B359C" w:rsidRDefault="00C51FEA" w:rsidP="002B359C">
      <w:pPr>
        <w:pStyle w:val="NormalHanging12a"/>
      </w:pPr>
      <w:r w:rsidRPr="002B359C">
        <w:t>7.</w:t>
      </w:r>
      <w:r w:rsidRPr="002B359C">
        <w:tab/>
        <w:t>zobowiązuje swoją przewodniczącą do przekazania niniejszej rezolucji Radzie, Komisji, wiceprzewodniczącej Komisji / wysokiej przedstawicielce Unii do spraw zagranicznych i polityki bezpieczeństwa, państwom członkowskim UE oraz rządowi i parlamentowi Indonezji.</w:t>
      </w:r>
    </w:p>
    <w:p w14:paraId="642A6382" w14:textId="078D128F" w:rsidR="00E365E1" w:rsidRPr="002B359C" w:rsidRDefault="00E365E1" w:rsidP="00EF79F5"/>
    <w:sectPr w:rsidR="00E365E1" w:rsidRPr="002B359C" w:rsidSect="002B35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0897" w14:textId="77777777" w:rsidR="00EF79F5" w:rsidRPr="002B359C" w:rsidRDefault="00EF79F5">
      <w:r w:rsidRPr="002B359C">
        <w:separator/>
      </w:r>
    </w:p>
  </w:endnote>
  <w:endnote w:type="continuationSeparator" w:id="0">
    <w:p w14:paraId="3B83D3D4" w14:textId="77777777" w:rsidR="00EF79F5" w:rsidRPr="002B359C" w:rsidRDefault="00EF79F5">
      <w:r w:rsidRPr="002B35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0131" w14:textId="77777777" w:rsidR="00064002" w:rsidRPr="002B35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3412F" w14:textId="77777777" w:rsidR="00064002" w:rsidRPr="002B35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4BE72" w14:textId="77777777" w:rsidR="00064002" w:rsidRPr="002B35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17089" w14:textId="77777777" w:rsidR="00EF79F5" w:rsidRPr="002B359C" w:rsidRDefault="00EF79F5">
      <w:r w:rsidRPr="002B359C">
        <w:separator/>
      </w:r>
    </w:p>
  </w:footnote>
  <w:footnote w:type="continuationSeparator" w:id="0">
    <w:p w14:paraId="24DDA3A1" w14:textId="77777777" w:rsidR="00EF79F5" w:rsidRPr="002B359C" w:rsidRDefault="00EF79F5">
      <w:r w:rsidRPr="002B35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DB8C" w14:textId="77777777" w:rsidR="00064002" w:rsidRPr="002B35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D733E" w14:textId="77777777" w:rsidR="00064002" w:rsidRPr="002B35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7B862" w14:textId="77777777" w:rsidR="00064002" w:rsidRPr="002B35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8642875">
    <w:abstractNumId w:val="9"/>
  </w:num>
  <w:num w:numId="2" w16cid:durableId="2058044725">
    <w:abstractNumId w:val="9"/>
  </w:num>
  <w:num w:numId="3" w16cid:durableId="1561088982">
    <w:abstractNumId w:val="7"/>
  </w:num>
  <w:num w:numId="4" w16cid:durableId="18044734">
    <w:abstractNumId w:val="7"/>
  </w:num>
  <w:num w:numId="5" w16cid:durableId="470174047">
    <w:abstractNumId w:val="6"/>
  </w:num>
  <w:num w:numId="6" w16cid:durableId="1219972812">
    <w:abstractNumId w:val="6"/>
  </w:num>
  <w:num w:numId="7" w16cid:durableId="583729758">
    <w:abstractNumId w:val="5"/>
  </w:num>
  <w:num w:numId="8" w16cid:durableId="519050341">
    <w:abstractNumId w:val="5"/>
  </w:num>
  <w:num w:numId="9" w16cid:durableId="474642380">
    <w:abstractNumId w:val="4"/>
  </w:num>
  <w:num w:numId="10" w16cid:durableId="395008191">
    <w:abstractNumId w:val="4"/>
  </w:num>
  <w:num w:numId="11" w16cid:durableId="1842037391">
    <w:abstractNumId w:val="8"/>
  </w:num>
  <w:num w:numId="12" w16cid:durableId="407774721">
    <w:abstractNumId w:val="8"/>
  </w:num>
  <w:num w:numId="13" w16cid:durableId="244194586">
    <w:abstractNumId w:val="3"/>
  </w:num>
  <w:num w:numId="14" w16cid:durableId="1591348305">
    <w:abstractNumId w:val="3"/>
  </w:num>
  <w:num w:numId="15" w16cid:durableId="1887595770">
    <w:abstractNumId w:val="2"/>
  </w:num>
  <w:num w:numId="16" w16cid:durableId="296574928">
    <w:abstractNumId w:val="2"/>
  </w:num>
  <w:num w:numId="17" w16cid:durableId="601498521">
    <w:abstractNumId w:val="1"/>
  </w:num>
  <w:num w:numId="18" w16cid:durableId="865950957">
    <w:abstractNumId w:val="1"/>
  </w:num>
  <w:num w:numId="19" w16cid:durableId="15935611">
    <w:abstractNumId w:val="0"/>
  </w:num>
  <w:num w:numId="20" w16cid:durableId="292637728">
    <w:abstractNumId w:val="0"/>
  </w:num>
  <w:num w:numId="21" w16cid:durableId="171604054">
    <w:abstractNumId w:val="9"/>
  </w:num>
  <w:num w:numId="22" w16cid:durableId="1101756302">
    <w:abstractNumId w:val="7"/>
  </w:num>
  <w:num w:numId="23" w16cid:durableId="47805879">
    <w:abstractNumId w:val="6"/>
  </w:num>
  <w:num w:numId="24" w16cid:durableId="996956964">
    <w:abstractNumId w:val="5"/>
  </w:num>
  <w:num w:numId="25" w16cid:durableId="2059082586">
    <w:abstractNumId w:val="4"/>
  </w:num>
  <w:num w:numId="26" w16cid:durableId="1959339548">
    <w:abstractNumId w:val="8"/>
  </w:num>
  <w:num w:numId="27" w16cid:durableId="1656833404">
    <w:abstractNumId w:val="3"/>
  </w:num>
  <w:num w:numId="28" w16cid:durableId="1889997094">
    <w:abstractNumId w:val="2"/>
  </w:num>
  <w:num w:numId="29" w16cid:durableId="1255169104">
    <w:abstractNumId w:val="1"/>
  </w:num>
  <w:num w:numId="30" w16cid:durableId="1605571722">
    <w:abstractNumId w:val="0"/>
  </w:num>
  <w:num w:numId="31" w16cid:durableId="1882357025">
    <w:abstractNumId w:val="9"/>
  </w:num>
  <w:num w:numId="32" w16cid:durableId="1106655757">
    <w:abstractNumId w:val="7"/>
  </w:num>
  <w:num w:numId="33" w16cid:durableId="1341393843">
    <w:abstractNumId w:val="6"/>
  </w:num>
  <w:num w:numId="34" w16cid:durableId="196359317">
    <w:abstractNumId w:val="5"/>
  </w:num>
  <w:num w:numId="35" w16cid:durableId="856653518">
    <w:abstractNumId w:val="4"/>
  </w:num>
  <w:num w:numId="36" w16cid:durableId="706027687">
    <w:abstractNumId w:val="8"/>
  </w:num>
  <w:num w:numId="37" w16cid:durableId="1155804409">
    <w:abstractNumId w:val="3"/>
  </w:num>
  <w:num w:numId="38" w16cid:durableId="48190760">
    <w:abstractNumId w:val="2"/>
  </w:num>
  <w:num w:numId="39" w16cid:durableId="596057937">
    <w:abstractNumId w:val="1"/>
  </w:num>
  <w:num w:numId="40" w16cid:durableId="329144751">
    <w:abstractNumId w:val="0"/>
  </w:num>
  <w:num w:numId="41" w16cid:durableId="702171808">
    <w:abstractNumId w:val="10"/>
  </w:num>
  <w:num w:numId="42" w16cid:durableId="1681080979">
    <w:abstractNumId w:val="10"/>
  </w:num>
  <w:num w:numId="43" w16cid:durableId="190920175">
    <w:abstractNumId w:val="10"/>
  </w:num>
  <w:num w:numId="44" w16cid:durableId="7755654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/2026"/>
    <w:docVar w:name="dvlangue" w:val="PL"/>
    <w:docVar w:name="dvnumam" w:val="0"/>
    <w:docVar w:name="dvpe" w:val="783.291"/>
    <w:docVar w:name="dvtitre" w:val="Rezolucja Parlamentu Europejskiego z dnia  2026 r. w sprawie przypadków obrońców praw człowieka i środowiska Andriego Yunusa i Muhammada Rosidiego w Indonezji(2026/2738(RSP))"/>
  </w:docVars>
  <w:rsids>
    <w:rsidRoot w:val="00EF79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2719"/>
    <w:rsid w:val="002767FF"/>
    <w:rsid w:val="002B18FE"/>
    <w:rsid w:val="002B359C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51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8E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23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FE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9F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234F2"/>
  <w15:chartTrackingRefBased/>
  <w15:docId w15:val="{ECB52BD1-3570-41B5-A7DA-96D720F5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51FE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51FE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51FEA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C51FE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2026-05-21T16:21:00Z</dcterms:created>
  <dcterms:modified xsi:type="dcterms:W3CDTF">2026-05-21T16:21:00Z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B10-0248/2026</vt:lpwstr>
  </property>
  <property fmtid="{D5CDD505-2E9C-101B-9397-08002B2CF9AE}" pid="4" name="&lt;Type&gt;">
    <vt:lpwstr>RR</vt:lpwstr>
  </property>
</Properties>
</file>