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7DF0" w14:paraId="771AFE6F" w14:textId="77777777" w:rsidTr="0010095E">
        <w:trPr>
          <w:trHeight w:hRule="exact" w:val="1418"/>
        </w:trPr>
        <w:tc>
          <w:tcPr>
            <w:tcW w:w="6804" w:type="dxa"/>
            <w:shd w:val="clear" w:color="auto" w:fill="auto"/>
            <w:vAlign w:val="center"/>
          </w:tcPr>
          <w:p w14:paraId="6FA81DD5" w14:textId="7EE53784" w:rsidR="00751A4A" w:rsidRPr="00267DF0" w:rsidRDefault="00EE1029" w:rsidP="0010095E">
            <w:pPr>
              <w:pStyle w:val="EPName"/>
            </w:pPr>
            <w:r w:rsidRPr="00267DF0">
              <w:t>Ευρωπαϊκό Κοινοβούλιο</w:t>
            </w:r>
          </w:p>
          <w:p w14:paraId="1F8D70C3" w14:textId="77777777" w:rsidR="00751A4A" w:rsidRPr="00267DF0" w:rsidRDefault="005F1B17" w:rsidP="005F1B17">
            <w:pPr>
              <w:pStyle w:val="EPTerm"/>
              <w:rPr>
                <w:rStyle w:val="HideTWBExt"/>
                <w:noProof w:val="0"/>
                <w:vanish w:val="0"/>
                <w:color w:val="auto"/>
              </w:rPr>
            </w:pPr>
            <w:r w:rsidRPr="00267DF0">
              <w:t>2024</w:t>
            </w:r>
            <w:r w:rsidR="00817416" w:rsidRPr="00267DF0">
              <w:t>-202</w:t>
            </w:r>
            <w:r w:rsidRPr="00267DF0">
              <w:t>9</w:t>
            </w:r>
          </w:p>
        </w:tc>
        <w:tc>
          <w:tcPr>
            <w:tcW w:w="2268" w:type="dxa"/>
            <w:shd w:val="clear" w:color="auto" w:fill="auto"/>
          </w:tcPr>
          <w:p w14:paraId="102BB066" w14:textId="77777777" w:rsidR="00751A4A" w:rsidRPr="00267DF0" w:rsidRDefault="00187494" w:rsidP="0010095E">
            <w:pPr>
              <w:pStyle w:val="EPLogo"/>
            </w:pPr>
            <w:r w:rsidRPr="00267DF0">
              <w:rPr>
                <w:noProof/>
                <w:lang w:eastAsia="ja-JP"/>
              </w:rPr>
              <w:drawing>
                <wp:inline distT="0" distB="0" distL="0" distR="0" wp14:anchorId="72C2A87B" wp14:editId="30C65D7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9FF02B" w14:textId="77777777" w:rsidR="00D058B8" w:rsidRPr="00267DF0" w:rsidRDefault="00D058B8" w:rsidP="004C5D52">
      <w:pPr>
        <w:pStyle w:val="LineTop"/>
      </w:pPr>
    </w:p>
    <w:p w14:paraId="4FCD8799" w14:textId="39B73669" w:rsidR="00680577" w:rsidRPr="00267DF0" w:rsidRDefault="00EE1029" w:rsidP="00680577">
      <w:pPr>
        <w:pStyle w:val="EPBodyTA1"/>
      </w:pPr>
      <w:r w:rsidRPr="00267DF0">
        <w:t>ΚΕΙΜΕΝΑ ΠΟΥ ΕΓΚΡΙΘΗΚΑΝ</w:t>
      </w:r>
    </w:p>
    <w:p w14:paraId="1AD7DA97" w14:textId="77777777" w:rsidR="00D058B8" w:rsidRPr="00267DF0" w:rsidRDefault="00D058B8" w:rsidP="00D058B8">
      <w:pPr>
        <w:pStyle w:val="LineBottom"/>
      </w:pPr>
    </w:p>
    <w:p w14:paraId="34C9942A" w14:textId="2AECD41B" w:rsidR="00EE1029" w:rsidRPr="00267DF0" w:rsidRDefault="00EE1029" w:rsidP="00EE1029">
      <w:pPr>
        <w:pStyle w:val="ATHeading1"/>
      </w:pPr>
      <w:bookmarkStart w:id="0" w:name="TANumber"/>
      <w:r w:rsidRPr="00267DF0">
        <w:t>P10_TA(2026)0</w:t>
      </w:r>
      <w:r w:rsidR="00E85C71" w:rsidRPr="00267DF0">
        <w:t>189</w:t>
      </w:r>
      <w:bookmarkEnd w:id="0"/>
    </w:p>
    <w:p w14:paraId="0C346F48" w14:textId="4B31EA38" w:rsidR="00EE1029" w:rsidRPr="00267DF0" w:rsidRDefault="0042097E" w:rsidP="00EE1029">
      <w:pPr>
        <w:pStyle w:val="ATHeading2"/>
      </w:pPr>
      <w:bookmarkStart w:id="1" w:name="title"/>
      <w:r w:rsidRPr="00267DF0">
        <w:t>Το πολυετές σχέδιο για τη Βαλτική Θάλασσα και η μελλοντική πορεία</w:t>
      </w:r>
      <w:bookmarkEnd w:id="1"/>
    </w:p>
    <w:p w14:paraId="0ED42A78" w14:textId="77777777" w:rsidR="00EE1029" w:rsidRPr="00267DF0" w:rsidRDefault="00EE1029" w:rsidP="00EE1029">
      <w:pPr>
        <w:rPr>
          <w:i/>
          <w:vanish/>
        </w:rPr>
      </w:pPr>
      <w:r w:rsidRPr="00267DF0">
        <w:rPr>
          <w:i/>
        </w:rPr>
        <w:fldChar w:fldCharType="begin"/>
      </w:r>
      <w:r w:rsidRPr="00267DF0">
        <w:rPr>
          <w:i/>
        </w:rPr>
        <w:instrText xml:space="preserve"> TC"(</w:instrText>
      </w:r>
      <w:bookmarkStart w:id="2" w:name="DocNumber"/>
      <w:r w:rsidRPr="00267DF0">
        <w:rPr>
          <w:i/>
        </w:rPr>
        <w:instrText>A10-0121/2026</w:instrText>
      </w:r>
      <w:bookmarkEnd w:id="2"/>
      <w:r w:rsidRPr="00267DF0">
        <w:rPr>
          <w:i/>
        </w:rPr>
        <w:instrText xml:space="preserve"> - Εισηγήτρια: Isabella Lövin)"\l3 \n&gt; \* MERGEFORMAT </w:instrText>
      </w:r>
      <w:r w:rsidRPr="00267DF0">
        <w:rPr>
          <w:i/>
        </w:rPr>
        <w:fldChar w:fldCharType="end"/>
      </w:r>
    </w:p>
    <w:p w14:paraId="149DDA7C" w14:textId="77777777" w:rsidR="00EE1029" w:rsidRPr="00267DF0" w:rsidRDefault="00EE1029" w:rsidP="00EE1029">
      <w:pPr>
        <w:rPr>
          <w:vanish/>
        </w:rPr>
      </w:pPr>
      <w:bookmarkStart w:id="3" w:name="Commission"/>
      <w:r w:rsidRPr="00267DF0">
        <w:rPr>
          <w:vanish/>
        </w:rPr>
        <w:t>Επιτροπή Αλιείας</w:t>
      </w:r>
      <w:bookmarkEnd w:id="3"/>
    </w:p>
    <w:p w14:paraId="61227762" w14:textId="77777777" w:rsidR="00EE1029" w:rsidRPr="00267DF0" w:rsidRDefault="00EE1029" w:rsidP="00EE1029">
      <w:pPr>
        <w:rPr>
          <w:vanish/>
        </w:rPr>
      </w:pPr>
      <w:bookmarkStart w:id="4" w:name="PE"/>
      <w:r w:rsidRPr="00267DF0">
        <w:rPr>
          <w:vanish/>
        </w:rPr>
        <w:t>PE778.399</w:t>
      </w:r>
      <w:bookmarkEnd w:id="4"/>
    </w:p>
    <w:p w14:paraId="042CBC75" w14:textId="6B0C9EC2" w:rsidR="00EE1029" w:rsidRPr="00267DF0" w:rsidRDefault="00EE1029" w:rsidP="00EE1029">
      <w:pPr>
        <w:pStyle w:val="ATHeading3"/>
      </w:pPr>
      <w:bookmarkStart w:id="5" w:name="Sujet"/>
      <w:r w:rsidRPr="00267DF0">
        <w:t xml:space="preserve">Ψήφισμα του Ευρωπαϊκού Κοινοβουλίου της </w:t>
      </w:r>
      <w:r w:rsidR="0042097E" w:rsidRPr="00267DF0">
        <w:t>21</w:t>
      </w:r>
      <w:r w:rsidR="00F86F0C" w:rsidRPr="00267DF0">
        <w:t>ης Μαΐου</w:t>
      </w:r>
      <w:r w:rsidRPr="00267DF0">
        <w:t xml:space="preserve"> 2026 σχετικά με το πολυετές σχέδιο για τη Βαλτική Θάλασσα και τη μελλοντική πορεία</w:t>
      </w:r>
      <w:bookmarkEnd w:id="5"/>
      <w:r w:rsidRPr="00267DF0">
        <w:t xml:space="preserve"> </w:t>
      </w:r>
      <w:bookmarkStart w:id="6" w:name="References"/>
      <w:r w:rsidRPr="00267DF0">
        <w:t>(2024/2127(INI))</w:t>
      </w:r>
      <w:bookmarkEnd w:id="6"/>
    </w:p>
    <w:p w14:paraId="2ED62AA8" w14:textId="77777777" w:rsidR="00992C22" w:rsidRPr="00267DF0" w:rsidRDefault="00992C22" w:rsidP="00992C22">
      <w:pPr>
        <w:pStyle w:val="EPComma"/>
      </w:pPr>
      <w:r w:rsidRPr="00267DF0">
        <w:rPr>
          <w:i/>
          <w:iCs/>
        </w:rPr>
        <w:t>Το Ευρωπαϊκό Κοινοβούλιο</w:t>
      </w:r>
      <w:r w:rsidRPr="00267DF0">
        <w:t>,</w:t>
      </w:r>
    </w:p>
    <w:p w14:paraId="692F3B4E" w14:textId="77777777" w:rsidR="00992C22" w:rsidRPr="00267DF0" w:rsidRDefault="00992C22" w:rsidP="00D93445">
      <w:pPr>
        <w:pStyle w:val="NormalHanging12a"/>
        <w:widowControl/>
        <w:rPr>
          <w:bCs/>
          <w:iCs/>
        </w:rPr>
      </w:pPr>
      <w:r w:rsidRPr="00267DF0">
        <w:t>–</w:t>
      </w:r>
      <w:r w:rsidRPr="00267DF0">
        <w:tab/>
        <w:t>έχοντας υπόψη το άρθρο 3 παράγραφος 3 της Συνθήκης για την Ευρωπαϊκή Ένωση (ΣΕΕ), το άρθρο 4, το άρθρο 43 παράγραφος 3 και το άρθρο 191 της Συνθήκης για τη λειτουργία της Ευρωπαϊκής Ένωσης (ΣΛΕΕ), καθώς και το άρθρο 37 του Χάρτη των Θεμελιωδών Δικαιωμάτων της Ευρωπαϊκής Ένωσης,</w:t>
      </w:r>
    </w:p>
    <w:p w14:paraId="54031C17" w14:textId="4CECDEE6" w:rsidR="00992C22" w:rsidRPr="00267DF0" w:rsidRDefault="00992C22" w:rsidP="00D93445">
      <w:pPr>
        <w:pStyle w:val="NormalHanging12a"/>
        <w:widowControl/>
      </w:pPr>
      <w:r w:rsidRPr="00267DF0">
        <w:t>–</w:t>
      </w:r>
      <w:r w:rsidRPr="00267DF0">
        <w:tab/>
        <w:t>έχοντας υπόψη τον κανονισμό (ΕΕ) αριθ. 1380/2013 του Ευρωπαϊκού Κοινοβουλίου και του Συμβουλίου, της 11ης Δεκεμβρίου 2013, σχετικά με την Κοινή Αλιευτική Πολιτική, την τροποποίηση των κανονισμών του Συμβουλίου (ΕΚ) αριθ. 1954/2003 και (ΕΚ) αριθ. 1224/2009 και την κατάργηση των κανονισμών του Συμβουλίου (ΕΚ) αριθ.</w:t>
      </w:r>
      <w:r w:rsidR="00032A27" w:rsidRPr="00267DF0">
        <w:t xml:space="preserve"> </w:t>
      </w:r>
      <w:r w:rsidRPr="00267DF0">
        <w:t>2371/2002 και (ΕΚ) αριθ. 639/2004 και της απόφασης 2004/585/ΕΚ του Συμβουλίου</w:t>
      </w:r>
      <w:r w:rsidRPr="00267DF0">
        <w:rPr>
          <w:rStyle w:val="FootnoteReference"/>
        </w:rPr>
        <w:footnoteReference w:id="1"/>
      </w:r>
      <w:r w:rsidRPr="00267DF0">
        <w:t xml:space="preserve"> (ΚΑΠ),</w:t>
      </w:r>
    </w:p>
    <w:p w14:paraId="165988C2" w14:textId="77777777" w:rsidR="00992C22" w:rsidRPr="00267DF0" w:rsidRDefault="00992C22" w:rsidP="00D93445">
      <w:pPr>
        <w:pStyle w:val="NormalHanging12a"/>
        <w:widowControl/>
      </w:pPr>
      <w:r w:rsidRPr="00267DF0">
        <w:t>–</w:t>
      </w:r>
      <w:r w:rsidRPr="00267DF0">
        <w:tab/>
        <w:t>έχοντας υπόψη τον κανονισμό (ΕΕ) 2016/1139 του Ευρωπαϊκού Κοινοβουλίου και του Συμβουλίου, της 6ης Ιουλίου 2016, για τη θέσπιση πολυετούς σχεδίου για τα αποθέματα γάδου, ρέγγας και παπαλίνας της Βαλτικής Θάλασσας και για τις αλιευτικές δραστηριότητες εκμετάλλευσης των εν λόγω αποθεμάτων, για την τροποποίηση του κανονισμού (ΕΚ) αριθ. 2187/2005 του Συμβουλίου και για την κατάργηση του κανονισμού (ΕΚ) αριθ. 1098/2007 του Συμβουλίου</w:t>
      </w:r>
      <w:r w:rsidRPr="00267DF0">
        <w:rPr>
          <w:rStyle w:val="FootnoteReference"/>
        </w:rPr>
        <w:footnoteReference w:id="2"/>
      </w:r>
      <w:r w:rsidRPr="00267DF0">
        <w:t xml:space="preserve"> (κανονισμός για το πολυετές σχέδιο για τη Βαλτική),</w:t>
      </w:r>
    </w:p>
    <w:p w14:paraId="03E02B42" w14:textId="77777777" w:rsidR="00992C22" w:rsidRPr="00267DF0" w:rsidRDefault="00992C22" w:rsidP="00D93445">
      <w:pPr>
        <w:pStyle w:val="NormalHanging12a"/>
        <w:widowControl/>
        <w:rPr>
          <w:bCs/>
          <w:iCs/>
        </w:rPr>
      </w:pPr>
      <w:r w:rsidRPr="00267DF0">
        <w:t>–</w:t>
      </w:r>
      <w:r w:rsidRPr="00267DF0">
        <w:tab/>
        <w:t xml:space="preserve">έχοντας υπόψη τον κανονισμό (ΕΕ) 2020/1781 του Ευρωπαϊκού Κοινοβουλίου και του Συμβουλίου της 25ης Νοεμβρίου 2020 για την τροποποίηση του κανονισμού (ΕΕ) 2016/1139 όσον αφορά τη μείωση της αλιευτικής ικανότητας στη Βαλτική Θάλασσα και του κανονισμού (ΕΕ) αριθ. 508/2014 όσον αφορά την οριστική παύση των αλιευτικών δραστηριοτήτων για τους στόλους που αλιεύουν γάδο της Ανατολικής </w:t>
      </w:r>
      <w:r w:rsidRPr="00267DF0">
        <w:lastRenderedPageBreak/>
        <w:t>Βαλτικής Θάλασσας, γάδο της Δυτικής Βαλτικής Θάλασσας και ρέγγα της Δυτικής Βαλτικής Θάλασσας</w:t>
      </w:r>
      <w:r w:rsidRPr="00267DF0">
        <w:rPr>
          <w:rStyle w:val="FootnoteReference"/>
          <w:bCs/>
          <w:iCs/>
        </w:rPr>
        <w:footnoteReference w:id="3"/>
      </w:r>
      <w:r w:rsidRPr="00267DF0">
        <w:t>,</w:t>
      </w:r>
    </w:p>
    <w:p w14:paraId="49E83FF8" w14:textId="77777777" w:rsidR="00992C22" w:rsidRPr="00267DF0" w:rsidRDefault="00992C22" w:rsidP="00D93445">
      <w:pPr>
        <w:pStyle w:val="NormalHanging12a"/>
        <w:widowControl/>
      </w:pPr>
      <w:r w:rsidRPr="00267DF0">
        <w:t>–</w:t>
      </w:r>
      <w:r w:rsidRPr="00267DF0">
        <w:tab/>
        <w:t>έχοντας υπόψη την οδηγία 2008/56/ΕΚ του Ευρωπαϊκού Κοινοβουλίου και του Συμβουλίου, της 17ης Ιουνίου 2008, περί πλαισίου κοινοτικής δράσης στο πεδίο της πολιτικής για το θαλάσσιο περιβάλλον (οδηγία-πλαίσιο για τη θαλάσσια στρατηγική)</w:t>
      </w:r>
      <w:r w:rsidRPr="00267DF0">
        <w:rPr>
          <w:rStyle w:val="FootnoteReference"/>
        </w:rPr>
        <w:footnoteReference w:id="4"/>
      </w:r>
      <w:r w:rsidRPr="00267DF0">
        <w:t>,</w:t>
      </w:r>
    </w:p>
    <w:p w14:paraId="6DEAE163" w14:textId="5BAFCFB3" w:rsidR="00992C22" w:rsidRPr="00267DF0" w:rsidRDefault="00992C22" w:rsidP="00D93445">
      <w:pPr>
        <w:pStyle w:val="NormalHanging12a"/>
        <w:widowControl/>
      </w:pPr>
      <w:r w:rsidRPr="00267DF0">
        <w:t>–</w:t>
      </w:r>
      <w:r w:rsidRPr="00267DF0">
        <w:tab/>
        <w:t>έχοντας υπόψη την οδηγία 92/43/ΕΟΚ του Συμβουλίου</w:t>
      </w:r>
      <w:r w:rsidR="00715E7A" w:rsidRPr="00267DF0">
        <w:t>,</w:t>
      </w:r>
      <w:r w:rsidRPr="00267DF0">
        <w:t xml:space="preserve"> της 21ης Μαΐου 1992</w:t>
      </w:r>
      <w:r w:rsidR="00715E7A" w:rsidRPr="00267DF0">
        <w:t>,</w:t>
      </w:r>
      <w:r w:rsidRPr="00267DF0">
        <w:t xml:space="preserve"> για τη διατήρηση των φυσικών οικοτόπων καθώς και της άγριας πανίδας και χλωρίδας</w:t>
      </w:r>
      <w:r w:rsidRPr="00267DF0">
        <w:rPr>
          <w:rStyle w:val="FootnoteReference"/>
        </w:rPr>
        <w:footnoteReference w:id="5"/>
      </w:r>
      <w:r w:rsidRPr="00267DF0">
        <w:t>,</w:t>
      </w:r>
    </w:p>
    <w:p w14:paraId="66D57A10" w14:textId="0E711041" w:rsidR="00992C22" w:rsidRPr="00267DF0" w:rsidRDefault="00992C22" w:rsidP="00D93445">
      <w:pPr>
        <w:pStyle w:val="NormalHanging12a"/>
        <w:widowControl/>
      </w:pPr>
      <w:r w:rsidRPr="00267DF0">
        <w:t>–</w:t>
      </w:r>
      <w:r w:rsidRPr="00267DF0">
        <w:tab/>
        <w:t>έχοντας υπόψη τον κανονισμό (ΕΟΚ) αριθ. 2115/77 του Συμβουλίου</w:t>
      </w:r>
      <w:r w:rsidR="00715E7A" w:rsidRPr="00267DF0">
        <w:t>,</w:t>
      </w:r>
      <w:r w:rsidRPr="00267DF0">
        <w:t xml:space="preserve"> της 27ης</w:t>
      </w:r>
      <w:r w:rsidR="00D93445" w:rsidRPr="00267DF0">
        <w:t> </w:t>
      </w:r>
      <w:r w:rsidRPr="00267DF0">
        <w:t>Σεπτεμβρίου 1977</w:t>
      </w:r>
      <w:r w:rsidR="00715E7A" w:rsidRPr="00267DF0">
        <w:t>,</w:t>
      </w:r>
      <w:r w:rsidRPr="00267DF0">
        <w:t xml:space="preserve"> περί απαγορεύσεως της απευθείας αλιείας καθώς και της εκφορτώσεως της ρέγγας που προορίζεται για βιομηχανικούς σκοπούς διαφορετικούς από την ανθρώπινη κατανάλωση</w:t>
      </w:r>
      <w:r w:rsidRPr="00267DF0">
        <w:rPr>
          <w:rStyle w:val="FootnoteReference"/>
        </w:rPr>
        <w:footnoteReference w:id="6"/>
      </w:r>
      <w:r w:rsidRPr="00267DF0">
        <w:t>,</w:t>
      </w:r>
    </w:p>
    <w:p w14:paraId="26B8B59E" w14:textId="77777777" w:rsidR="00992C22" w:rsidRPr="00267DF0" w:rsidRDefault="00992C22" w:rsidP="00D93445">
      <w:pPr>
        <w:pStyle w:val="NormalHanging12a"/>
        <w:widowControl/>
      </w:pPr>
      <w:r w:rsidRPr="00267DF0">
        <w:t>–</w:t>
      </w:r>
      <w:r w:rsidRPr="00267DF0">
        <w:tab/>
        <w:t>έχοντας υπόψη την οδηγία 2009/147/EK του Ευρωπαϊκού Κοινοβουλίου και του Συμβουλίου, της 30ής Νοεμβρίου 2009, περί της διατηρήσεως των αγρίων πτηνών</w:t>
      </w:r>
      <w:r w:rsidRPr="00267DF0">
        <w:rPr>
          <w:rStyle w:val="FootnoteReference"/>
        </w:rPr>
        <w:footnoteReference w:id="7"/>
      </w:r>
      <w:r w:rsidRPr="00267DF0">
        <w:t>,</w:t>
      </w:r>
    </w:p>
    <w:p w14:paraId="171C4744" w14:textId="77777777" w:rsidR="00992C22" w:rsidRPr="00267DF0" w:rsidRDefault="00992C22" w:rsidP="00D93445">
      <w:pPr>
        <w:pStyle w:val="NormalHanging12a"/>
        <w:widowControl/>
        <w:rPr>
          <w:bCs/>
          <w:iCs/>
        </w:rPr>
      </w:pPr>
      <w:r w:rsidRPr="00267DF0">
        <w:t>–</w:t>
      </w:r>
      <w:r w:rsidRPr="00267DF0">
        <w:tab/>
        <w:t>έχοντας υπόψη το ψήφισμά του της 27ης Απριλίου 2021 σχετικά με τα χημικά κατάλοιπα στη Βαλτική Θάλασσα βάσει των αναφορών αριθ. 1328/2019 και 0406/2020</w:t>
      </w:r>
      <w:r w:rsidRPr="00267DF0">
        <w:rPr>
          <w:rStyle w:val="FootnoteReference"/>
          <w:bCs/>
          <w:iCs/>
        </w:rPr>
        <w:footnoteReference w:id="8"/>
      </w:r>
      <w:r w:rsidRPr="00267DF0">
        <w:t>,</w:t>
      </w:r>
    </w:p>
    <w:p w14:paraId="32E6BF84" w14:textId="77777777" w:rsidR="00992C22" w:rsidRPr="00267DF0" w:rsidRDefault="00992C22" w:rsidP="00D93445">
      <w:pPr>
        <w:pStyle w:val="NormalHanging12a"/>
        <w:widowControl/>
        <w:rPr>
          <w:bCs/>
          <w:iCs/>
        </w:rPr>
      </w:pPr>
      <w:r w:rsidRPr="00267DF0">
        <w:t>–</w:t>
      </w:r>
      <w:r w:rsidRPr="00267DF0">
        <w:tab/>
        <w:t>έχοντας υπόψη το ψήφισμά του της 18ης Ιανουαρίου 2024 σχετικά με το σχέδιο δράσης της ΕΕ: Προστασία και αποκατάσταση των θαλάσσιων οικοσυστημάτων για βιώσιμη και ανθεκτική αλιεία</w:t>
      </w:r>
      <w:r w:rsidRPr="00267DF0">
        <w:rPr>
          <w:rStyle w:val="FootnoteReference"/>
          <w:bCs/>
          <w:iCs/>
        </w:rPr>
        <w:footnoteReference w:id="9"/>
      </w:r>
      <w:r w:rsidRPr="00267DF0">
        <w:t>,</w:t>
      </w:r>
    </w:p>
    <w:p w14:paraId="594DED30" w14:textId="77777777" w:rsidR="00992C22" w:rsidRPr="00267DF0" w:rsidRDefault="00992C22" w:rsidP="00D93445">
      <w:pPr>
        <w:pStyle w:val="NormalHanging12a"/>
        <w:widowControl/>
        <w:rPr>
          <w:bCs/>
          <w:iCs/>
        </w:rPr>
      </w:pPr>
      <w:r w:rsidRPr="00267DF0">
        <w:rPr>
          <w:b/>
          <w:i/>
        </w:rPr>
        <w:t>–</w:t>
      </w:r>
      <w:r w:rsidRPr="00267DF0">
        <w:rPr>
          <w:b/>
          <w:i/>
        </w:rPr>
        <w:tab/>
      </w:r>
      <w:r w:rsidRPr="00267DF0">
        <w:t>έχοντας υπόψη το ψήφισμά του της 4ης Δεκεμβρίου 2008 σχετικά με την κατάρτιση ευρωπαϊκού σχεδίου διαχείρισης των κορμοράνων με σκοπό τη μείωση των αυξανομένων ζημιών που προκαλούν οι κορμοράνοι στα αποθέματα αλιευμάτων, στην αλιεία και στην υδατοκαλλιέργεια</w:t>
      </w:r>
      <w:r w:rsidRPr="00267DF0">
        <w:rPr>
          <w:rStyle w:val="FootnoteReference"/>
          <w:bCs/>
          <w:iCs/>
        </w:rPr>
        <w:footnoteReference w:id="10"/>
      </w:r>
      <w:r w:rsidRPr="00267DF0">
        <w:t>,</w:t>
      </w:r>
    </w:p>
    <w:p w14:paraId="1D913A28" w14:textId="6D2ED8FA" w:rsidR="00992C22" w:rsidRPr="00267DF0" w:rsidRDefault="00992C22" w:rsidP="00D93445">
      <w:pPr>
        <w:pStyle w:val="NormalHanging12a"/>
        <w:widowControl/>
        <w:rPr>
          <w:bCs/>
          <w:iCs/>
        </w:rPr>
      </w:pPr>
      <w:r w:rsidRPr="00267DF0">
        <w:t>–</w:t>
      </w:r>
      <w:r w:rsidRPr="00267DF0">
        <w:rPr>
          <w:b/>
          <w:i/>
        </w:rPr>
        <w:tab/>
      </w:r>
      <w:r w:rsidRPr="00267DF0">
        <w:t>έχοντας υπόψη το ψήφισμα της 14ης Νοεμβρίου 2024 του Ευρωπαϊκού Κοινοβουλίου σχετικά με τις ενέργειες της ΕΕ κατά του ρωσικού «σκιώδους στόλου» και τη διασφάλιση της πλήρους επιβολής των κυρώσεων κατά της Ρωσίας</w:t>
      </w:r>
      <w:r w:rsidR="00B91EAF">
        <w:t xml:space="preserve"> (2024/2885(</w:t>
      </w:r>
      <w:r w:rsidR="00B91EAF">
        <w:rPr>
          <w:lang w:val="en-GB"/>
        </w:rPr>
        <w:t>RSP</w:t>
      </w:r>
      <w:r w:rsidR="00B91EAF" w:rsidRPr="00B91EAF">
        <w:t>))</w:t>
      </w:r>
      <w:r w:rsidRPr="00267DF0">
        <w:rPr>
          <w:rStyle w:val="FootnoteReference"/>
          <w:bCs/>
          <w:iCs/>
        </w:rPr>
        <w:footnoteReference w:id="11"/>
      </w:r>
      <w:r w:rsidRPr="00267DF0">
        <w:t>,</w:t>
      </w:r>
    </w:p>
    <w:p w14:paraId="6770E3B3" w14:textId="77777777" w:rsidR="00992C22" w:rsidRPr="00267DF0" w:rsidRDefault="00992C22" w:rsidP="00D93445">
      <w:pPr>
        <w:pStyle w:val="NormalHanging12a"/>
        <w:widowControl/>
      </w:pPr>
      <w:r w:rsidRPr="00267DF0">
        <w:t>–</w:t>
      </w:r>
      <w:r w:rsidRPr="00267DF0">
        <w:tab/>
        <w:t>έχοντας υπόψη τη στρατηγική της ΕΕ για τη βιοποικιλότητα με ορίζοντα το 2030, η οποία καθορίζεται στην ανακοίνωση της Επιτροπής, της 20ής Μαΐου 2020, με τίτλο «Στρατηγική της ΕΕ για τη βιοποικιλότητα με ορίζοντα το 2030 – Επαναφορά της φύσης στη ζωή μας» (COM(2020)0380),</w:t>
      </w:r>
    </w:p>
    <w:p w14:paraId="70DC3BB1" w14:textId="77777777" w:rsidR="00992C22" w:rsidRPr="00267DF0" w:rsidRDefault="00992C22" w:rsidP="00D93445">
      <w:pPr>
        <w:pStyle w:val="NormalHanging12a"/>
        <w:widowControl/>
      </w:pPr>
      <w:r w:rsidRPr="00267DF0">
        <w:t>–</w:t>
      </w:r>
      <w:r w:rsidRPr="00267DF0">
        <w:tab/>
        <w:t>έχοντας υπόψη την ανακοίνωση της Επιτροπής, της 5ης Ιουνίου 2025, με τίτλο «Το ευρωπαϊκό σύμφωνο για τους ωκεανούς» (COM(2025)0281),</w:t>
      </w:r>
    </w:p>
    <w:p w14:paraId="4BEAE432" w14:textId="77777777" w:rsidR="00992C22" w:rsidRPr="00267DF0" w:rsidRDefault="00992C22" w:rsidP="00D93445">
      <w:pPr>
        <w:pStyle w:val="NormalHanging12a"/>
        <w:widowControl/>
        <w:rPr>
          <w:bCs/>
          <w:iCs/>
        </w:rPr>
      </w:pPr>
      <w:r w:rsidRPr="00267DF0">
        <w:t>–</w:t>
      </w:r>
      <w:r w:rsidRPr="00267DF0">
        <w:tab/>
        <w:t>έχοντας υπόψη την ανακοίνωση της Επιτροπής, της 21ης Φεβρουαρίου 2023, με τίτλο «Σχέδιο δράσης της ΕΕ: Προστασία και αποκατάσταση των θαλάσσιων οικοσυστημάτων για βιώσιμη και ανθεκτική αλιεία» (COM(2023)0102).</w:t>
      </w:r>
    </w:p>
    <w:p w14:paraId="0D41256A" w14:textId="77777777" w:rsidR="00992C22" w:rsidRPr="00267DF0" w:rsidRDefault="00992C22" w:rsidP="00D93445">
      <w:pPr>
        <w:pStyle w:val="NormalHanging12a"/>
        <w:widowControl/>
        <w:rPr>
          <w:bCs/>
          <w:iCs/>
        </w:rPr>
      </w:pPr>
      <w:r w:rsidRPr="00267DF0">
        <w:t>–</w:t>
      </w:r>
      <w:r w:rsidRPr="00267DF0">
        <w:tab/>
        <w:t>έχοντας υπόψη την ανακοίνωση της Επιτροπής, της 6ης Ιουνίου 2025, με τίτλο «Βιώσιμη αλιεία στην ΕΕ: Τρέχουσα κατάσταση και κατευθύνσεις για το 2026» (COM(2025)0296),</w:t>
      </w:r>
    </w:p>
    <w:p w14:paraId="1744FF6B" w14:textId="77777777" w:rsidR="00992C22" w:rsidRPr="00267DF0" w:rsidRDefault="00992C22" w:rsidP="00D93445">
      <w:pPr>
        <w:pStyle w:val="NormalHanging12a"/>
        <w:widowControl/>
        <w:rPr>
          <w:bCs/>
          <w:iCs/>
        </w:rPr>
      </w:pPr>
      <w:r w:rsidRPr="00267DF0">
        <w:t>–</w:t>
      </w:r>
      <w:r w:rsidRPr="00267DF0">
        <w:tab/>
        <w:t>έχοντας υπόψη την ανακοίνωση της Επιτροπής, της 29ης Ιανουαρίου 2025, με τίτλο «Πυξίδα Ανταγωνιστικότητας για την ΕΕ» (COM(2025)0030),</w:t>
      </w:r>
    </w:p>
    <w:p w14:paraId="4D077048" w14:textId="0950417A" w:rsidR="00992C22" w:rsidRPr="00267DF0" w:rsidRDefault="00992C22" w:rsidP="00D93445">
      <w:pPr>
        <w:pStyle w:val="NormalHanging12a"/>
        <w:widowControl/>
      </w:pPr>
      <w:r w:rsidRPr="00267DF0">
        <w:t>–</w:t>
      </w:r>
      <w:r w:rsidRPr="00267DF0">
        <w:tab/>
        <w:t>έχοντας υπόψη τη Σύμβαση για την προστασία του θαλάσσιου περιβάλλοντος στην περιοχή της Βαλτικής του 1992 (Σύμβαση του Ελσίνκι), η οποία τέθηκε σε ισχύ στις 17</w:t>
      </w:r>
      <w:r w:rsidR="00D93445" w:rsidRPr="00267DF0">
        <w:t> </w:t>
      </w:r>
      <w:r w:rsidRPr="00267DF0">
        <w:t>Ιανουαρίου 2000, και την επιτροπή για την προστασία του θαλάσσιου περιβάλλοντος της Βαλτικής, γνωστή και ως επιτροπή του Ελσίνκι (HELCOM),</w:t>
      </w:r>
    </w:p>
    <w:p w14:paraId="316B4DC7" w14:textId="77777777" w:rsidR="00992C22" w:rsidRPr="00267DF0" w:rsidRDefault="00992C22" w:rsidP="00D93445">
      <w:pPr>
        <w:pStyle w:val="NormalHanging12a"/>
        <w:widowControl/>
      </w:pPr>
      <w:r w:rsidRPr="00267DF0">
        <w:t>–</w:t>
      </w:r>
      <w:r w:rsidRPr="00267DF0">
        <w:tab/>
        <w:t>έχοντας υπόψη το σχέδιο δράσης για τη Βαλτική Θάλασσα και τα πορίσματα της HELCOM σχετικά με τα χημικά πυρομαχικά που απορρίπτονται στη θάλασσα,</w:t>
      </w:r>
    </w:p>
    <w:p w14:paraId="7C939A0A" w14:textId="77777777" w:rsidR="00992C22" w:rsidRPr="00267DF0" w:rsidRDefault="00992C22" w:rsidP="00D93445">
      <w:pPr>
        <w:pStyle w:val="NormalHanging12a"/>
        <w:widowControl/>
        <w:rPr>
          <w:bCs/>
          <w:iCs/>
        </w:rPr>
      </w:pPr>
      <w:r w:rsidRPr="00267DF0">
        <w:t>–</w:t>
      </w:r>
      <w:r w:rsidRPr="00267DF0">
        <w:tab/>
        <w:t xml:space="preserve">έχοντας υπόψη την απόφαση του Δικαστηρίου της 11ης Ιανουαρίου 2024 στην υπόθεση C-330/22, </w:t>
      </w:r>
      <w:proofErr w:type="spellStart"/>
      <w:r w:rsidRPr="00267DF0">
        <w:t>Friends</w:t>
      </w:r>
      <w:proofErr w:type="spellEnd"/>
      <w:r w:rsidRPr="00267DF0">
        <w:t xml:space="preserve"> of the </w:t>
      </w:r>
      <w:proofErr w:type="spellStart"/>
      <w:r w:rsidRPr="00267DF0">
        <w:t>Irish</w:t>
      </w:r>
      <w:proofErr w:type="spellEnd"/>
      <w:r w:rsidRPr="00267DF0">
        <w:t xml:space="preserve"> </w:t>
      </w:r>
      <w:proofErr w:type="spellStart"/>
      <w:r w:rsidRPr="00267DF0">
        <w:t>Environment</w:t>
      </w:r>
      <w:proofErr w:type="spellEnd"/>
      <w:r w:rsidRPr="00267DF0">
        <w:t xml:space="preserve"> CLG κατά </w:t>
      </w:r>
      <w:proofErr w:type="spellStart"/>
      <w:r w:rsidRPr="00267DF0">
        <w:t>Minister</w:t>
      </w:r>
      <w:proofErr w:type="spellEnd"/>
      <w:r w:rsidRPr="00267DF0">
        <w:t xml:space="preserve"> for </w:t>
      </w:r>
      <w:proofErr w:type="spellStart"/>
      <w:r w:rsidRPr="00267DF0">
        <w:t>Agriculture</w:t>
      </w:r>
      <w:proofErr w:type="spellEnd"/>
      <w:r w:rsidRPr="00267DF0">
        <w:t xml:space="preserve">, </w:t>
      </w:r>
      <w:proofErr w:type="spellStart"/>
      <w:r w:rsidRPr="00267DF0">
        <w:t>Food</w:t>
      </w:r>
      <w:proofErr w:type="spellEnd"/>
      <w:r w:rsidRPr="00267DF0">
        <w:t xml:space="preserve"> and the </w:t>
      </w:r>
      <w:proofErr w:type="spellStart"/>
      <w:r w:rsidRPr="00267DF0">
        <w:t>Marine</w:t>
      </w:r>
      <w:proofErr w:type="spellEnd"/>
      <w:r w:rsidRPr="00267DF0">
        <w:t>, Ιρλανδία</w:t>
      </w:r>
      <w:r w:rsidRPr="00267DF0">
        <w:rPr>
          <w:rStyle w:val="FootnoteReference"/>
          <w:bCs/>
          <w:iCs/>
        </w:rPr>
        <w:footnoteReference w:id="12"/>
      </w:r>
      <w:r w:rsidRPr="00267DF0">
        <w:t>,</w:t>
      </w:r>
    </w:p>
    <w:p w14:paraId="45896E2A" w14:textId="77777777" w:rsidR="00992C22" w:rsidRPr="00267DF0" w:rsidRDefault="00992C22" w:rsidP="00D93445">
      <w:pPr>
        <w:pStyle w:val="NormalHanging12a"/>
        <w:widowControl/>
      </w:pPr>
      <w:r w:rsidRPr="00267DF0">
        <w:t>–</w:t>
      </w:r>
      <w:r w:rsidRPr="00267DF0">
        <w:tab/>
        <w:t xml:space="preserve">έχοντας υπόψη την ενημερωτική ανάλυση που ζήτησε η Επιτροπή Αλιείας του Κοινοβουλίου με τίτλο «The </w:t>
      </w:r>
      <w:proofErr w:type="spellStart"/>
      <w:r w:rsidRPr="00267DF0">
        <w:t>multiannual</w:t>
      </w:r>
      <w:proofErr w:type="spellEnd"/>
      <w:r w:rsidRPr="00267DF0">
        <w:t xml:space="preserve"> </w:t>
      </w:r>
      <w:proofErr w:type="spellStart"/>
      <w:r w:rsidRPr="00267DF0">
        <w:t>plan</w:t>
      </w:r>
      <w:proofErr w:type="spellEnd"/>
      <w:r w:rsidRPr="00267DF0">
        <w:t xml:space="preserve"> for the </w:t>
      </w:r>
      <w:proofErr w:type="spellStart"/>
      <w:r w:rsidRPr="00267DF0">
        <w:t>Baltic</w:t>
      </w:r>
      <w:proofErr w:type="spellEnd"/>
      <w:r w:rsidRPr="00267DF0">
        <w:t xml:space="preserve"> Sea – A </w:t>
      </w:r>
      <w:proofErr w:type="spellStart"/>
      <w:r w:rsidRPr="00267DF0">
        <w:t>change</w:t>
      </w:r>
      <w:proofErr w:type="spellEnd"/>
      <w:r w:rsidRPr="00267DF0">
        <w:t xml:space="preserve"> in </w:t>
      </w:r>
      <w:proofErr w:type="spellStart"/>
      <w:r w:rsidRPr="00267DF0">
        <w:t>management</w:t>
      </w:r>
      <w:proofErr w:type="spellEnd"/>
      <w:r w:rsidRPr="00267DF0">
        <w:t xml:space="preserve"> </w:t>
      </w:r>
      <w:proofErr w:type="spellStart"/>
      <w:r w:rsidRPr="00267DF0">
        <w:t>needed</w:t>
      </w:r>
      <w:proofErr w:type="spellEnd"/>
      <w:r w:rsidRPr="00267DF0">
        <w:t xml:space="preserve"> » (Το πολυετές σχέδιο για τη Βαλτική Θάλασσα – Ανάγκη αλλαγής στη διαχείριση), που δημοσιεύθηκε από τη Γενική Διεύθυνση Συνοχής, Γεωργίας και Κοινωνικών Πολιτικών τον Αύγουστο του 2025</w:t>
      </w:r>
      <w:r w:rsidRPr="00267DF0">
        <w:rPr>
          <w:rStyle w:val="FootnoteReference"/>
        </w:rPr>
        <w:footnoteReference w:id="13"/>
      </w:r>
      <w:r w:rsidRPr="00267DF0">
        <w:t>,</w:t>
      </w:r>
    </w:p>
    <w:p w14:paraId="445416E7" w14:textId="384C4812" w:rsidR="00992C22" w:rsidRPr="00267DF0" w:rsidRDefault="00992C22" w:rsidP="00D93445">
      <w:pPr>
        <w:pStyle w:val="NormalHanging12a"/>
        <w:widowControl/>
      </w:pPr>
      <w:r w:rsidRPr="00267DF0">
        <w:t>–</w:t>
      </w:r>
      <w:r w:rsidRPr="00267DF0">
        <w:tab/>
        <w:t xml:space="preserve">έχοντας υπόψη τη μελέτη της Υπηρεσίας Έρευνας του Ευρωπαϊκού Κοινοβουλίου, του Σεπτεμβρίου </w:t>
      </w:r>
      <w:r w:rsidR="00D93445" w:rsidRPr="00267DF0">
        <w:t xml:space="preserve">του </w:t>
      </w:r>
      <w:r w:rsidRPr="00267DF0">
        <w:t>2025, με τίτλο «</w:t>
      </w:r>
      <w:proofErr w:type="spellStart"/>
      <w:r w:rsidRPr="00267DF0">
        <w:t>Evaluation</w:t>
      </w:r>
      <w:proofErr w:type="spellEnd"/>
      <w:r w:rsidRPr="00267DF0">
        <w:t xml:space="preserve"> of the </w:t>
      </w:r>
      <w:proofErr w:type="spellStart"/>
      <w:r w:rsidRPr="00267DF0">
        <w:t>Baltic</w:t>
      </w:r>
      <w:proofErr w:type="spellEnd"/>
      <w:r w:rsidRPr="00267DF0">
        <w:t xml:space="preserve"> Sea </w:t>
      </w:r>
      <w:proofErr w:type="spellStart"/>
      <w:r w:rsidRPr="00267DF0">
        <w:t>Multiannual</w:t>
      </w:r>
      <w:proofErr w:type="spellEnd"/>
      <w:r w:rsidRPr="00267DF0">
        <w:t xml:space="preserve"> </w:t>
      </w:r>
      <w:proofErr w:type="spellStart"/>
      <w:r w:rsidRPr="00267DF0">
        <w:t>Plan</w:t>
      </w:r>
      <w:proofErr w:type="spellEnd"/>
      <w:r w:rsidRPr="00267DF0">
        <w:t xml:space="preserve"> </w:t>
      </w:r>
      <w:proofErr w:type="spellStart"/>
      <w:r w:rsidRPr="00267DF0">
        <w:t>Regulation</w:t>
      </w:r>
      <w:proofErr w:type="spellEnd"/>
      <w:r w:rsidRPr="00267DF0">
        <w:t xml:space="preserve"> – European </w:t>
      </w:r>
      <w:proofErr w:type="spellStart"/>
      <w:r w:rsidRPr="00267DF0">
        <w:t>Implementation</w:t>
      </w:r>
      <w:proofErr w:type="spellEnd"/>
      <w:r w:rsidRPr="00267DF0">
        <w:t xml:space="preserve"> </w:t>
      </w:r>
      <w:proofErr w:type="spellStart"/>
      <w:r w:rsidRPr="00267DF0">
        <w:t>Assessment</w:t>
      </w:r>
      <w:proofErr w:type="spellEnd"/>
      <w:r w:rsidRPr="00267DF0">
        <w:t>» (Αξιολόγηση του κανονισμού για το πολυετές σχέδιο για τη Βαλτική Θάλασσα – Ευρωπαϊκή αξιολόγηση εφαρμογής),</w:t>
      </w:r>
    </w:p>
    <w:p w14:paraId="68FF66FE" w14:textId="66EC9041" w:rsidR="00992C22" w:rsidRPr="00267DF0" w:rsidRDefault="00992C22" w:rsidP="00D93445">
      <w:pPr>
        <w:pStyle w:val="NormalHanging12a"/>
        <w:widowControl/>
      </w:pPr>
      <w:r w:rsidRPr="00267DF0">
        <w:t>–</w:t>
      </w:r>
      <w:r w:rsidRPr="00267DF0">
        <w:tab/>
        <w:t>έχοντας υπόψη την έκθεση του Ευρωπαϊκού Οργανισμού Περιβάλλοντος, της 29ης</w:t>
      </w:r>
      <w:r w:rsidR="00D93445" w:rsidRPr="00267DF0">
        <w:t> </w:t>
      </w:r>
      <w:r w:rsidRPr="00267DF0">
        <w:t>Σεπτεμβρίου 2025, με τίτλο «</w:t>
      </w:r>
      <w:proofErr w:type="spellStart"/>
      <w:r w:rsidRPr="00267DF0">
        <w:t>Europe’s</w:t>
      </w:r>
      <w:proofErr w:type="spellEnd"/>
      <w:r w:rsidRPr="00267DF0">
        <w:t xml:space="preserve"> </w:t>
      </w:r>
      <w:proofErr w:type="spellStart"/>
      <w:r w:rsidRPr="00267DF0">
        <w:t>environment</w:t>
      </w:r>
      <w:proofErr w:type="spellEnd"/>
      <w:r w:rsidRPr="00267DF0">
        <w:t xml:space="preserve"> and </w:t>
      </w:r>
      <w:proofErr w:type="spellStart"/>
      <w:r w:rsidRPr="00267DF0">
        <w:t>climate</w:t>
      </w:r>
      <w:proofErr w:type="spellEnd"/>
      <w:r w:rsidRPr="00267DF0">
        <w:t xml:space="preserve">: </w:t>
      </w:r>
      <w:proofErr w:type="spellStart"/>
      <w:r w:rsidRPr="00267DF0">
        <w:t>knowledge</w:t>
      </w:r>
      <w:proofErr w:type="spellEnd"/>
      <w:r w:rsidRPr="00267DF0">
        <w:t xml:space="preserve"> for </w:t>
      </w:r>
      <w:proofErr w:type="spellStart"/>
      <w:r w:rsidRPr="00267DF0">
        <w:t>resilience</w:t>
      </w:r>
      <w:proofErr w:type="spellEnd"/>
      <w:r w:rsidRPr="00267DF0">
        <w:t xml:space="preserve">, </w:t>
      </w:r>
      <w:proofErr w:type="spellStart"/>
      <w:r w:rsidRPr="00267DF0">
        <w:t>prosperity</w:t>
      </w:r>
      <w:proofErr w:type="spellEnd"/>
      <w:r w:rsidRPr="00267DF0">
        <w:t xml:space="preserve"> and </w:t>
      </w:r>
      <w:proofErr w:type="spellStart"/>
      <w:r w:rsidRPr="00267DF0">
        <w:t>sustainability</w:t>
      </w:r>
      <w:proofErr w:type="spellEnd"/>
      <w:r w:rsidRPr="00267DF0">
        <w:t>» (Το περιβάλλον και το κλίμα της Ευρώπης: γνώση για την ανθεκτικότητα, την ευημερία και τη βιωσιμότητα),</w:t>
      </w:r>
    </w:p>
    <w:p w14:paraId="291F1EA1" w14:textId="77777777" w:rsidR="00992C22" w:rsidRPr="00267DF0" w:rsidRDefault="00992C22" w:rsidP="00D93445">
      <w:pPr>
        <w:pStyle w:val="NormalHanging12a"/>
        <w:widowControl/>
      </w:pPr>
      <w:r w:rsidRPr="00267DF0">
        <w:t>–</w:t>
      </w:r>
      <w:r w:rsidRPr="00267DF0">
        <w:tab/>
        <w:t>έχοντας υπόψη την έκθεση της HELCOM, της 31ης Οκτωβρίου 2023, με τίτλο «</w:t>
      </w:r>
      <w:proofErr w:type="spellStart"/>
      <w:r w:rsidRPr="00267DF0">
        <w:t>State</w:t>
      </w:r>
      <w:proofErr w:type="spellEnd"/>
      <w:r w:rsidRPr="00267DF0">
        <w:t xml:space="preserve"> of the </w:t>
      </w:r>
      <w:proofErr w:type="spellStart"/>
      <w:r w:rsidRPr="00267DF0">
        <w:t>Baltic</w:t>
      </w:r>
      <w:proofErr w:type="spellEnd"/>
      <w:r w:rsidRPr="00267DF0">
        <w:t xml:space="preserve"> Sea 2023 – </w:t>
      </w:r>
      <w:proofErr w:type="spellStart"/>
      <w:r w:rsidRPr="00267DF0">
        <w:t>Third</w:t>
      </w:r>
      <w:proofErr w:type="spellEnd"/>
      <w:r w:rsidRPr="00267DF0">
        <w:t xml:space="preserve"> HELCOM </w:t>
      </w:r>
      <w:proofErr w:type="spellStart"/>
      <w:r w:rsidRPr="00267DF0">
        <w:t>holistic</w:t>
      </w:r>
      <w:proofErr w:type="spellEnd"/>
      <w:r w:rsidRPr="00267DF0">
        <w:t xml:space="preserve"> </w:t>
      </w:r>
      <w:proofErr w:type="spellStart"/>
      <w:r w:rsidRPr="00267DF0">
        <w:t>assessment</w:t>
      </w:r>
      <w:proofErr w:type="spellEnd"/>
      <w:r w:rsidRPr="00267DF0">
        <w:t xml:space="preserve"> 2016-2021» (Η κατάσταση της Βαλτικής Θάλασσας το 2023 – Τρίτη ολιστική αξιολόγηση της HELCOM 2016-2021),</w:t>
      </w:r>
    </w:p>
    <w:p w14:paraId="29E6BFBC" w14:textId="77777777" w:rsidR="00992C22" w:rsidRPr="00267DF0" w:rsidRDefault="00992C22" w:rsidP="00D93445">
      <w:pPr>
        <w:pStyle w:val="NormalHanging12a"/>
        <w:widowControl/>
      </w:pPr>
      <w:r w:rsidRPr="00267DF0">
        <w:t>–</w:t>
      </w:r>
      <w:r w:rsidRPr="00267DF0">
        <w:tab/>
        <w:t>έχοντας υπόψη τις δεσμεύσεις των κρατών στο πλαίσιο των Στόχων Βιώσιμης Ανάπτυξης (ΣΒΑ) των Ηνωμένων Εθνών, και συγκεκριμένα τους ΣΒΑ 3, 6 και 14,</w:t>
      </w:r>
    </w:p>
    <w:p w14:paraId="14566072" w14:textId="77777777" w:rsidR="00992C22" w:rsidRPr="00267DF0" w:rsidRDefault="00992C22" w:rsidP="00D93445">
      <w:pPr>
        <w:pStyle w:val="NormalHanging12a"/>
        <w:widowControl/>
      </w:pPr>
      <w:r w:rsidRPr="00267DF0">
        <w:t>–</w:t>
      </w:r>
      <w:r w:rsidRPr="00267DF0">
        <w:tab/>
        <w:t>έχοντας υπόψη την έκθεση του Διεθνούς Συμβουλίου Εξερεύνησης της Θάλασσας (ICES), της 26ης Νοεμβρίου 2024, με τίτλο «</w:t>
      </w:r>
      <w:proofErr w:type="spellStart"/>
      <w:r w:rsidRPr="00267DF0">
        <w:t>Baltic</w:t>
      </w:r>
      <w:proofErr w:type="spellEnd"/>
      <w:r w:rsidRPr="00267DF0">
        <w:t xml:space="preserve"> Sea </w:t>
      </w:r>
      <w:proofErr w:type="spellStart"/>
      <w:r w:rsidRPr="00267DF0">
        <w:t>ecoregion</w:t>
      </w:r>
      <w:proofErr w:type="spellEnd"/>
      <w:r w:rsidRPr="00267DF0">
        <w:t xml:space="preserve"> – </w:t>
      </w:r>
      <w:proofErr w:type="spellStart"/>
      <w:r w:rsidRPr="00267DF0">
        <w:t>Ecosystem</w:t>
      </w:r>
      <w:proofErr w:type="spellEnd"/>
      <w:r w:rsidRPr="00267DF0">
        <w:t xml:space="preserve"> </w:t>
      </w:r>
      <w:proofErr w:type="spellStart"/>
      <w:r w:rsidRPr="00267DF0">
        <w:t>Overview</w:t>
      </w:r>
      <w:proofErr w:type="spellEnd"/>
      <w:r w:rsidRPr="00267DF0">
        <w:t>» (</w:t>
      </w:r>
      <w:proofErr w:type="spellStart"/>
      <w:r w:rsidRPr="00267DF0">
        <w:t>Οικοπεριοχή</w:t>
      </w:r>
      <w:proofErr w:type="spellEnd"/>
      <w:r w:rsidRPr="00267DF0">
        <w:t xml:space="preserve"> της Βαλτικής Θάλασσας – Επισκόπηση του οικοσυστήματος), γνωμοδότηση του ICES 2024, τμήμα 7.1,</w:t>
      </w:r>
    </w:p>
    <w:p w14:paraId="50BEC463" w14:textId="77777777" w:rsidR="00992C22" w:rsidRPr="00267DF0" w:rsidRDefault="00992C22" w:rsidP="00D93445">
      <w:pPr>
        <w:pStyle w:val="NormalHanging12a"/>
        <w:widowControl/>
      </w:pPr>
      <w:r w:rsidRPr="00267DF0">
        <w:t>–</w:t>
      </w:r>
      <w:r w:rsidRPr="00267DF0">
        <w:tab/>
      </w:r>
      <w:bookmarkStart w:id="7" w:name="_Hlk212108900"/>
      <w:r w:rsidRPr="00267DF0">
        <w:t>έχοντας υπόψη την έκθεση του ICES του 2022 με τίτλο «</w:t>
      </w:r>
      <w:proofErr w:type="spellStart"/>
      <w:r w:rsidRPr="00267DF0">
        <w:t>Workshop</w:t>
      </w:r>
      <w:proofErr w:type="spellEnd"/>
      <w:r w:rsidRPr="00267DF0">
        <w:t xml:space="preserve"> on ICES </w:t>
      </w:r>
      <w:proofErr w:type="spellStart"/>
      <w:r w:rsidRPr="00267DF0">
        <w:t>reference</w:t>
      </w:r>
      <w:proofErr w:type="spellEnd"/>
      <w:r w:rsidRPr="00267DF0">
        <w:t xml:space="preserve"> </w:t>
      </w:r>
      <w:proofErr w:type="spellStart"/>
      <w:r w:rsidRPr="00267DF0">
        <w:t>points</w:t>
      </w:r>
      <w:proofErr w:type="spellEnd"/>
      <w:r w:rsidRPr="00267DF0">
        <w:t xml:space="preserve"> (WKREF1)</w:t>
      </w:r>
      <w:bookmarkEnd w:id="7"/>
      <w:r w:rsidRPr="00267DF0">
        <w:t>» (Εργαστήριο σχετικά με τα σημεία αναφοράς του ICES)</w:t>
      </w:r>
      <w:r w:rsidRPr="00267DF0">
        <w:rPr>
          <w:rStyle w:val="FootnoteReference"/>
        </w:rPr>
        <w:footnoteReference w:id="14"/>
      </w:r>
      <w:r w:rsidRPr="00267DF0">
        <w:t xml:space="preserve">, </w:t>
      </w:r>
    </w:p>
    <w:p w14:paraId="4180F50A" w14:textId="77777777" w:rsidR="00992C22" w:rsidRPr="00267DF0" w:rsidRDefault="00992C22" w:rsidP="00D93445">
      <w:pPr>
        <w:pStyle w:val="NormalHanging12a"/>
        <w:widowControl/>
      </w:pPr>
      <w:r w:rsidRPr="00267DF0">
        <w:t>–</w:t>
      </w:r>
      <w:r w:rsidRPr="00267DF0">
        <w:tab/>
        <w:t>έχοντας υπόψη την έκθεση του ICES του 2022 με τίτλο «</w:t>
      </w:r>
      <w:proofErr w:type="spellStart"/>
      <w:r w:rsidRPr="00267DF0">
        <w:t>Workshop</w:t>
      </w:r>
      <w:proofErr w:type="spellEnd"/>
      <w:r w:rsidRPr="00267DF0">
        <w:t xml:space="preserve"> on ICES </w:t>
      </w:r>
      <w:proofErr w:type="spellStart"/>
      <w:r w:rsidRPr="00267DF0">
        <w:t>reference</w:t>
      </w:r>
      <w:proofErr w:type="spellEnd"/>
      <w:r w:rsidRPr="00267DF0">
        <w:t xml:space="preserve"> </w:t>
      </w:r>
      <w:proofErr w:type="spellStart"/>
      <w:r w:rsidRPr="00267DF0">
        <w:t>points</w:t>
      </w:r>
      <w:proofErr w:type="spellEnd"/>
      <w:r w:rsidRPr="00267DF0">
        <w:t xml:space="preserve"> (WKREF2)» (Εργαστήριο σχετικά με τα σημεία αναφοράς του ICES)</w:t>
      </w:r>
      <w:r w:rsidRPr="00267DF0">
        <w:rPr>
          <w:rStyle w:val="FootnoteReference"/>
        </w:rPr>
        <w:footnoteReference w:id="15"/>
      </w:r>
      <w:r w:rsidRPr="00267DF0">
        <w:t>,</w:t>
      </w:r>
    </w:p>
    <w:p w14:paraId="0B4549C4" w14:textId="77777777" w:rsidR="00992C22" w:rsidRPr="00267DF0" w:rsidRDefault="00992C22" w:rsidP="00D93445">
      <w:pPr>
        <w:pStyle w:val="NormalHanging12a"/>
        <w:widowControl/>
      </w:pPr>
      <w:r w:rsidRPr="00267DF0">
        <w:t>–</w:t>
      </w:r>
      <w:r w:rsidRPr="00267DF0">
        <w:tab/>
        <w:t>έχοντας υπόψη την έκθεση του ICES του 2023 με τίτλο «</w:t>
      </w:r>
      <w:proofErr w:type="spellStart"/>
      <w:r w:rsidRPr="00267DF0">
        <w:t>Workshop</w:t>
      </w:r>
      <w:proofErr w:type="spellEnd"/>
      <w:r w:rsidRPr="00267DF0">
        <w:t xml:space="preserve"> on </w:t>
      </w:r>
      <w:proofErr w:type="spellStart"/>
      <w:r w:rsidRPr="00267DF0">
        <w:t>guidelines</w:t>
      </w:r>
      <w:proofErr w:type="spellEnd"/>
      <w:r w:rsidRPr="00267DF0">
        <w:t xml:space="preserve"> and </w:t>
      </w:r>
      <w:proofErr w:type="spellStart"/>
      <w:r w:rsidRPr="00267DF0">
        <w:t>methods</w:t>
      </w:r>
      <w:proofErr w:type="spellEnd"/>
      <w:r w:rsidRPr="00267DF0">
        <w:t xml:space="preserve"> for the </w:t>
      </w:r>
      <w:proofErr w:type="spellStart"/>
      <w:r w:rsidRPr="00267DF0">
        <w:t>design</w:t>
      </w:r>
      <w:proofErr w:type="spellEnd"/>
      <w:r w:rsidRPr="00267DF0">
        <w:t xml:space="preserve"> and </w:t>
      </w:r>
      <w:proofErr w:type="spellStart"/>
      <w:r w:rsidRPr="00267DF0">
        <w:t>evaluation</w:t>
      </w:r>
      <w:proofErr w:type="spellEnd"/>
      <w:r w:rsidRPr="00267DF0">
        <w:t xml:space="preserve"> of </w:t>
      </w:r>
      <w:proofErr w:type="spellStart"/>
      <w:r w:rsidRPr="00267DF0">
        <w:t>rebuilding</w:t>
      </w:r>
      <w:proofErr w:type="spellEnd"/>
      <w:r w:rsidRPr="00267DF0">
        <w:t xml:space="preserve"> </w:t>
      </w:r>
      <w:proofErr w:type="spellStart"/>
      <w:r w:rsidRPr="00267DF0">
        <w:t>plans</w:t>
      </w:r>
      <w:proofErr w:type="spellEnd"/>
      <w:r w:rsidRPr="00267DF0">
        <w:t xml:space="preserve"> for </w:t>
      </w:r>
      <w:proofErr w:type="spellStart"/>
      <w:r w:rsidRPr="00267DF0">
        <w:t>category</w:t>
      </w:r>
      <w:proofErr w:type="spellEnd"/>
      <w:r w:rsidRPr="00267DF0">
        <w:t xml:space="preserve"> 1-2 </w:t>
      </w:r>
      <w:proofErr w:type="spellStart"/>
      <w:r w:rsidRPr="00267DF0">
        <w:t>stocks</w:t>
      </w:r>
      <w:proofErr w:type="spellEnd"/>
      <w:r w:rsidRPr="00267DF0">
        <w:t xml:space="preserve"> (WKREBUILD2)» (Εργαστήριο σχετικά με κατευθυντήριες γραμμές και μεθόδους για τον σχεδιασμό και την αξιολόγηση σχεδίων για την ανασύσταση των αποθεμάτων κατηγοριών 1-2)</w:t>
      </w:r>
      <w:r w:rsidRPr="00267DF0">
        <w:rPr>
          <w:rStyle w:val="FootnoteReference"/>
        </w:rPr>
        <w:footnoteReference w:id="16"/>
      </w:r>
      <w:r w:rsidRPr="00267DF0">
        <w:t>,</w:t>
      </w:r>
    </w:p>
    <w:p w14:paraId="7C2BA277" w14:textId="53DC9D42" w:rsidR="00992C22" w:rsidRPr="00267DF0" w:rsidRDefault="00992C22" w:rsidP="00D93445">
      <w:pPr>
        <w:pStyle w:val="NormalHanging12a"/>
        <w:widowControl/>
      </w:pPr>
      <w:r w:rsidRPr="00267DF0">
        <w:t>–</w:t>
      </w:r>
      <w:r w:rsidRPr="00267DF0">
        <w:tab/>
        <w:t>έχοντας υπόψη την έκθεση του Κοινού Κέντρου Ερευνών της Επιτροπής, του Νοεμβρίου</w:t>
      </w:r>
      <w:r w:rsidR="00D93445" w:rsidRPr="00267DF0">
        <w:t xml:space="preserve"> του</w:t>
      </w:r>
      <w:r w:rsidRPr="00267DF0">
        <w:t xml:space="preserve"> 2025, με τίτλο «Επιστημονική, Τεχνική και Οικονομική Επιτροπή Αλιείας (ΕΤΟΕΑ) – Ετήσια οικονομική έκθεση 2025 σχετικά με τον αλιευτικό στόλο της ΕΕ (STECF-25-03 &amp; STECF-25-07)»,</w:t>
      </w:r>
    </w:p>
    <w:p w14:paraId="3104AD43" w14:textId="2026D46E" w:rsidR="00992C22" w:rsidRPr="00267DF0" w:rsidRDefault="00992C22" w:rsidP="00D93445">
      <w:pPr>
        <w:pStyle w:val="NormalHanging12a"/>
        <w:widowControl/>
      </w:pPr>
      <w:r w:rsidRPr="00267DF0">
        <w:t>–</w:t>
      </w:r>
      <w:r w:rsidRPr="00267DF0">
        <w:tab/>
        <w:t xml:space="preserve">έχοντας υπόψη την έκθεση της Διακυβερνητικής Επιτροπής για την Κλιματική Αλλαγή, του Σεπτεμβρίου </w:t>
      </w:r>
      <w:r w:rsidR="00D93445" w:rsidRPr="00267DF0">
        <w:t xml:space="preserve">του </w:t>
      </w:r>
      <w:r w:rsidRPr="00267DF0">
        <w:t xml:space="preserve">2019, με τίτλο «Ειδική έκθεση για τους ωκεανούς και την </w:t>
      </w:r>
      <w:proofErr w:type="spellStart"/>
      <w:r w:rsidRPr="00267DF0">
        <w:t>κρυόσφαιρα</w:t>
      </w:r>
      <w:proofErr w:type="spellEnd"/>
      <w:r w:rsidRPr="00267DF0">
        <w:t xml:space="preserve"> σε ένα μεταβαλλόμενο κλίμα»,</w:t>
      </w:r>
    </w:p>
    <w:p w14:paraId="1B77AAE6" w14:textId="617FACB1" w:rsidR="00992C22" w:rsidRPr="00267DF0" w:rsidRDefault="00992C22" w:rsidP="00D93445">
      <w:pPr>
        <w:pStyle w:val="NormalHanging12a"/>
        <w:widowControl/>
      </w:pPr>
      <w:r w:rsidRPr="00267DF0">
        <w:t>–</w:t>
      </w:r>
      <w:r w:rsidRPr="00267DF0">
        <w:tab/>
        <w:t xml:space="preserve">έχοντας υπόψη την έκθεση της θαλάσσιας υπηρεσίας του </w:t>
      </w:r>
      <w:proofErr w:type="spellStart"/>
      <w:r w:rsidRPr="00267DF0">
        <w:t>Copernicus</w:t>
      </w:r>
      <w:proofErr w:type="spellEnd"/>
      <w:r w:rsidRPr="00267DF0">
        <w:t xml:space="preserve">, του Σεπτεμβρίου </w:t>
      </w:r>
      <w:r w:rsidR="00D93445" w:rsidRPr="00267DF0">
        <w:t xml:space="preserve">του </w:t>
      </w:r>
      <w:r w:rsidRPr="00267DF0">
        <w:t xml:space="preserve">2025, με τίτλο «9η έκδοση της έκθεσης του </w:t>
      </w:r>
      <w:proofErr w:type="spellStart"/>
      <w:r w:rsidRPr="00267DF0">
        <w:t>Copernicus</w:t>
      </w:r>
      <w:proofErr w:type="spellEnd"/>
      <w:r w:rsidRPr="00267DF0">
        <w:t xml:space="preserve"> για την κατάσταση των ωκεανών»,</w:t>
      </w:r>
    </w:p>
    <w:p w14:paraId="58E3FEF0" w14:textId="77777777" w:rsidR="00992C22" w:rsidRPr="00267DF0" w:rsidRDefault="00992C22" w:rsidP="00D93445">
      <w:pPr>
        <w:pStyle w:val="NormalHanging12a"/>
        <w:widowControl/>
      </w:pPr>
      <w:r w:rsidRPr="00267DF0">
        <w:t>–</w:t>
      </w:r>
      <w:r w:rsidRPr="00267DF0">
        <w:tab/>
        <w:t xml:space="preserve">έχοντας υπόψη την έκθεση του Ινστιτούτου έρευνας κλιματικών επιπτώσεων του </w:t>
      </w:r>
      <w:proofErr w:type="spellStart"/>
      <w:r w:rsidRPr="00267DF0">
        <w:t>Potsdam</w:t>
      </w:r>
      <w:proofErr w:type="spellEnd"/>
      <w:r w:rsidRPr="00267DF0">
        <w:t>, της 24ης Σεπτεμβρίου 2025, με τίτλο «</w:t>
      </w:r>
      <w:proofErr w:type="spellStart"/>
      <w:r w:rsidRPr="00267DF0">
        <w:t>Planetary</w:t>
      </w:r>
      <w:proofErr w:type="spellEnd"/>
      <w:r w:rsidRPr="00267DF0">
        <w:t xml:space="preserve"> Health </w:t>
      </w:r>
      <w:proofErr w:type="spellStart"/>
      <w:r w:rsidRPr="00267DF0">
        <w:t>Check</w:t>
      </w:r>
      <w:proofErr w:type="spellEnd"/>
      <w:r w:rsidRPr="00267DF0">
        <w:t xml:space="preserve"> 2025: A Scientific </w:t>
      </w:r>
      <w:proofErr w:type="spellStart"/>
      <w:r w:rsidRPr="00267DF0">
        <w:t>Assessment</w:t>
      </w:r>
      <w:proofErr w:type="spellEnd"/>
      <w:r w:rsidRPr="00267DF0">
        <w:t xml:space="preserve"> of the </w:t>
      </w:r>
      <w:proofErr w:type="spellStart"/>
      <w:r w:rsidRPr="00267DF0">
        <w:t>State</w:t>
      </w:r>
      <w:proofErr w:type="spellEnd"/>
      <w:r w:rsidRPr="00267DF0">
        <w:t xml:space="preserve"> of the Planet» (Έλεγχος της υγείας του πλανήτη το 2025: Επιστημονική αξιολόγηση της κατάστασης του πλανήτη),</w:t>
      </w:r>
    </w:p>
    <w:p w14:paraId="3DB81EAB" w14:textId="7CD95EBF" w:rsidR="00992C22" w:rsidRPr="00267DF0" w:rsidRDefault="00992C22" w:rsidP="00D93445">
      <w:pPr>
        <w:pStyle w:val="NormalHanging12a"/>
        <w:widowControl/>
        <w:rPr>
          <w:bCs/>
          <w:iCs/>
        </w:rPr>
      </w:pPr>
      <w:r w:rsidRPr="00267DF0">
        <w:t>–</w:t>
      </w:r>
      <w:r w:rsidRPr="00267DF0">
        <w:tab/>
        <w:t>έχοντας υπόψη την έκθεση του Προγράμματος των Ηνωμένων Εθνών για το Περιβάλλον (UNEP) του 2016</w:t>
      </w:r>
      <w:r w:rsidR="00D93445" w:rsidRPr="00267DF0">
        <w:t>,</w:t>
      </w:r>
      <w:r w:rsidRPr="00267DF0">
        <w:t xml:space="preserve"> με τίτλο «</w:t>
      </w:r>
      <w:proofErr w:type="spellStart"/>
      <w:r w:rsidRPr="00267DF0">
        <w:t>Options</w:t>
      </w:r>
      <w:proofErr w:type="spellEnd"/>
      <w:r w:rsidRPr="00267DF0">
        <w:t xml:space="preserve"> for </w:t>
      </w:r>
      <w:proofErr w:type="spellStart"/>
      <w:r w:rsidRPr="00267DF0">
        <w:t>Ecosystem-based</w:t>
      </w:r>
      <w:proofErr w:type="spellEnd"/>
      <w:r w:rsidRPr="00267DF0">
        <w:t xml:space="preserve"> </w:t>
      </w:r>
      <w:proofErr w:type="spellStart"/>
      <w:r w:rsidRPr="00267DF0">
        <w:t>Adaptation</w:t>
      </w:r>
      <w:proofErr w:type="spellEnd"/>
      <w:r w:rsidRPr="00267DF0">
        <w:t xml:space="preserve"> (EBA) in </w:t>
      </w:r>
      <w:proofErr w:type="spellStart"/>
      <w:r w:rsidRPr="00267DF0">
        <w:t>Coastal</w:t>
      </w:r>
      <w:proofErr w:type="spellEnd"/>
      <w:r w:rsidRPr="00267DF0">
        <w:t xml:space="preserve"> </w:t>
      </w:r>
      <w:proofErr w:type="spellStart"/>
      <w:r w:rsidRPr="00267DF0">
        <w:t>Environments</w:t>
      </w:r>
      <w:proofErr w:type="spellEnd"/>
      <w:r w:rsidRPr="00267DF0">
        <w:t xml:space="preserve">: A </w:t>
      </w:r>
      <w:proofErr w:type="spellStart"/>
      <w:r w:rsidRPr="00267DF0">
        <w:t>Guide</w:t>
      </w:r>
      <w:proofErr w:type="spellEnd"/>
      <w:r w:rsidRPr="00267DF0">
        <w:t xml:space="preserve"> for </w:t>
      </w:r>
      <w:proofErr w:type="spellStart"/>
      <w:r w:rsidRPr="00267DF0">
        <w:t>environmental</w:t>
      </w:r>
      <w:proofErr w:type="spellEnd"/>
      <w:r w:rsidRPr="00267DF0">
        <w:t xml:space="preserve"> </w:t>
      </w:r>
      <w:proofErr w:type="spellStart"/>
      <w:r w:rsidRPr="00267DF0">
        <w:t>managers</w:t>
      </w:r>
      <w:proofErr w:type="spellEnd"/>
      <w:r w:rsidRPr="00267DF0">
        <w:t xml:space="preserve"> and </w:t>
      </w:r>
      <w:proofErr w:type="spellStart"/>
      <w:r w:rsidRPr="00267DF0">
        <w:t>planners</w:t>
      </w:r>
      <w:proofErr w:type="spellEnd"/>
      <w:r w:rsidRPr="00267DF0">
        <w:t>» (Επιλογές για την προσαρμογή με βάση τα οικοσυστήματα σε παράκτια περιβάλλοντα: Οδηγός για διαχειριστές και σχεδιαστές περιβάλλοντος),</w:t>
      </w:r>
    </w:p>
    <w:p w14:paraId="5B7D6C06" w14:textId="77777777" w:rsidR="00992C22" w:rsidRPr="00267DF0" w:rsidRDefault="00992C22" w:rsidP="00D93445">
      <w:pPr>
        <w:pStyle w:val="NormalHanging12a"/>
        <w:widowControl/>
      </w:pPr>
      <w:r w:rsidRPr="00267DF0">
        <w:t>–</w:t>
      </w:r>
      <w:r w:rsidRPr="00267DF0">
        <w:tab/>
        <w:t>έχοντας υπόψη το ψήφισμα 1612 (2008) της Κοινοβουλευτικής Συνέλευσης του Συμβουλίου της Ευρώπης σχετικά με τα χημικά πυρομαχικά που θάβονται στη Βαλτική Θάλασσα, και τη συνοδευτική έκθεση της 28ης Απριλίου 2008,</w:t>
      </w:r>
    </w:p>
    <w:p w14:paraId="75A5FD37" w14:textId="77777777" w:rsidR="00992C22" w:rsidRPr="00267DF0" w:rsidRDefault="00992C22" w:rsidP="00D93445">
      <w:pPr>
        <w:pStyle w:val="NormalHanging12a"/>
        <w:widowControl/>
      </w:pPr>
      <w:r w:rsidRPr="00267DF0">
        <w:rPr>
          <w:b/>
        </w:rPr>
        <w:t>–</w:t>
      </w:r>
      <w:r w:rsidRPr="00267DF0">
        <w:tab/>
        <w:t>έχοντας υπόψη την κοινή δήλωση της Γενικής Διεύθυνσης Θαλάσσιας Πολιτικής και Αλιείας της Επιτροπής και του ICES, της 18ης Σεπτεμβρίου 2025, με τίτλο «</w:t>
      </w:r>
      <w:proofErr w:type="spellStart"/>
      <w:r w:rsidRPr="00267DF0">
        <w:t>Adaptive</w:t>
      </w:r>
      <w:proofErr w:type="spellEnd"/>
      <w:r w:rsidRPr="00267DF0">
        <w:t xml:space="preserve"> </w:t>
      </w:r>
      <w:proofErr w:type="spellStart"/>
      <w:r w:rsidRPr="00267DF0">
        <w:t>science</w:t>
      </w:r>
      <w:proofErr w:type="spellEnd"/>
      <w:r w:rsidRPr="00267DF0">
        <w:t xml:space="preserve"> and </w:t>
      </w:r>
      <w:proofErr w:type="spellStart"/>
      <w:r w:rsidRPr="00267DF0">
        <w:t>coordinated</w:t>
      </w:r>
      <w:proofErr w:type="spellEnd"/>
      <w:r w:rsidRPr="00267DF0">
        <w:t xml:space="preserve"> </w:t>
      </w:r>
      <w:proofErr w:type="spellStart"/>
      <w:r w:rsidRPr="00267DF0">
        <w:t>governance</w:t>
      </w:r>
      <w:proofErr w:type="spellEnd"/>
      <w:r w:rsidRPr="00267DF0">
        <w:t xml:space="preserve"> for </w:t>
      </w:r>
      <w:proofErr w:type="spellStart"/>
      <w:r w:rsidRPr="00267DF0">
        <w:t>cross-sector</w:t>
      </w:r>
      <w:proofErr w:type="spellEnd"/>
      <w:r w:rsidRPr="00267DF0">
        <w:t xml:space="preserve"> </w:t>
      </w:r>
      <w:proofErr w:type="spellStart"/>
      <w:r w:rsidRPr="00267DF0">
        <w:t>action</w:t>
      </w:r>
      <w:proofErr w:type="spellEnd"/>
      <w:r w:rsidRPr="00267DF0">
        <w:t xml:space="preserve"> </w:t>
      </w:r>
      <w:proofErr w:type="spellStart"/>
      <w:r w:rsidRPr="00267DF0">
        <w:t>towards</w:t>
      </w:r>
      <w:proofErr w:type="spellEnd"/>
      <w:r w:rsidRPr="00267DF0">
        <w:t xml:space="preserve"> </w:t>
      </w:r>
      <w:proofErr w:type="spellStart"/>
      <w:r w:rsidRPr="00267DF0">
        <w:t>Baltic</w:t>
      </w:r>
      <w:proofErr w:type="spellEnd"/>
      <w:r w:rsidRPr="00267DF0">
        <w:t xml:space="preserve"> Sea </w:t>
      </w:r>
      <w:proofErr w:type="spellStart"/>
      <w:r w:rsidRPr="00267DF0">
        <w:t>recovery</w:t>
      </w:r>
      <w:proofErr w:type="spellEnd"/>
      <w:r w:rsidRPr="00267DF0">
        <w:t>» (Ευέλικτη επιστήμη και συντονισμένη διακυβέρνηση για τη διατομεακή δράση για την αποκατάσταση της Βαλτικής Θάλασσας),</w:t>
      </w:r>
    </w:p>
    <w:p w14:paraId="7BF01B6A" w14:textId="77777777" w:rsidR="00992C22" w:rsidRPr="00267DF0" w:rsidRDefault="00992C22" w:rsidP="00D93445">
      <w:pPr>
        <w:pStyle w:val="NormalHanging12a"/>
        <w:widowControl/>
      </w:pPr>
      <w:r w:rsidRPr="00267DF0">
        <w:t>–</w:t>
      </w:r>
      <w:r w:rsidRPr="00267DF0">
        <w:tab/>
        <w:t>έχοντας υπόψη την έκθεση της Επιτροπής Αλιείας, της 28ης Απριλίου 2025, με τίτλο «Έγγραφο εργασίας σχετικά με την εφαρμογή του κανονισμού (ΕΕ) 2016/1139 (“πολυετές σχέδιο για τη Βαλτική”)»,</w:t>
      </w:r>
    </w:p>
    <w:p w14:paraId="4558BC33" w14:textId="77777777" w:rsidR="00992C22" w:rsidRPr="00267DF0" w:rsidRDefault="00992C22" w:rsidP="00D93445">
      <w:pPr>
        <w:pStyle w:val="NormalHanging12a"/>
        <w:widowControl/>
        <w:rPr>
          <w:bCs/>
          <w:iCs/>
        </w:rPr>
      </w:pPr>
      <w:r w:rsidRPr="00267DF0">
        <w:t>–</w:t>
      </w:r>
      <w:r w:rsidRPr="00267DF0">
        <w:tab/>
        <w:t>έχοντας υπόψη το Πλαίσιο για ένα ευρωπαϊκό σχέδιο διαχείρισης για τον κορμοράνο της Ευρωπαϊκής Συμβουλευτικής Επιτροπής για την Αλιεία στα Εσωτερικά Ύδατα του Οργανισμού Τροφίμων και Γεωργίας, του Απριλίου 2025,</w:t>
      </w:r>
    </w:p>
    <w:p w14:paraId="7838D2C1" w14:textId="77777777" w:rsidR="00992C22" w:rsidRPr="00267DF0" w:rsidRDefault="00992C22" w:rsidP="00D93445">
      <w:pPr>
        <w:pStyle w:val="NormalHanging12a"/>
        <w:widowControl/>
      </w:pPr>
      <w:r w:rsidRPr="00267DF0">
        <w:t>–</w:t>
      </w:r>
      <w:r w:rsidRPr="00267DF0">
        <w:tab/>
        <w:t>έχοντας υπόψη το άρθρο 55 του Κανονισμού του,</w:t>
      </w:r>
    </w:p>
    <w:p w14:paraId="36FA3B56" w14:textId="77777777" w:rsidR="00992C22" w:rsidRPr="00267DF0" w:rsidRDefault="00992C22" w:rsidP="00D93445">
      <w:pPr>
        <w:pStyle w:val="NormalHanging12a"/>
        <w:widowControl/>
      </w:pPr>
      <w:r w:rsidRPr="00267DF0">
        <w:t>–</w:t>
      </w:r>
      <w:r w:rsidRPr="00267DF0">
        <w:tab/>
        <w:t>έχοντας υπόψη την έκθεση της Επιτροπής Αλιείας (A10-0121/2026),</w:t>
      </w:r>
    </w:p>
    <w:p w14:paraId="38C32A95" w14:textId="799496DF" w:rsidR="00992C22" w:rsidRPr="00267DF0" w:rsidRDefault="00992C22" w:rsidP="00D93445">
      <w:pPr>
        <w:pStyle w:val="NormalHanging12a"/>
        <w:widowControl/>
      </w:pPr>
      <w:r w:rsidRPr="00267DF0">
        <w:t>Α.</w:t>
      </w:r>
      <w:r w:rsidRPr="00267DF0">
        <w:tab/>
      </w:r>
      <w:bookmarkStart w:id="8" w:name="_Hlk227154998"/>
      <w:r w:rsidRPr="00267DF0">
        <w:t xml:space="preserve">λαμβάνοντας υπόψη ότι το πολυετές σχέδιο της ΕΕ για την αλιεία στη Βαλτική Θάλασσα (κανονισμός για το πολυετές σχέδιο για τη Βαλτική), στο πλαίσιο των αυξανόμενων περιβαλλοντικών πιέσεων στο οικοσύστημα της Βαλτικής Θάλασσας, </w:t>
      </w:r>
      <w:r w:rsidR="00B14730" w:rsidRPr="00267DF0">
        <w:t xml:space="preserve">έχει επιτύχει τους πρωταρχικούς οικολογικούς και κοινωνικοοικονομικούς στόχους του· λαμβάνοντας υπόψη ότι, παρά τις σημαντικές μειώσεις της αλιευτικής προσπάθειας τα τελευταία χρόνια, ορισμένοι πληθυσμοί ιχθυαποθεμάτων έχουν επιδεινωθεί λόγω συνδυασμού πιέσεων πέραν της αλιευτικής δραστηριότητας, συμπεριλαμβανομένων του ευτροφισμού, της </w:t>
      </w:r>
      <w:r w:rsidR="00895D30" w:rsidRPr="00267DF0">
        <w:t>υπεράκτιας παραγωγής ενέργειας</w:t>
      </w:r>
      <w:r w:rsidR="00B14730" w:rsidRPr="00267DF0">
        <w:t xml:space="preserve">, </w:t>
      </w:r>
      <w:r w:rsidR="00895D30" w:rsidRPr="00267DF0">
        <w:t xml:space="preserve">του αντίκτυπου των θηρευτών, </w:t>
      </w:r>
      <w:r w:rsidR="00B14730" w:rsidRPr="00267DF0">
        <w:t xml:space="preserve">της ρύπανσης, </w:t>
      </w:r>
      <w:r w:rsidR="00895D30" w:rsidRPr="00267DF0">
        <w:t xml:space="preserve">της υποβάθμισης </w:t>
      </w:r>
      <w:r w:rsidR="00267DF0" w:rsidRPr="00267DF0">
        <w:t xml:space="preserve">των </w:t>
      </w:r>
      <w:r w:rsidR="00895D30" w:rsidRPr="00267DF0">
        <w:t>οικοτόπ</w:t>
      </w:r>
      <w:r w:rsidR="00267DF0" w:rsidRPr="00267DF0">
        <w:t>ων</w:t>
      </w:r>
      <w:r w:rsidR="00895D30" w:rsidRPr="00267DF0">
        <w:t xml:space="preserve"> </w:t>
      </w:r>
      <w:r w:rsidR="00B14730" w:rsidRPr="00267DF0">
        <w:t xml:space="preserve">και των αλλαγών </w:t>
      </w:r>
      <w:r w:rsidR="00895D30" w:rsidRPr="00267DF0">
        <w:t xml:space="preserve">στα οικοσυστήματα </w:t>
      </w:r>
      <w:r w:rsidR="00B14730" w:rsidRPr="00267DF0">
        <w:t xml:space="preserve">που οφείλονται στο κλίμα, με αποτέλεσμα να υπάρξουν </w:t>
      </w:r>
      <w:r w:rsidR="00267DF0" w:rsidRPr="00267DF0">
        <w:t xml:space="preserve">σημαντικές </w:t>
      </w:r>
      <w:r w:rsidR="00B14730" w:rsidRPr="00267DF0">
        <w:t>κοινωνικοοικονομικές συνέπειες για τον τομέα της αλιείας·</w:t>
      </w:r>
      <w:bookmarkEnd w:id="8"/>
    </w:p>
    <w:p w14:paraId="324575E3" w14:textId="77777777" w:rsidR="00992C22" w:rsidRPr="00267DF0" w:rsidRDefault="00992C22" w:rsidP="00D93445">
      <w:pPr>
        <w:pStyle w:val="NormalHanging12a"/>
        <w:widowControl/>
      </w:pPr>
      <w:r w:rsidRPr="00267DF0">
        <w:t>Β.</w:t>
      </w:r>
      <w:r w:rsidRPr="00267DF0">
        <w:tab/>
        <w:t>λαμβάνοντας υπόψη ότι το 2023 οι οικοπεριφέρειες της Βαλτικής Θάλασσας, της Κελτικής Θάλασσας και της ευρύτερης Βόρειας Θάλασσας μείωσαν τη μέση αλιευτική πίεση κάτω από τα επίπεδα της ΜΒΑ, με θνησιμότητα λόγω αλιείας 54 %, 48 % και 23 % κάτω από τους στόχους της ΜΒΑ αντίστοιχα, σε σύγκριση με τα επίπεδα που υπερέβαιναν τους στόχους το 2003· λαμβάνοντας υπόψη ότι οι στόλοι της ΕΕ στη Βαλτική Θάλασσα δαπάνησαν 267 000 ημέρες το 2022, σημειώνοντας μείωση κατά 8 % σε σύγκριση με το 2021 και φτάνοντας στο χαμηλότερο επίπεδο από το 2013·</w:t>
      </w:r>
    </w:p>
    <w:p w14:paraId="2DC8648D" w14:textId="77777777" w:rsidR="00992C22" w:rsidRPr="00267DF0" w:rsidRDefault="00992C22" w:rsidP="00D93445">
      <w:pPr>
        <w:pStyle w:val="NormalHanging12a"/>
        <w:widowControl/>
      </w:pPr>
      <w:r w:rsidRPr="00267DF0">
        <w:t>Γ.</w:t>
      </w:r>
      <w:r w:rsidRPr="00267DF0">
        <w:tab/>
        <w:t>λαμβάνοντας υπόψη ότι τα αποθέματα γάδου της Βαλτικής παραμένουν σε εξαιρετικά κακή κατάσταση χωρίς να προβλέπεται βελτίωση βραχυπρόθεσμα, παρά το γεγονός ότι η στοχευμένη αλιεία έχει τερματιστεί από το 2019· λαμβάνοντας υπόψη ότι το ICES εκτιμά ότι τα αποθέματα γάδου της Βαλτικής θα συνεχίσουν να αναπτύσσονται με αργούς ρυθμούς, με πτωτική τάση σε σύγκριση με τα προηγούμενα έτη, μεταξύ άλλων λόγω αντίξοων περιβαλλοντικών συνθηκών· λαμβάνοντας υπόψη ότι ο γάδος εξακολουθεί να αλιεύεται ως «παρεμπίπτον αλίευμα»·</w:t>
      </w:r>
    </w:p>
    <w:p w14:paraId="7BC63BF4" w14:textId="77777777" w:rsidR="00992C22" w:rsidRPr="00267DF0" w:rsidRDefault="00992C22" w:rsidP="00D93445">
      <w:pPr>
        <w:pStyle w:val="NormalHanging12a"/>
        <w:widowControl/>
      </w:pPr>
      <w:r w:rsidRPr="00267DF0">
        <w:t>Δ.</w:t>
      </w:r>
      <w:r w:rsidRPr="00267DF0">
        <w:tab/>
        <w:t>λαμβάνοντας υπόψη ότι τα αποθέματα σολομού και πέστροφας δεν καλύπτονται από τον κανονισμό για το πολυετές σχέδιο για τη Βαλτική· λαμβάνοντας υπόψη ότι υπάρχουν σημαντικές διασυνδέσεις μεταξύ των αποθεμάτων σολομού και πέστροφας και των αποθεμάτων ρέγγας, ιδίως λαμβανομένων υπόψη των οικοσυστημάτων τροφίμων· λαμβάνοντας υπόψη ότι ήδη από το 2022 το ICES συνιστά να σταματήσουν όλα τα εμπορικά και ερασιτεχνικά αλιεύματα σολομού στην κύρια λεκάνη απορροής λόγω της ύπαρξης μικτής αλιείας και του γεγονότος ότι ο σολομός αλιεύεται από πολλαπλά ποτάμια αποθέματα, συμπεριλαμβανομένων των απειλούμενων αποθεμάτων·</w:t>
      </w:r>
    </w:p>
    <w:p w14:paraId="7EF6EB75" w14:textId="77777777" w:rsidR="00992C22" w:rsidRPr="00267DF0" w:rsidRDefault="00992C22" w:rsidP="00D93445">
      <w:pPr>
        <w:pStyle w:val="NormalHanging12a"/>
        <w:widowControl/>
      </w:pPr>
      <w:r w:rsidRPr="00267DF0">
        <w:t>Ε.</w:t>
      </w:r>
      <w:r w:rsidRPr="00267DF0">
        <w:tab/>
        <w:t>λαμβάνοντας υπόψη ότι η παράκτια αλιεία μικρής κλίμακας αντιπροσωπεύει το 92 % των σκαφών που δραστηριοποιούνται στη Βαλτική Θάλασσα, ποσοστό που αντιπροσωπεύει το 7 % του συνολικού εκφορτωθέντος βάρους αλλά το 22 % της αξίας των εκφορτώσεων, δεδομένης της άνω του μέσου όρου προστιθέμενης αξίας αυτού του τμήματος του στόλου· λαμβάνοντας υπόψη ότι η αλιεία εξαρτάται σε μεγάλο βαθμό από τη διαθεσιμότητα μεγάλης βιομάζας ιχθύων σύμφωνα με την ΚΑΠ και ιχθυαποθεμάτων που υπόκεινται σε βιώσιμη διαχείριση, τα οποία είναι ζωτικής σημασίας για την οικονομική βιωσιμότητα του τομέα·</w:t>
      </w:r>
    </w:p>
    <w:p w14:paraId="61B3F664" w14:textId="77777777" w:rsidR="00992C22" w:rsidRPr="00267DF0" w:rsidRDefault="00992C22" w:rsidP="00D93445">
      <w:pPr>
        <w:pStyle w:val="NormalHanging12a"/>
        <w:widowControl/>
      </w:pPr>
      <w:r w:rsidRPr="00267DF0">
        <w:t>ΣΤ.</w:t>
      </w:r>
      <w:r w:rsidRPr="00267DF0">
        <w:tab/>
      </w:r>
      <w:bookmarkStart w:id="9" w:name="_Hlk223340939"/>
      <w:r w:rsidRPr="00267DF0">
        <w:t>λαμβάνοντας υπόψη ότι ο στόλος παράκτιας αλιείας μικρής κλίμακας της Βαλτικής έχει πρόσβαση σε μικρότερες αλιευτικές ποσοστώσεις σε σύγκριση με τους μεγαλύτερους φορείς εκμετάλλευσης, γεγονός που οδηγεί στην περιθωριοποίηση των τμημάτων μικρής κλίμακας και των αλιευτικών τους επιχειρήσεων·</w:t>
      </w:r>
      <w:bookmarkEnd w:id="9"/>
    </w:p>
    <w:p w14:paraId="50004327" w14:textId="1C66EA87" w:rsidR="00992C22" w:rsidRPr="00267DF0" w:rsidRDefault="00992C22" w:rsidP="00D93445">
      <w:pPr>
        <w:pStyle w:val="NormalHanging12a"/>
        <w:widowControl/>
      </w:pPr>
      <w:r w:rsidRPr="00267DF0">
        <w:t>Ζ.</w:t>
      </w:r>
      <w:r w:rsidRPr="00267DF0">
        <w:tab/>
        <w:t>λαμβάνοντας υπόψη ότι σύμφωνα με το άρθρο 17 της ΚΑΠ «[κ]</w:t>
      </w:r>
      <w:proofErr w:type="spellStart"/>
      <w:r w:rsidRPr="00267DF0">
        <w:t>ατά</w:t>
      </w:r>
      <w:proofErr w:type="spellEnd"/>
      <w:r w:rsidRPr="00267DF0">
        <w:t xml:space="preserve"> την κατανομή των αλιευτικών δυνατοτήτων που διαθέτουν, τα κράτη μέλη χρησιμοποιούν διαφανή και αντικειμενικά κριτήρια, μεταξύ άλλων, περιβαλλοντικού, κοινωνικού και οικονομικού χαρακτήρα»·</w:t>
      </w:r>
    </w:p>
    <w:p w14:paraId="351D0D6E" w14:textId="77777777" w:rsidR="00992C22" w:rsidRPr="00267DF0" w:rsidRDefault="00992C22" w:rsidP="00D93445">
      <w:pPr>
        <w:pStyle w:val="NormalHanging12a"/>
        <w:widowControl/>
      </w:pPr>
      <w:r w:rsidRPr="00267DF0">
        <w:t>Η.</w:t>
      </w:r>
      <w:r w:rsidRPr="00267DF0">
        <w:tab/>
        <w:t>λαμβάνοντας υπόψη ότι η ακαθάριστη προστιθέμενη αξία για τους αλιείς μικρής κλίμακας στην περιοχή της Βαλτικής Θάλασσας έχει μειωθεί δραστικά από τη θέσπιση του κανονισμού για το πολυετές σχέδιο για τη Βαλτική, σύμφωνα με αξιολογήσεις της επιστημονικής, τεχνικής και οικονομικής επιτροπής αλιείας της Επιτροπής (ΕΤΟΕΑ), απειλώντας την επισιτιστική ασφάλεια και αυξάνοντας την εξάρτηση της ΕΕ από τις εισαγωγές· λαμβάνοντας υπόψη ότι η απώλεια εφοδιασμού με ψάρια καταγωγής ΕΕ αυξάνει την εξάρτηση από εισαγωγές από τρίτες χώρες και αποδυναμώνει την ανθεκτικότητα της αγοράς· λαμβάνοντας υπόψη ότι παρατηρείται συνεχής μείωση του αριθμού των ενεργών αλιευτικών σκαφών στη Βαλτική Θάλασσα·</w:t>
      </w:r>
    </w:p>
    <w:p w14:paraId="3698FBC5" w14:textId="77777777" w:rsidR="00992C22" w:rsidRPr="00267DF0" w:rsidRDefault="00992C22" w:rsidP="00D93445">
      <w:pPr>
        <w:pStyle w:val="NormalHanging12a"/>
        <w:widowControl/>
      </w:pPr>
      <w:r w:rsidRPr="00267DF0">
        <w:t>Θ.</w:t>
      </w:r>
      <w:r w:rsidRPr="00267DF0">
        <w:tab/>
        <w:t>λαμβάνοντας υπόψη ότι η ενίσχυση των παράκτιων κοινοτήτων της Βαλτικής και η στήριξη της τοπικής αλιείας, ιδίως της αλιείας μικρής κλίμακας, είναι επίσης ουσιαστικής σημασίας για τη μείωση αυτής της εξάρτησης και τη διασφάλιση της οικονομικής και κοινωνικής βιωσιμότητας της ακτογραμμής της Βαλτικής·</w:t>
      </w:r>
    </w:p>
    <w:p w14:paraId="25FF80FF" w14:textId="77777777" w:rsidR="00992C22" w:rsidRPr="00267DF0" w:rsidRDefault="00992C22" w:rsidP="00D93445">
      <w:pPr>
        <w:pStyle w:val="NormalHanging12a"/>
        <w:widowControl/>
      </w:pPr>
      <w:r w:rsidRPr="00267DF0">
        <w:t>Ι.</w:t>
      </w:r>
      <w:r w:rsidRPr="00267DF0">
        <w:tab/>
        <w:t>λαμβάνοντας υπόψη ότι, στο πλαίσιο της συνεχιζόμενης εφαρμογής του κανονισμού για τον έλεγχο της αλιείας, επίκεινται τακτικές επικαιροποιήσεις σχετικά με τα αλιεύματα και την ακαθάριστη προστιθέμενη αξία του τομέα της ερασιτεχνικής αλιείας, συμπεριλαμβανομένης της θαλάσσιας ερασιτεχνικής αλιείας</w:t>
      </w:r>
      <w:r w:rsidRPr="00267DF0">
        <w:rPr>
          <w:rStyle w:val="FootnoteReference"/>
        </w:rPr>
        <w:footnoteReference w:id="17"/>
      </w:r>
      <w:r w:rsidRPr="00267DF0">
        <w:t>· λαμβάνοντας υπόψη ότι η ερασιτεχνική αλιεία έχει σημαντική κοινωνική και οικονομική αξία, πέραν της χρηματικής, και ότι οι αλιείς μπορούν να συμβάλουν στις προσπάθειες αποκατάστασης και στην προστασία της φύσης· λαμβάνοντας υπόψη ότι η ερασιτεχνική αλιεία μπορεί να έχει σημαντικές επιπτώσεις στους αλιευτικούς πόρους και, συνεπώς, τα κράτη μέλη θα πρέπει να εξασφαλίσουν ότι διεξάγεται κατά τρόπο συμβατό προς τους στόχους της ΚΑΠ· λαμβάνοντας υπόψη ότι οι ερασιτέχνες αλιείς είναι επίσης νόμιμοι χρήστες των θαλάσσιων βιολογικών πόρων·</w:t>
      </w:r>
    </w:p>
    <w:p w14:paraId="5604749A" w14:textId="333FF983" w:rsidR="00992C22" w:rsidRPr="00267DF0" w:rsidRDefault="00992C22" w:rsidP="00D93445">
      <w:pPr>
        <w:pStyle w:val="NormalHanging12a"/>
        <w:widowControl/>
      </w:pPr>
      <w:r w:rsidRPr="00267DF0">
        <w:t>ΙΑ.</w:t>
      </w:r>
      <w:r w:rsidRPr="00267DF0">
        <w:tab/>
        <w:t>λαμβάνοντας υπόψη ότι η πλέον πρόσφατη αξιολόγηση σε επίπεδο ΕΕ της κοινωνικοοικονομικής αξίας του τομέα της θαλάσσιας ερασιτεχνικής αλιείας χρονολογείται από το 2017 και ότι οι συστάσεις της δεν έχουν ακόμη εφαρμοστεί για την πλήρη αξιοποίηση του δυναμικού αυτής της δραστηριότητας χαμηλού αντικτύπου ως αναγνωρισμένης συνιστώσας της στρατηγικής της ΕΕ για τη γαλάζια οικονομία· λαμβάνοντας υπόψη ότι, σύμφωνα με τα διαθέσιμα στοιχεία, εκτιμάται ότι 8 έως 10 εκατομμύρια πολίτες της ΕΕ δραστηριοποιούνται στον τομέα της ερασιτεχνικής αλιείας· λαμβάνοντας υπόψη ότι στην περιοχή της Βαλτικής Θάλασσας, αυτό συνιστά σημαντική κοινωνικοοικονομική δραστηριότητα, παράγοντας οικονομική συνεισφορά ύψους περίπου 1,5 δισ</w:t>
      </w:r>
      <w:r w:rsidR="00D93445" w:rsidRPr="00267DF0">
        <w:t>εκατομμυρίων</w:t>
      </w:r>
      <w:r w:rsidRPr="00267DF0">
        <w:t> EUR και στηρίζοντας τη δημιουργία περισσότερων από 14 000 θέσεων εργασίας σε ισοδύναμα πλήρους απασχόλησης (ΙΠΑ)·</w:t>
      </w:r>
    </w:p>
    <w:p w14:paraId="03FA1A1B" w14:textId="77777777" w:rsidR="00992C22" w:rsidRPr="00267DF0" w:rsidRDefault="00992C22" w:rsidP="00D93445">
      <w:pPr>
        <w:pStyle w:val="NormalHanging12a"/>
        <w:widowControl/>
      </w:pPr>
      <w:r w:rsidRPr="00267DF0">
        <w:t>ΙΒ.</w:t>
      </w:r>
      <w:r w:rsidRPr="00267DF0">
        <w:tab/>
        <w:t>λαμβάνοντας υπόψη ότι η Βαλτική Θάλασσα αποτελεί τη βάση των μέσων διαβίωσης και της πολιτιστικής ταυτότητας χιλιάδων οικογενειών· λαμβάνοντας υπόψη ότι η αλιεία αποτελεί μέρος της μακραίωνης κοινωνικής, πολιτιστικής και οικονομικής κληρονομιάς της περιοχής· λαμβάνοντας υπόψη ότι οι περιορισμοί στην αλιεία θα πρέπει να εφαρμόζονται κατά τρόπο που δεν καθιστά αδύνατη τη λειτουργία μιας τοπικής παράκτιας επιχείρησης που παρέχει φρέσκα ψάρια στους καταναλωτές για τη διασφάλιση της επισιτιστικής ασφάλειας και την αποφυγή της ενδεχόμενης εξαφάνισης επαγγελμάτων που σχετίζονται με την αλιεία, με αποτέλεσμα οι κάτοικοι να εγκαταλείπουν τις παράκτιες περιοχές·</w:t>
      </w:r>
    </w:p>
    <w:p w14:paraId="2CC82F56" w14:textId="77777777" w:rsidR="00992C22" w:rsidRPr="00267DF0" w:rsidRDefault="00992C22" w:rsidP="00D93445">
      <w:pPr>
        <w:pStyle w:val="NormalHanging12a"/>
        <w:widowControl/>
      </w:pPr>
      <w:r w:rsidRPr="00267DF0">
        <w:t>ΙΓ.</w:t>
      </w:r>
      <w:r w:rsidRPr="00267DF0">
        <w:tab/>
        <w:t>λαμβάνοντας υπόψη ότι η Βαλτική Θάλασσα επηρεάζεται από πολλαπλές ανθρωπογενείς πιέσεις, συμπεριλαμβανομένης της υπερθέρμανσης του πλανήτη, της υπολειμματικής ρύπανσης, των χημικών πυρομαχικών, του ευτροφισμού, των μεταβαλλόμενων περιβαλλοντικών συνθηκών και της μακροπρόθεσμης υποβάθμισης, και είναι ιδιαίτερα ευάλωτη λόγω της βαθυμετρικά αβαθούς θαλάσσιας λεκάνης της με γενετικά μοναδικά είδη προσαρμοσμένα στη διαβίωση σε υφάλμυρα ύδατα με φυσικά χαμηλή αλατότητα και χαμηλά επίπεδα οξυγόνου, και της περιορισμένης ανταλλαγής υδάτων με τη Βόρεια Θάλασσα και της ισχυρής κάθετης στρωματοποίησης· λαμβάνοντας υπόψη ότι αυτές οι ιδιαίτερες συνθήκες απαιτούν προσεγγίσεις διαχείρισης προσαρμοσμένες στις περιφερειακές ιδιαιτερότητες· λαμβάνοντας υπόψη ότι τα ιχθυαποθέματα στη Βαλτική συνέχισαν να μειώνονται, μεταξύ άλλων λόγω αυτών των πιέσεων, συμπεριλαμβανομένων των ανισορροπιών θηρευτών, που έχουν επηρεάσει την είσοδο νεαρών ψαριών στο αλιεύσιμο απόθεμα, ενώ τα τελευταία χρόνια έχουν σημειωθεί σημαντικές μειώσεις της αλιευτικής προσπάθειας· λαμβάνοντας υπόψη ότι η Επιτροπή αναγνωρίζει την ανάγκη να αντιμετωπιστούν αυτές οι πρόσθετες περιβαλλοντικές προκλήσεις για τη στήριξη της μακροπρόθεσμης βιωσιμότητας·</w:t>
      </w:r>
    </w:p>
    <w:p w14:paraId="16CCD28F" w14:textId="0AE7B42C" w:rsidR="00992C22" w:rsidRPr="00267DF0" w:rsidRDefault="00992C22" w:rsidP="00D93445">
      <w:pPr>
        <w:pStyle w:val="NormalHanging12a"/>
        <w:widowControl/>
      </w:pPr>
      <w:r w:rsidRPr="00267DF0">
        <w:t>ΙΔ.</w:t>
      </w:r>
      <w:r w:rsidRPr="00267DF0">
        <w:tab/>
      </w:r>
      <w:bookmarkStart w:id="10" w:name="_Hlk223346187"/>
      <w:r w:rsidRPr="00267DF0">
        <w:t>λαμβάνοντας υπόψη ότι</w:t>
      </w:r>
      <w:r w:rsidR="00B14730" w:rsidRPr="00267DF0">
        <w:t xml:space="preserve"> οι πολλαπλές αλληλεπικαλυπτόμενες πιέσεις, συμπεριλαμβανομένων της αλιευτικής δραστηριότητας, της γεωργίας, της απορροής δασών, του ευτροφισμού, της εξάντλησης του οξυγόνου, της χημικής ρύπανσης και των αυξανόμενων πληθυσμών θαλάσσιων θηρευτών, σε συνδυασμό </w:t>
      </w:r>
      <w:r w:rsidRPr="00267DF0">
        <w:t xml:space="preserve">με την απόρριψη λυμάτων, ασκούν σημαντικές πιέσεις στο οικοσύστημα μέσω του εμπλουτισμού με </w:t>
      </w:r>
      <w:r w:rsidR="00B14730" w:rsidRPr="00267DF0">
        <w:t xml:space="preserve">θρεπτικές </w:t>
      </w:r>
      <w:r w:rsidRPr="00267DF0">
        <w:t>και οργανικές ουσίες</w:t>
      </w:r>
      <w:r w:rsidR="00B14730" w:rsidRPr="00267DF0">
        <w:t xml:space="preserve"> και της διαταραχής του τροφικού ιστού</w:t>
      </w:r>
      <w:r w:rsidRPr="00267DF0">
        <w:t xml:space="preserve">· λαμβάνοντας υπόψη ότι αυτό επηρεάζει την αλιεία σε ολόκληρη την οικοπεριοχή της Βαλτικής Θάλασσας· λαμβάνοντας υπόψη ότι, παρά το γεγονός ότι έχει επιτευχθεί σημαντική πρόοδος όσον αφορά τη μείωση των εισροών θρεπτικών συστατικών και των επικίνδυνων ουσιών, η συνδυασμένη επίδραση εξακολουθεί να επηρεάζει τα ιχθυαποθέματα, την επιβίωση των προνυμφών και των ιχθυδίων, ενώ απαιτούνται περισσότερες προσπάθειες </w:t>
      </w:r>
      <w:r w:rsidR="00B14730" w:rsidRPr="00267DF0">
        <w:t>σε όλους τους τομείς που συνεισφέρουν στο πλαίσιο αυτό</w:t>
      </w:r>
      <w:r w:rsidRPr="00267DF0">
        <w:t>·</w:t>
      </w:r>
      <w:bookmarkEnd w:id="10"/>
    </w:p>
    <w:p w14:paraId="4AB66308" w14:textId="77777777" w:rsidR="00992C22" w:rsidRPr="00267DF0" w:rsidRDefault="00992C22" w:rsidP="00D93445">
      <w:pPr>
        <w:pStyle w:val="NormalHanging12a"/>
        <w:widowControl/>
      </w:pPr>
      <w:r w:rsidRPr="00267DF0">
        <w:t>ΙΕ.</w:t>
      </w:r>
      <w:r w:rsidRPr="00267DF0">
        <w:tab/>
        <w:t>λαμβάνοντας υπόψη ότι τα υπεράκτια αιολικά πάρκα (OWF) συγκαταλέγονται στις ταχύτερα αναπτυσσόμενες βιομηχανίες στη θάλασσα, με προβλέψεις που δείχνουν ότι η παραγωγική ικανότητα θα αυξηθεί σημαντικά· λαμβάνοντας υπόψη ότι τα υπεράκτια αιολικά πάρκα παρέχουν τόσο οφέλη, όπως καταφύγιο για είδη ιχθύων, όσο και κινδύνους για τη βιοποικιλότητα ανάλογα με το στάδιο ανάπτυξης, τη θέση και τον σχεδιασμό·</w:t>
      </w:r>
    </w:p>
    <w:p w14:paraId="520214C1" w14:textId="77777777" w:rsidR="00992C22" w:rsidRPr="00267DF0" w:rsidRDefault="00992C22" w:rsidP="00D93445">
      <w:pPr>
        <w:pStyle w:val="NormalHanging12a"/>
        <w:widowControl/>
      </w:pPr>
      <w:r w:rsidRPr="00267DF0">
        <w:t>ΙΣΤ.</w:t>
      </w:r>
      <w:r w:rsidRPr="00267DF0">
        <w:tab/>
      </w:r>
      <w:bookmarkStart w:id="11" w:name="_Hlk223339722"/>
      <w:r w:rsidRPr="00267DF0">
        <w:t>λαμβάνοντας υπόψη ότι η ισχύουσα νομοθεσία της ΕΕ αποδείχθηκε αρχικά επιτυχής όσον αφορά τη μείωση των επιπέδων αζώτου στα ύδατα της ΕΕ και τη συμβολή στην επίτευξη των στόχων της οδηγίας-πλαισίου για τη θαλάσσια στρατηγική (ΟΠΘΣ), οι οποίοι περιλαμβάνουν την ελαχιστοποίηση του ανθρωπογενούς ευτροφισμού, και ιδίως των δυσμενών επιπτώσεών του·</w:t>
      </w:r>
      <w:bookmarkEnd w:id="11"/>
    </w:p>
    <w:p w14:paraId="34E30AB4" w14:textId="77777777" w:rsidR="00992C22" w:rsidRPr="00267DF0" w:rsidRDefault="00992C22" w:rsidP="00D93445">
      <w:pPr>
        <w:pStyle w:val="NormalHanging12a"/>
        <w:widowControl/>
      </w:pPr>
      <w:r w:rsidRPr="00267DF0">
        <w:t>ΙΖ.</w:t>
      </w:r>
      <w:r w:rsidRPr="00267DF0">
        <w:tab/>
        <w:t>λαμβάνοντας υπόψη ότι οι επιπτώσεις της υπερθέρμανσης του θαλασσινού νερού —που οφείλεται στην παγκόσμια κλιματική αλλαγή και επιδεινώνεται από τις χερσαίες δραστηριότητες— είναι ιδιαίτερα ταχείες στη Βαλτική Θάλασσα, η οποία υπερθερμαίνεται με διπλάσιο ρυθμό από τον παγκόσμιο μέσο όρο των ωκεανών, και αναμένεται να οδηγήσουν σε περαιτέρω εκτεταμένες και ως επί το πλείστον άγνωστες συνέπειες, συμπεριλαμβανομένης της εξάντλησης του οξυγόνου και της συνεχιζόμενης διαταραχής του μελλοντικού αναπαραγωγικού κύκλου των πληθυσμών ιχθύων και της κατανομής τους·</w:t>
      </w:r>
    </w:p>
    <w:p w14:paraId="051E6606" w14:textId="77777777" w:rsidR="00992C22" w:rsidRPr="00267DF0" w:rsidRDefault="00992C22" w:rsidP="00D93445">
      <w:pPr>
        <w:pStyle w:val="NormalHanging12a"/>
        <w:widowControl/>
      </w:pPr>
      <w:r w:rsidRPr="00267DF0">
        <w:t>ΙΗ.</w:t>
      </w:r>
      <w:r w:rsidRPr="00267DF0">
        <w:tab/>
        <w:t>λαμβάνοντας υπόψη ότι είναι σημαντικό για την Επιτροπή και τα κράτη μέλη να εφαρμόσουν πλήρως όλη τη σχετική νομοθεσία της ΕΕ στη Βαλτική και να βελτιώσουν την εφαρμογή του σχεδίου δράσης που καταρτίστηκε στο πλαίσιο της περιφερειακής σύμβασης για τις θάλασσες της HELCOM, προκειμένου να αντιμετωπιστεί η αποτυχία του οικοσυστήματος στη Βαλτική Θάλασσα·</w:t>
      </w:r>
    </w:p>
    <w:p w14:paraId="7A3CA45B" w14:textId="7724790B" w:rsidR="00992C22" w:rsidRPr="00267DF0" w:rsidRDefault="00992C22" w:rsidP="00D93445">
      <w:pPr>
        <w:pStyle w:val="NormalHanging12a"/>
        <w:widowControl/>
      </w:pPr>
      <w:r w:rsidRPr="00267DF0">
        <w:t>ΙΘ.</w:t>
      </w:r>
      <w:r w:rsidRPr="00267DF0">
        <w:tab/>
        <w:t>λαμβάνοντας υπόψη ότι</w:t>
      </w:r>
      <w:r w:rsidR="00B14730" w:rsidRPr="00267DF0">
        <w:t>, κατά τον καθορισμό των συνολικών επιτρεπόμενων αλιευμάτων (TAC) για το 2026, τα κράτη μέλη εξισορρόπησαν την περιβαλλοντική βιωσιμότητα με την κοινωνικοοικονομική βιωσιμότητα, διατηρώντας ένα ελάχιστο επίπεδο δραστηριότητας και συνεχίζοντας παράλληλα να στηρίζουν την αποκατάσταση των ιχθυαποθεμάτων· λαμβάνοντας υπόψη ότι ορισμένα ιχθυαποθέματα της Βαλτικής επιδεινώνονται παρά τις τεράστιες μειώσεις της αλιευτικής προσπάθειας</w:t>
      </w:r>
      <w:r w:rsidRPr="00267DF0">
        <w:t xml:space="preserve">· λαμβάνοντας υπόψη ότι η ΟΠΘΣ απαιτεί </w:t>
      </w:r>
      <w:r w:rsidR="00B14730" w:rsidRPr="00267DF0">
        <w:t xml:space="preserve">από τα κράτη μέλη να επιτύχουν καλή περιβαλλοντική κατάσταση </w:t>
      </w:r>
      <w:r w:rsidRPr="00267DF0">
        <w:t>μέσω ισορροπημένων τροφικών δικτύων</w:t>
      </w:r>
      <w:r w:rsidR="00B14730" w:rsidRPr="00267DF0">
        <w:t xml:space="preserve"> και υγιών</w:t>
      </w:r>
      <w:r w:rsidRPr="00267DF0">
        <w:t xml:space="preserve"> αποθεμάτων</w:t>
      </w:r>
      <w:r w:rsidR="00B14730" w:rsidRPr="00267DF0">
        <w:t xml:space="preserve">, καθώς και να αντιμετωπίσουν τις ρυπογόνους ουσίες, </w:t>
      </w:r>
      <w:r w:rsidRPr="00267DF0">
        <w:t>τον ευτροφισμό, τα χωροκατακτητικά είδη, τα θαλάσσια απορρίμματα</w:t>
      </w:r>
      <w:r w:rsidR="00B14730" w:rsidRPr="00267DF0">
        <w:t>, τη ρύπανση από την παραγωγή ενέργειας, συμπεριλαμβανομένου του υποθαλάσσιου θορύβου, και την κλιματική αλλαγή</w:t>
      </w:r>
      <w:r w:rsidRPr="00267DF0">
        <w:t>·</w:t>
      </w:r>
    </w:p>
    <w:p w14:paraId="037A2F66" w14:textId="77777777" w:rsidR="00992C22" w:rsidRPr="00267DF0" w:rsidRDefault="00992C22" w:rsidP="00D93445">
      <w:pPr>
        <w:pStyle w:val="NormalHanging12a"/>
        <w:widowControl/>
        <w:rPr>
          <w:szCs w:val="24"/>
        </w:rPr>
      </w:pPr>
      <w:r w:rsidRPr="00267DF0">
        <w:t>Κ.</w:t>
      </w:r>
      <w:r w:rsidRPr="00267DF0">
        <w:tab/>
        <w:t>λαμβάνοντας υπόψη ότι για τη Βαλτική Θάλασσα, η Επιτροπή, αφού ζητήσει τη γνωμοδότηση του ICES, προτείνει —και τα κράτη μέλη καθορίζουν— ποσοστώσεις παρεμπιπτόντων αλιευμάτων, αν και το ICES συνιστά «μηδενικά αλιεύματα»·</w:t>
      </w:r>
    </w:p>
    <w:p w14:paraId="017904BF" w14:textId="77777777" w:rsidR="00992C22" w:rsidRPr="00267DF0" w:rsidRDefault="00992C22" w:rsidP="00D93445">
      <w:pPr>
        <w:pStyle w:val="NormalHanging12a"/>
        <w:widowControl/>
        <w:rPr>
          <w:szCs w:val="24"/>
        </w:rPr>
      </w:pPr>
      <w:r w:rsidRPr="00267DF0">
        <w:t>ΚΑ.</w:t>
      </w:r>
      <w:r w:rsidRPr="00267DF0">
        <w:tab/>
      </w:r>
      <w:bookmarkStart w:id="12" w:name="_Hlk227157190"/>
      <w:r w:rsidRPr="00267DF0">
        <w:t>λαμβάνοντας υπόψη ότι οι υφιστάμενοι κανόνες σχετικά με την ευελιξία από έτος σε έτος, όπως κατοχυρώνονται στην ΚΑΠ, επηρεάζουν τη βιώσιμη διαχείριση των ποσοστώσεων· λαμβάνοντας υπόψη ότι το Συμβούλιο αποφάσισε σε ορισμένες περιπτώσεις να μην κάνει χρήση αυτής της επιλογής λόγω κρίσιμων καταστάσεων αποθεμάτων· λαμβάνοντας υπόψη ότι απαιτείται καθοδήγηση, ιδίως για τις περιπτώσεις αποθεμάτων σε κρίσιμη κατάσταση, για τη Βαλτική Θάλασσα·</w:t>
      </w:r>
    </w:p>
    <w:bookmarkEnd w:id="12"/>
    <w:p w14:paraId="1AB7B8B4" w14:textId="77777777" w:rsidR="00992C22" w:rsidRPr="00267DF0" w:rsidRDefault="00992C22" w:rsidP="00D93445">
      <w:pPr>
        <w:pStyle w:val="NormalHanging12a"/>
        <w:widowControl/>
        <w:rPr>
          <w:szCs w:val="24"/>
        </w:rPr>
      </w:pPr>
      <w:r w:rsidRPr="00267DF0">
        <w:t>ΚΒ.</w:t>
      </w:r>
      <w:r w:rsidRPr="00267DF0">
        <w:tab/>
        <w:t>λαμβάνοντας υπόψη ότι η υποβολή εσφαλμένων στοιχείων ή οποιαδήποτε περίπτωση μη συμμόρφωσης εξακολουθούν να αποτελούν προβλήματα για την αλιεία στη Βαλτική και θα πρέπει να αντιμετωπιστούν αναλόγως μέσω της εφαρμογής του αναθεωρημένου κανονισμού για τον έλεγχο της αλιείας·</w:t>
      </w:r>
    </w:p>
    <w:p w14:paraId="15359667" w14:textId="77777777" w:rsidR="00992C22" w:rsidRPr="00267DF0" w:rsidRDefault="00992C22" w:rsidP="00D93445">
      <w:pPr>
        <w:pStyle w:val="NormalHanging12a"/>
        <w:widowControl/>
        <w:rPr>
          <w:szCs w:val="24"/>
        </w:rPr>
      </w:pPr>
      <w:r w:rsidRPr="00267DF0">
        <w:t>ΚΓ.</w:t>
      </w:r>
      <w:r w:rsidRPr="00267DF0">
        <w:tab/>
        <w:t>λαμβάνοντας υπόψη ότι η αποτελεσματική εφαρμογή της υποχρέωσης εκφόρτωσης στη Βαλτική Θάλασσα εξακολουθεί να αντιμετωπίζει πρακτικές προκλήσεις· λαμβάνοντας υπόψη ότι τα κράτη μέλη πρέπει να ενεργούν σύμφωνα με τις διατάξεις της ΚΑΠ και του κανονισμού για τον έλεγχο της αλιείας, συμπεριλαμβανομένων των διατάξεών του για την ηλεκτρονική παρακολούθηση εξ αποστάσεως (REM)·</w:t>
      </w:r>
    </w:p>
    <w:p w14:paraId="43D7B78F" w14:textId="77777777" w:rsidR="00992C22" w:rsidRPr="00267DF0" w:rsidRDefault="00992C22" w:rsidP="00D93445">
      <w:pPr>
        <w:pStyle w:val="NormalHanging12a"/>
        <w:widowControl/>
        <w:rPr>
          <w:szCs w:val="24"/>
        </w:rPr>
      </w:pPr>
      <w:r w:rsidRPr="00267DF0">
        <w:t>ΚΔ.</w:t>
      </w:r>
      <w:r w:rsidRPr="00267DF0">
        <w:tab/>
      </w:r>
      <w:bookmarkStart w:id="13" w:name="_Hlk227157331"/>
      <w:r w:rsidRPr="00267DF0">
        <w:t>λαμβάνοντας υπόψη ότι ο καθορισμός αλιευτικών ποσοστώσεων για ένα μόνο έτος εμποδίζει τον οικονομικό, επενδυτικό και εργασιακό σχεδιασμό στον τομέα της αλιείας· λαμβάνοντας υπόψη ότι ένα πολυετές πλαίσιο λήψης αποφάσεων που θα βασίζεται στις βέλτιστες διαθέσιμες επιστημονικές γνωμοδοτήσεις θα επέτρεπε μια πιο σταθερή διαχείριση·</w:t>
      </w:r>
      <w:bookmarkEnd w:id="13"/>
    </w:p>
    <w:p w14:paraId="45A9CBBE" w14:textId="77777777" w:rsidR="00992C22" w:rsidRPr="00267DF0" w:rsidRDefault="00992C22" w:rsidP="00D93445">
      <w:pPr>
        <w:pStyle w:val="NormalHanging12a"/>
        <w:widowControl/>
        <w:rPr>
          <w:szCs w:val="24"/>
        </w:rPr>
      </w:pPr>
      <w:r w:rsidRPr="00267DF0">
        <w:t>ΚΕ.</w:t>
      </w:r>
      <w:r w:rsidRPr="00267DF0">
        <w:tab/>
      </w:r>
      <w:bookmarkStart w:id="14" w:name="_Hlk227157374"/>
      <w:r w:rsidRPr="00267DF0">
        <w:t>λαμβάνοντας υπόψη ότι η φώκαινα της Κυρίως Βαλτικής απειλείται με εξαφάνιση και ότι μόνο μερικές εκατοντάδες από αυτά τα θηλαστικά εξακολουθούν να υπάρχουν στην κύρια λεκάνη της Βαλτικής</w:t>
      </w:r>
      <w:r w:rsidRPr="00267DF0">
        <w:rPr>
          <w:rStyle w:val="FootnoteReference"/>
          <w:szCs w:val="24"/>
        </w:rPr>
        <w:footnoteReference w:id="18"/>
      </w:r>
      <w:r w:rsidRPr="00267DF0">
        <w:t>· λαμβάνοντας υπόψη ότι το εν λόγω είδος τελεί υπό διαρκή απειλή διότι αλιεύεται ως «παρεμπίπτον αλίευμα» και εξαιτίας περιβαλλοντικών ρύπων, εξάντλησης των θηραμάτων και όχλησης από υποθαλάσσιο θόρυβο·</w:t>
      </w:r>
      <w:bookmarkEnd w:id="14"/>
    </w:p>
    <w:p w14:paraId="1DFA11A4" w14:textId="77777777" w:rsidR="00992C22" w:rsidRPr="00267DF0" w:rsidRDefault="00992C22" w:rsidP="00D93445">
      <w:pPr>
        <w:pStyle w:val="NormalHanging12a"/>
        <w:widowControl/>
      </w:pPr>
      <w:r w:rsidRPr="00267DF0">
        <w:t>ΚΣΤ.</w:t>
      </w:r>
      <w:r w:rsidRPr="00267DF0">
        <w:tab/>
        <w:t>λαμβάνοντας υπόψη ότι τα ψάρια που χρησιμεύουν ως τροφή για μεγαλύτερα είδη διαδραματίζουν ζωτικό ρόλο για τα θαλάσσια τροφικά δίκτυα και τα οικοσυστήματα της Βαλτικής Θάλασσας·</w:t>
      </w:r>
    </w:p>
    <w:p w14:paraId="1D837D59" w14:textId="77777777" w:rsidR="00992C22" w:rsidRPr="00267DF0" w:rsidRDefault="00992C22" w:rsidP="00D93445">
      <w:pPr>
        <w:pStyle w:val="NormalHanging12a"/>
        <w:widowControl/>
      </w:pPr>
      <w:r w:rsidRPr="00267DF0">
        <w:t>ΚΖ.</w:t>
      </w:r>
      <w:r w:rsidRPr="00267DF0">
        <w:tab/>
        <w:t>λαμβάνοντας υπόψη ότι η αλιεία για την παραγωγή ιχθυαλεύρων και ιχθυελαίων επιτράπηκε στην περιοχή της Βαλτικής Θάλασσας το 1995, όταν αρχικά επιτρέπονταν εξαιρέσεις μόνο «υπό την προϋπόθεση ότι η εν λόγω αλιεία δεν συνεπάγεται κίνδυνο για ανεπανόρθωτη οικολογική ζημία», όπως περιγράφεται στη Συνθήκη μεταξύ των κρατών μελών της Ευρωπαϊκής Ένωσης και του Βασιλείου της Νορβηγίας, της Δημοκρατίας της Αυστρίας, της Δημοκρατίας της Φινλανδίας και του Βασιλείου της Σουηδίας, σχετικά με την προσχώρηση του Βασιλείου της Νορβηγίας, της Δημοκρατίας της Αυστρίας, της Δημοκρατίας της Φινλανδίας και του Βασιλείου της Σουηδίας στην Ευρωπαϊκή Ένωση</w:t>
      </w:r>
      <w:r w:rsidRPr="00267DF0">
        <w:rPr>
          <w:rStyle w:val="FootnoteReference"/>
        </w:rPr>
        <w:footnoteReference w:id="19"/>
      </w:r>
      <w:r w:rsidRPr="00267DF0">
        <w:t>·</w:t>
      </w:r>
    </w:p>
    <w:p w14:paraId="586C7EB8" w14:textId="77777777" w:rsidR="00992C22" w:rsidRPr="00267DF0" w:rsidRDefault="00992C22" w:rsidP="00D93445">
      <w:pPr>
        <w:pStyle w:val="NormalHanging12a"/>
        <w:widowControl/>
      </w:pPr>
      <w:r w:rsidRPr="00267DF0">
        <w:t>ΚΗ.</w:t>
      </w:r>
      <w:r w:rsidRPr="00267DF0">
        <w:tab/>
        <w:t>λαμβάνοντας υπόψη ότι πολλά κράτη μέλη της Βαλτικής Θάλασσας έχουν θεσπίσει συστήματα μεταβιβάσιμων ατομικών ποσοστώσεων (ITQ), όπως είναι διαθέσιμα στο πλαίσιο της ΚΑΠ· λαμβάνοντας υπόψη ότι αυτό ευνόησε τους μεγάλους φορείς εκμετάλλευσης· λαμβάνοντας υπόψη ότι ο αντίκτυπος στη δομή των αποθεμάτων καθορίζεται πρωτίστως από τα εργαλεία και τις αλιευτικές τεχνικές που χρησιμοποιούνται·</w:t>
      </w:r>
    </w:p>
    <w:p w14:paraId="55464C4F" w14:textId="77777777" w:rsidR="00992C22" w:rsidRPr="00267DF0" w:rsidRDefault="00992C22" w:rsidP="00D93445">
      <w:pPr>
        <w:pStyle w:val="NormalHanging12a"/>
        <w:widowControl/>
      </w:pPr>
      <w:r w:rsidRPr="00267DF0">
        <w:t>ΚΘ.</w:t>
      </w:r>
      <w:r w:rsidRPr="00267DF0">
        <w:tab/>
        <w:t>λαμβάνοντας υπόψη ότι η αποτελεσματικότητα του κανονισμού για το πολυετές σχέδιο για τη Βαλτική είναι πολύ περιορισμένη όσον αφορά την επίτευξη των πρωταρχικών οικολογικών και κοινωνικοοικονομικών στόχων του· λαμβάνοντας υπόψη ότι η μη αποκατάσταση των ιχθυαποθεμάτων πάνω από τα επίπεδα αναφοράς, η ανεπαρκής ενσωμάτωση των προβληματισμών για το οικοσύστημα και η ανεπαρκής εφαρμογή της προληπτικής προσέγγισης κατά τον καθορισμό ποσοστώσεων έχουν υπονομεύσει την πρόοδο· λαμβάνοντας υπόψη ότι η έλλειψη ολιστικών προσεγγίσεων πολιτικής έχει περιπλέξει περαιτέρω τις εργασίες για την αποφυγή περαιτέρω υποβάθμισης και τη στήριξη μιας πιο ανθεκτικής Βαλτικής Θάλασσας· λαμβάνοντας υπόψη ότι η προστιθέμενη αξία όσον αφορά την περιφερειακή συνεργασία είναι χαμηλή, ότι έχουν δρομολογηθεί σχετικά λίγες κοινές συστάσεις από τα κράτη μέλη και ότι οι διατάξεις περιφερειοποίησης των αλιευτικών κανόνων της ΕΕ δεν χρησιμοποιούνται για την προσαρμογή των μέτρων διαχείρισης στις ιδιαιτερότητες της Βαλτικής Θάλασσας· λαμβάνοντας υπόψη ότι η συμμετοχή και η συνεργασία με όλα τα σχετικά ενδιαφερόμενα μέρη ήταν ανεπαρκείς·</w:t>
      </w:r>
    </w:p>
    <w:p w14:paraId="04EA4905" w14:textId="77777777" w:rsidR="00992C22" w:rsidRPr="00267DF0" w:rsidRDefault="00992C22" w:rsidP="00D93445">
      <w:pPr>
        <w:pStyle w:val="NormalHanging12a"/>
        <w:widowControl/>
      </w:pPr>
      <w:r w:rsidRPr="00267DF0">
        <w:t>Λ.</w:t>
      </w:r>
      <w:r w:rsidRPr="00267DF0">
        <w:tab/>
        <w:t>λαμβάνοντας υπόψη ότι ορισμένες αξιολογήσεις μεμονωμένων ειδών και επιστημονικές γνωμοδοτήσεις, στο πλαίσιο των ειδικών και δυναμικά μεταβαλλόμενων περιβαλλοντικών συνθηκών στη Βαλτική Θάλασσα, έχουν οδηγήσει σε διαρθρωτική υπερεκτίμηση της αναπαραγωγικής ικανότητας του αποθέματος και του συνολικού του μεγέθους, επηρεάζοντας σε μεγάλο βαθμό τους πόρους και τη διαχειριστική και επιχειρησιακή ικανότητα του αλιευτικού τομέα της Βαλτικής και καταδεικνύοντας την ανάγκη για πιο ειδικές προσεγγίσεις ανά θαλάσσια λεκάνη·</w:t>
      </w:r>
    </w:p>
    <w:p w14:paraId="2B0001E2" w14:textId="77777777" w:rsidR="00992C22" w:rsidRPr="00267DF0" w:rsidRDefault="00992C22" w:rsidP="00D93445">
      <w:pPr>
        <w:pStyle w:val="NormalHanging12a"/>
        <w:widowControl/>
      </w:pPr>
      <w:r w:rsidRPr="00267DF0">
        <w:t>ΛΑ.</w:t>
      </w:r>
      <w:r w:rsidRPr="00267DF0">
        <w:tab/>
        <w:t>λαμβάνοντας υπόψη ότι τα αιτήματα της Επιτροπής για γνωμοδότηση σχετικά με τη Βαλτική Θάλασσα από το ICES δεν έχουν μέχρι στιγμής ζητήσει να ληφθούν υπόψη περιβαλλοντικοί παράγοντες, συμπεριλαμβανομένων των ελλειμμάτων οξυγόνου ή της διαθεσιμότητας τροφίμων, οι οποίοι ενδέχεται να επηρεάσουν την κατάσταση των αποθεμάτων, ούτε έχουν συμπεριλάβει επαρκώς την ανάγκη να αναδειχθούν οι παράμετροι κινδύνου· λαμβάνοντας υπόψη ότι τα αιτήματα θα πρέπει να βελτιώνονται συνεχώς, συμπεριλαμβανομένης της καλύτερης κοινοποίησης της αβεβαιότητας των δεδομένων από το ICES, προκειμένου να αποτυπώνεται καλύτερα η ποιότητα των αξιολογήσεων·</w:t>
      </w:r>
    </w:p>
    <w:p w14:paraId="3A55165D" w14:textId="77777777" w:rsidR="00992C22" w:rsidRPr="00267DF0" w:rsidRDefault="00992C22" w:rsidP="00D93445">
      <w:pPr>
        <w:pStyle w:val="NormalHanging12a"/>
        <w:widowControl/>
      </w:pPr>
      <w:r w:rsidRPr="00267DF0">
        <w:t>ΛΒ.</w:t>
      </w:r>
      <w:r w:rsidRPr="00267DF0">
        <w:tab/>
        <w:t>λαμβάνοντας υπόψη ότι η γενετική δομή των πληθυσμών και των υποπληθυσμών των αποθεμάτων που αποτελούν αντικείμενο εμπορικής εκμετάλλευσης δεν είναι πλήρως γνωστή και θα πρέπει να διερευνηθεί περαιτέρω από το ICES, όπως μέσω προσκλήσεων υποβολής δεδομένων προς τα κράτη μέλη της Βαλτικής Θάλασσας, προκειμένου να βελτιωθεί η βάση γνώσεων σχετικά με τις σχετικές πληθυσμιακές δομές στην περιοχή·</w:t>
      </w:r>
    </w:p>
    <w:p w14:paraId="6D47D0C3" w14:textId="77777777" w:rsidR="00992C22" w:rsidRPr="00267DF0" w:rsidRDefault="00992C22" w:rsidP="00D93445">
      <w:pPr>
        <w:pStyle w:val="NormalHanging12a"/>
        <w:widowControl/>
        <w:rPr>
          <w:iCs/>
        </w:rPr>
      </w:pPr>
      <w:r w:rsidRPr="00267DF0">
        <w:t>ΛΓ.</w:t>
      </w:r>
      <w:r w:rsidRPr="00267DF0">
        <w:tab/>
        <w:t>λαμβάνοντας υπόψη ότι τον Σεπτέμβριο του 2025 το ICES, από κοινού με τη Γενική Διεύθυνση Θαλάσσιας Πολιτικής και Αλιείας της Επιτροπής, δήλωσε ότι για τη Βαλτική Θάλασσα «η παραδοσιακή ομοιόμορφη διαχείριση μεμονωμένων ειδών δεν επαρκεί πλέον για την αντιμετώπιση της παρατηρούμενης πολυπλοκότητας»·</w:t>
      </w:r>
    </w:p>
    <w:p w14:paraId="7720C704" w14:textId="77777777" w:rsidR="00992C22" w:rsidRPr="00267DF0" w:rsidRDefault="00992C22" w:rsidP="00D93445">
      <w:pPr>
        <w:pStyle w:val="NormalHanging12a"/>
        <w:widowControl/>
        <w:rPr>
          <w:iCs/>
        </w:rPr>
      </w:pPr>
      <w:r w:rsidRPr="00267DF0">
        <w:t>ΛΔ.</w:t>
      </w:r>
      <w:r w:rsidRPr="00267DF0">
        <w:tab/>
        <w:t>λαμβάνοντας υπόψη ότι η HELCOM αναπτύσσει χάρτες περιβαλλοντικού κινδύνου που θα καλύπτουν περιοχές οι οποίες είναι ιδιαίτερα ευάλωτες στον ευτροφισμό, την ανοξία και τα τοξικά ιζήματα βυθού, οι οποίοι παρέχουν πληροφορίες σχετικά με το πού πρέπει να δοθεί προτεραιότητα στον καθορισμό προστατευόμενων περιοχών και πιθανών περιόδων απαγόρευσης της αλιείας·</w:t>
      </w:r>
    </w:p>
    <w:p w14:paraId="3F7FE029" w14:textId="77777777" w:rsidR="00992C22" w:rsidRPr="00267DF0" w:rsidRDefault="00992C22" w:rsidP="00D93445">
      <w:pPr>
        <w:pStyle w:val="NormalHanging12a"/>
        <w:widowControl/>
        <w:rPr>
          <w:iCs/>
        </w:rPr>
      </w:pPr>
      <w:r w:rsidRPr="00267DF0">
        <w:t>ΛΕ.</w:t>
      </w:r>
      <w:r w:rsidRPr="00267DF0">
        <w:tab/>
        <w:t>λαμβάνοντας υπόψη ότι οι επιστημονικές γνωμοδοτήσεις για τη Βαλτική Θάλασσα θα πρέπει να βελτιωθούν προκειμένου να αποφευχθεί η υπερεκτίμηση του μεγέθους και της παραγωγικότητας των αποθεμάτων, τα αδικαιολόγητα όρια αλιευμάτων και επιχειρηματική αβεβαιότητα·</w:t>
      </w:r>
    </w:p>
    <w:p w14:paraId="27C75A8A" w14:textId="587F0DD4" w:rsidR="00992C22" w:rsidRPr="00267DF0" w:rsidRDefault="00992C22" w:rsidP="00D93445">
      <w:pPr>
        <w:pStyle w:val="NormalHanging12a"/>
        <w:widowControl/>
        <w:rPr>
          <w:iCs/>
        </w:rPr>
      </w:pPr>
      <w:r w:rsidRPr="00267DF0">
        <w:t>ΛΣΤ.</w:t>
      </w:r>
      <w:r w:rsidRPr="00267DF0">
        <w:tab/>
        <w:t>λαμβάνοντας υπόψη ότι, σύμφωνα με το άρθρο 43 παράγραφος 3 ΣΛΕΕ, οι αποφάσεις σχετικά με τον καθορισμό των συνολικών επιτρεπόμενων αλιευμάτων (TAC) και άλλων αλιευτικών δυνατοτήτων εμπίπτουν στην αποκλειστική αρμοδιότητα του Συμβουλίου και, κατά συνέπεια, των κρατών μελών· λαμβάνοντας υπόψη ότι οι αποφάσεις αυτές πρέπει να λαμβάνουν πλήρως υπόψη τα πλέον πρόσφατα επιστημονικά δεδομένα και την ποικιλομορφία των περιβαλλοντικών συνθηκών στην περιοχή της Βαλτικής Θάλασσας·</w:t>
      </w:r>
    </w:p>
    <w:p w14:paraId="25E92B36" w14:textId="77777777" w:rsidR="00992C22" w:rsidRPr="00267DF0" w:rsidRDefault="00992C22" w:rsidP="00D93445">
      <w:pPr>
        <w:pStyle w:val="NormalHanging12a"/>
        <w:widowControl/>
      </w:pPr>
      <w:r w:rsidRPr="00267DF0">
        <w:t>ΛΖ.</w:t>
      </w:r>
      <w:r w:rsidRPr="00267DF0">
        <w:tab/>
        <w:t>λαμβάνοντας υπόψη ότι ορισμένες χώρες που δεν είναι μέλη της ΕΕ, μεταξύ των οποίων ο Καναδάς, η Νέα Ζηλανδία και η Αυστραλία, εφαρμόζουν διαφορετικά επιστημονικά τεκμηριωμένα συστήματα διαχείρισης με διαφορετικούς βαθμούς προφύλαξης σε σχέση με την ΕΕ·</w:t>
      </w:r>
    </w:p>
    <w:p w14:paraId="7D2B909A" w14:textId="77777777" w:rsidR="00992C22" w:rsidRPr="00267DF0" w:rsidRDefault="00992C22" w:rsidP="00D93445">
      <w:pPr>
        <w:pStyle w:val="NormalHanging12a"/>
        <w:widowControl/>
      </w:pPr>
      <w:r w:rsidRPr="00267DF0">
        <w:t>ΛΗ.</w:t>
      </w:r>
      <w:r w:rsidRPr="00267DF0">
        <w:tab/>
        <w:t>λαμβάνοντας υπόψη ότι οι καλά συνδεδεμένες θαλάσσιες προστατευόμενες περιοχές που τελούν υπό αποτελεσματική διαχείριση αποτελούν σημαντικά εργαλεία για τον μετριασμό της κλιματικής αλλαγής, καθώς και για ευρύτερους στόχους, όπως η βιοποικιλότητα, η ανθεκτικότητα και η υγεία των οικοσυστημάτων· λαμβάνοντας υπόψη ότι η αποκατάσταση παράκτιων οικοσυστημάτων με βλάστηση, όπως τα παλιρροϊκά έλη και οι υποθαλάσσιοι λειμώνες (παράκτια οικοσυστήματα «γαλάζιου άνθρακα»), μπορεί να συμβάλει στον μετριασμό της κλιματικής αλλαγής μέσω της αυξημένης παγίδευσης του άνθρακα·</w:t>
      </w:r>
    </w:p>
    <w:p w14:paraId="0B5769EC" w14:textId="77777777" w:rsidR="00992C22" w:rsidRPr="00267DF0" w:rsidRDefault="00992C22" w:rsidP="00D93445">
      <w:pPr>
        <w:pStyle w:val="NormalHanging12a"/>
        <w:widowControl/>
      </w:pPr>
      <w:r w:rsidRPr="00267DF0">
        <w:t>ΛΘ.</w:t>
      </w:r>
      <w:r w:rsidRPr="00267DF0">
        <w:tab/>
        <w:t>λαμβάνοντας υπόψη ότι η εφαρμογή του άρθρου 5 του πολυετούς σχεδίου για τη Βαλτική όσον αφορά τις αποφάσεις για τα TAC, τους τεχνικούς κανόνες και τα διορθωτικά μέτρα δεν ήταν επαρκής· λαμβάνοντας υπόψη ότι όπου έχουν αναληφθεί δράσεις «ώστε να διασφαλιστεί η ταχεία επάνοδος του σχετικού αποθέματος σε επίπεδα ανώτερα από εκείνα που επιτρέπουν την επίτευξη της ΜΒΑ», οι δράσεις αυτές δεν έχουν επιτύχει τους στόχους τους·</w:t>
      </w:r>
    </w:p>
    <w:p w14:paraId="33872D85" w14:textId="77777777" w:rsidR="00992C22" w:rsidRPr="00267DF0" w:rsidRDefault="00992C22" w:rsidP="00D93445">
      <w:pPr>
        <w:pStyle w:val="NormalHanging12a"/>
        <w:widowControl/>
      </w:pPr>
      <w:r w:rsidRPr="00267DF0">
        <w:t>M.</w:t>
      </w:r>
      <w:r w:rsidRPr="00267DF0">
        <w:tab/>
        <w:t>λαμβάνοντας υπόψη ότι, ενώ ο κανονισμός για το πολυετές σχέδιο για τη Βαλτική έχει ως στόχο να αποτελέσει ένα ευέλικτο πλαίσιο, προσαρμόσιμο βάσει μιας περιφερειακής προσέγγισης, οι αλλαγές αυτές είχαν περιορισμένη επιτυχία, σε κάποιο βαθμό επίσης ως αποτέλεσμα της περιορισμένης εφαρμογής της σχετικής νομοθεσίας·</w:t>
      </w:r>
    </w:p>
    <w:p w14:paraId="63EA164A" w14:textId="77777777" w:rsidR="00992C22" w:rsidRPr="00267DF0" w:rsidRDefault="00992C22" w:rsidP="00D93445">
      <w:pPr>
        <w:pStyle w:val="NormalHanging12a"/>
        <w:widowControl/>
      </w:pPr>
      <w:r w:rsidRPr="00267DF0">
        <w:t>ΜΑ.</w:t>
      </w:r>
      <w:r w:rsidRPr="00267DF0">
        <w:tab/>
        <w:t xml:space="preserve">λαμβάνοντας υπόψη ότι αρκετοί κανονισμοί της ΕΕ που αναφέρονται στον κανονισμό για το πολυετές σχέδιο για τη Βαλτική καθορίζουν τον τρόπο αποφυγής των κινδύνων και αξιολόγησης των υγιών αποθεμάτων και των συνιστωσών του οικοσυστήματος· </w:t>
      </w:r>
    </w:p>
    <w:p w14:paraId="2665FFF5" w14:textId="77777777" w:rsidR="00992C22" w:rsidRPr="00267DF0" w:rsidRDefault="00992C22" w:rsidP="00D93445">
      <w:pPr>
        <w:pStyle w:val="NormalHanging12a"/>
        <w:widowControl/>
      </w:pPr>
      <w:r w:rsidRPr="00267DF0">
        <w:t>ΜΒ.</w:t>
      </w:r>
      <w:r w:rsidRPr="00267DF0">
        <w:tab/>
      </w:r>
      <w:bookmarkStart w:id="15" w:name="_Hlk227162156"/>
      <w:r w:rsidRPr="00267DF0">
        <w:t>λαμβάνοντας υπόψη ότι η χειμερινή αλιεία πελαγικών ειδών στη Βαλτική Θάλασσα κατά τη διάρκεια της περιόδου έντονης ανάπτυξης και συσσώρευσης ενεργειακών αποθεμάτων πριν από την ωοτοκία υπονομεύει την αναπαραγωγική ικανότητα των αποθεμάτων, καθώς τα θηλυκά είδη χωρίς επαρκή διατροφή παράγουν λιγότερα σε αριθμό και λιγότερο ανεπτυγμένα ωάρια, γεγονός που μειώνει την αναπαραγωγική επιτυχία και εμποδίζει την ανάκαμψη του πληθυσμού·</w:t>
      </w:r>
      <w:bookmarkEnd w:id="15"/>
    </w:p>
    <w:p w14:paraId="32192323" w14:textId="77777777" w:rsidR="00992C22" w:rsidRPr="00267DF0" w:rsidRDefault="00992C22" w:rsidP="00D93445">
      <w:pPr>
        <w:pStyle w:val="NormalHanging12a"/>
        <w:widowControl/>
      </w:pPr>
      <w:r w:rsidRPr="00267DF0">
        <w:t>ΜΓ.</w:t>
      </w:r>
      <w:r w:rsidRPr="00267DF0">
        <w:tab/>
        <w:t>λαμβάνοντας υπόψη ότι το 2023 η έκθεση πρωτοβουλίας του Κοινοβουλίου ζήτησε μια ρεαλιστική και ισορροπημένη προσέγγιση για τις προστατευόμενες θαλάσσιες περιοχές, αναγνωρίζοντας την ποικιλομορφία τους όσον αφορά το μέγεθος, τα είδη και τους στόχους διατήρησης, υπογράμμισε την ανάγκη αποφυγής μιας ενιαίας προσέγγισης και τόνισε ότι οι πολιτικές αυτές πρέπει να λαμβάνουν προσεκτικά υπόψη τον κοινωνικοοικονομικό αντίκτυπο στις παράκτιες κοινότητες, να βασίζονται στα βέλτιστα διαθέσιμα επιστημονικά στοιχεία κατά περίπτωση και να διασφαλίζουν την ενεργό συμμετοχή των αλιέων στον σχεδιασμό και τη διαχείριση των προστατευόμενων θαλάσσιων περιοχών·</w:t>
      </w:r>
    </w:p>
    <w:p w14:paraId="0965B3FC" w14:textId="77777777" w:rsidR="00992C22" w:rsidRPr="00267DF0" w:rsidRDefault="00992C22" w:rsidP="00D93445">
      <w:pPr>
        <w:pStyle w:val="NormalHanging12a"/>
        <w:widowControl/>
      </w:pPr>
      <w:r w:rsidRPr="00267DF0">
        <w:t>ΜΔ.</w:t>
      </w:r>
      <w:r w:rsidRPr="00267DF0">
        <w:tab/>
        <w:t>λαμβάνοντας υπόψη ότι το σύστημα λήψης αποφάσεων της ΕΕ σχετικά με τα TAC κάνει επί του παρόντος διάκριση μεταξύ της διαχείρισης των στοχευόμενων ειδών και των αναγκών προστασίας άλλων ειδών, ενώ παράλληλα στοχεύει στην εφαρμογή μιας προληπτικής προσέγγισης, προκειμένου να επιτευχθεί και να διατηρηθεί η υγιής κατάσταση του οικοσυστήματος·</w:t>
      </w:r>
    </w:p>
    <w:p w14:paraId="1DB67BDA" w14:textId="77777777" w:rsidR="00992C22" w:rsidRPr="00267DF0" w:rsidRDefault="00992C22" w:rsidP="00D93445">
      <w:pPr>
        <w:pStyle w:val="NormalHanging12a"/>
        <w:widowControl/>
      </w:pPr>
      <w:r w:rsidRPr="00267DF0">
        <w:t>ΜΕ.</w:t>
      </w:r>
      <w:r w:rsidRPr="00267DF0">
        <w:tab/>
        <w:t>λαμβάνοντας υπόψη ότι ένα λειτουργικό οικοσύστημα ορίζεται σαφώς στην ΟΠΘΣ και απαιτεί όλα τα στοιχεία των θαλάσσιων τροφικών δικτύων, στον βαθμό που είναι γνωστά, να εμφανίζονται σε φυσιολογική αφθονία και ποικιλότητα και σε επίπεδα ικανά να διασφαλίσουν τη μακροπρόθεσμη αφθονία των ειδών και τη διατήρηση της πλήρους αναπαραγωγικής τους ικανότητας, όπως περιγράφεται στο παράρτημα Ι της ΟΠΘΣ·</w:t>
      </w:r>
    </w:p>
    <w:p w14:paraId="7CBA2199" w14:textId="77777777" w:rsidR="00992C22" w:rsidRPr="00267DF0" w:rsidRDefault="00992C22" w:rsidP="00D93445">
      <w:pPr>
        <w:pStyle w:val="NormalHanging12a"/>
        <w:widowControl/>
      </w:pPr>
      <w:r w:rsidRPr="00267DF0">
        <w:t>ΜΣΤ.</w:t>
      </w:r>
      <w:r w:rsidRPr="00267DF0">
        <w:tab/>
        <w:t>λαμβάνοντας υπόψη ότι η διαχείριση με βάση το οικοσύστημα ορίζεται από το UNEP ως «η διαχείριση των ανθρώπινων δραστηριοτήτων και των επιπτώσεών τους στα οικοσυστήματα και τους φυσικούς πόρους με βάση τη συνεκτίμηση ολόκληρου του οικοσυστήματος»·</w:t>
      </w:r>
    </w:p>
    <w:p w14:paraId="0BA7EEC2" w14:textId="0E823501" w:rsidR="00992C22" w:rsidRPr="00267DF0" w:rsidRDefault="00992C22" w:rsidP="00D93445">
      <w:pPr>
        <w:pStyle w:val="NormalHanging12a"/>
        <w:widowControl/>
      </w:pPr>
      <w:r w:rsidRPr="00267DF0">
        <w:t>ΜΖ.</w:t>
      </w:r>
      <w:r w:rsidRPr="00267DF0">
        <w:tab/>
        <w:t>λαμβάνοντας υπόψη ότι οι προπαρασκευαστικές συζητήσεις σχετικά με τις αποφάσεις για τα TAC πραγματοποιούνται στο φόρουμ για την αλιεία στη Βαλτική Θάλασσα (</w:t>
      </w:r>
      <w:proofErr w:type="spellStart"/>
      <w:r w:rsidR="00D93445" w:rsidRPr="00267DF0">
        <w:t>Baltfish</w:t>
      </w:r>
      <w:proofErr w:type="spellEnd"/>
      <w:r w:rsidRPr="00267DF0">
        <w:t xml:space="preserve">)· λαμβάνοντας υπόψη ότι η περιφερειοποίηση επιτρέπει την ευέλικτη διαχείριση των θαλάσσιων λεκανών της ΕΕ· λαμβάνοντας υπόψη ότι το </w:t>
      </w:r>
      <w:proofErr w:type="spellStart"/>
      <w:r w:rsidR="00D93445" w:rsidRPr="00267DF0">
        <w:t>Baltfish</w:t>
      </w:r>
      <w:proofErr w:type="spellEnd"/>
      <w:r w:rsidR="00D93445" w:rsidRPr="00267DF0">
        <w:t xml:space="preserve"> </w:t>
      </w:r>
      <w:r w:rsidRPr="00267DF0">
        <w:t>είναι σε θέση να υποβάλει «κοινές συστάσεις» σχετικά με συγκεκριμένα μέτρα που θα πρέπει να εξορθολογιστούν·</w:t>
      </w:r>
    </w:p>
    <w:p w14:paraId="447F4BD6" w14:textId="77777777" w:rsidR="00992C22" w:rsidRPr="00267DF0" w:rsidRDefault="00992C22" w:rsidP="00D93445">
      <w:pPr>
        <w:pStyle w:val="NormalHanging12a"/>
        <w:widowControl/>
      </w:pPr>
      <w:r w:rsidRPr="00267DF0">
        <w:t>ΜΗ.</w:t>
      </w:r>
      <w:r w:rsidRPr="00267DF0">
        <w:tab/>
        <w:t>λαμβάνοντας υπόψη ότι η μακροπρόθεσμη βιωσιμότητα του αλιευτικού τομέα της Βαλτικής εξαρτάται από την ενσωμάτωση περιβαλλοντικών, οικονομικών και κοινωνικών στόχων, ώστε να διασφαλίζεται ότι τα μέτρα διαχείρισης προστατεύουν την απασχόληση, την περιφερειακή συνοχή και τον επισιτιστικό εφοδιασμό στις παράκτιες περιοχές· λαμβάνοντας υπόψη ότι η περιφερειακή και τοπική γνώση, συμπεριλαμβανομένης της γνώσης των αλιέων και των παράκτιων κοινοτήτων, αποτελεί ουσιαστική συνιστώσα της αποτελεσματικής διαχείρισης·</w:t>
      </w:r>
    </w:p>
    <w:p w14:paraId="628D35E5" w14:textId="77777777" w:rsidR="00992C22" w:rsidRPr="00267DF0" w:rsidRDefault="00992C22" w:rsidP="00D93445">
      <w:pPr>
        <w:pStyle w:val="NormalHanging12a"/>
        <w:widowControl/>
      </w:pPr>
      <w:r w:rsidRPr="00267DF0">
        <w:t>ΜΘ.</w:t>
      </w:r>
      <w:r w:rsidRPr="00267DF0">
        <w:tab/>
        <w:t>λαμβάνοντας υπόψη ότι διάφορες εκθέσεις πολιτικής και επιστημονικές εκθέσεις καταδεικνύουν την ανάγκη για μια βελτιωμένη και πιο συνεκτική προσέγγιση όσον αφορά τη λήψη αποφάσεων και την εφαρμογή μιας πλήρως ολιστικής προσέγγισης· λαμβάνοντας υπόψη ότι η επίτευξη μιας τέτοιας προσέγγισης ήταν ο στόχος της υπουργικής δήλωσης</w:t>
      </w:r>
      <w:r w:rsidRPr="00267DF0">
        <w:rPr>
          <w:vertAlign w:val="superscript"/>
        </w:rPr>
        <w:footnoteReference w:id="20"/>
      </w:r>
      <w:r w:rsidRPr="00267DF0">
        <w:t xml:space="preserve"> των διασκέψεων «Η Βαλτική μας»· λαμβάνοντας υπόψη ότι τα απτά αποτελέσματα αυτών των διασκέψεων και της δήλωσης ήταν περιορισμένα, ιδίως όσον αφορά την πρόοδο ως προς την εφαρμογή της περιβαλλοντικής νομοθεσίας· </w:t>
      </w:r>
    </w:p>
    <w:p w14:paraId="5E597445" w14:textId="77777777" w:rsidR="00992C22" w:rsidRPr="00267DF0" w:rsidRDefault="00992C22" w:rsidP="00D93445">
      <w:pPr>
        <w:pStyle w:val="NormalHanging12a"/>
        <w:widowControl/>
      </w:pPr>
      <w:r w:rsidRPr="00267DF0">
        <w:t>Ν.</w:t>
      </w:r>
      <w:r w:rsidRPr="00267DF0">
        <w:tab/>
      </w:r>
      <w:bookmarkStart w:id="16" w:name="_Hlk227162595"/>
      <w:r w:rsidRPr="00267DF0">
        <w:t>λαμβάνοντας υπόψη ότι το ευρωπαϊκό σύμφωνο για τους ωκεανούς, με το οποίο ανακοινώνεται επικείμενη νομοθετική πρόταση για μια πράξη για τους ωκεανούς, φιλοδοξεί να παράσχει ένα ολιστικό πλαίσιο για την αποσαφήνιση των διασυνδέσεων και των προτεραιοτήτων των υφιστάμενων πολιτικών για τους ωκεανούς·</w:t>
      </w:r>
      <w:bookmarkEnd w:id="16"/>
    </w:p>
    <w:p w14:paraId="28CE725B" w14:textId="77777777" w:rsidR="00992C22" w:rsidRPr="00267DF0" w:rsidRDefault="00992C22" w:rsidP="00D93445">
      <w:pPr>
        <w:pStyle w:val="NormalHanging12a"/>
        <w:widowControl/>
      </w:pPr>
      <w:r w:rsidRPr="00267DF0">
        <w:t>ΝΑ.</w:t>
      </w:r>
      <w:r w:rsidRPr="00267DF0">
        <w:tab/>
        <w:t>λαμβάνοντας υπόψη ότι Επιτροπή και τα κράτη μέλη δεν έχουν λάβει επαρκή μέτρα για την προστασία και την αποκατάσταση των οικοσυστημάτων της Βαλτικής Θάλασσας από πρόσθετες απειλές όπως η ρύπανση, ο ευτροφισμός και η κλιματική αλλαγή· λαμβάνοντας υπόψη ότι οι πιέσεις αυτές έχουν διασυνοριακό και σωρευτικό χαρακτήρα και, ως εκ τούτου, απαιτούν συντονισμένη δράση σε διεθνές και ενωσιακό επίπεδο· λαμβάνοντας υπόψη ότι η μετάβαση σε οικονομικές δραστηριότητες χαμηλού αντικτύπου και χαμηλών εκπομπών άνθρακα μπορεί να συμβάλει στον μετριασμό της κλιματικής αλλαγής και στην προσαρμογή σε αυτήν·</w:t>
      </w:r>
    </w:p>
    <w:p w14:paraId="1305C722" w14:textId="1D4256E2" w:rsidR="00992C22" w:rsidRPr="00267DF0" w:rsidRDefault="00992C22" w:rsidP="00D93445">
      <w:pPr>
        <w:pStyle w:val="NormalHanging12a"/>
        <w:widowControl/>
      </w:pPr>
      <w:r w:rsidRPr="00267DF0">
        <w:t>ΝΒ.</w:t>
      </w:r>
      <w:r w:rsidRPr="00267DF0">
        <w:tab/>
      </w:r>
      <w:bookmarkStart w:id="17" w:name="_Hlk223339901"/>
      <w:r w:rsidRPr="00267DF0">
        <w:t>λαμβάνοντας υπόψη ότι η φυσική θήρευση αποτελεί μέρος του οικοσυστήματος της Βαλτικής· λαμβάνοντας υπόψη ότι αυξάνεται ο πληθυσμός θηρευτών στη Βαλτική Θάλασσα, όπως οι γκρίζες φώκιες (</w:t>
      </w:r>
      <w:proofErr w:type="spellStart"/>
      <w:r w:rsidRPr="00267DF0">
        <w:rPr>
          <w:i/>
        </w:rPr>
        <w:t>Halichoerus</w:t>
      </w:r>
      <w:proofErr w:type="spellEnd"/>
      <w:r w:rsidRPr="00267DF0">
        <w:rPr>
          <w:i/>
        </w:rPr>
        <w:t xml:space="preserve"> </w:t>
      </w:r>
      <w:proofErr w:type="spellStart"/>
      <w:r w:rsidRPr="00267DF0">
        <w:rPr>
          <w:i/>
        </w:rPr>
        <w:t>grypus</w:t>
      </w:r>
      <w:proofErr w:type="spellEnd"/>
      <w:r w:rsidRPr="00267DF0">
        <w:t>) και οι κορμοράνοι (</w:t>
      </w:r>
      <w:proofErr w:type="spellStart"/>
      <w:r w:rsidRPr="00267DF0">
        <w:rPr>
          <w:i/>
        </w:rPr>
        <w:t>Phalacrocorax</w:t>
      </w:r>
      <w:proofErr w:type="spellEnd"/>
      <w:r w:rsidRPr="00267DF0">
        <w:rPr>
          <w:i/>
        </w:rPr>
        <w:t xml:space="preserve"> </w:t>
      </w:r>
      <w:proofErr w:type="spellStart"/>
      <w:r w:rsidRPr="00267DF0">
        <w:rPr>
          <w:i/>
        </w:rPr>
        <w:t>carbo</w:t>
      </w:r>
      <w:proofErr w:type="spellEnd"/>
      <w:r w:rsidRPr="00267DF0">
        <w:rPr>
          <w:i/>
        </w:rPr>
        <w:t> </w:t>
      </w:r>
      <w:proofErr w:type="spellStart"/>
      <w:r w:rsidRPr="00267DF0">
        <w:rPr>
          <w:i/>
        </w:rPr>
        <w:t>sinensis</w:t>
      </w:r>
      <w:proofErr w:type="spellEnd"/>
      <w:r w:rsidRPr="00267DF0">
        <w:t>)· λαμβάνοντας υπόψη ότι οι φώκιες και οι κορμοράνοι ενδέχεται να επηρεάσουν σημαντικά την επιβίωση των ιχθυδίων γάδου, ιδίως του γάδου της Δυτικής Βαλτικής, καθώς και την υδατοκαλλιέργεια και τα αλιευτικά εργαλεία· λαμβάνοντας υπόψη ότι τα επιστημονικά στοιχεία δείχνουν ότι έχουν ως επί το πλείστον τοπικό αντίκτυπο στους πληθυσμούς ιχθύων· λαμβάνοντας υπόψη ότι πρέπει να εξεταστούν όλοι οι παράγοντες που επηρεάζουν τους πληθυσμούς ιχθύων προκειμένου να αποκατασταθούν τα ιχθυαποθέματα της Βαλτικής Θάλασσας· λαμβάνοντας υπόψη ότι μια οικοσυστημική προσέγγιση της διαχείρισης της αλιείας θα πρέπει επίσης να ενσωματώνει περιβαλλοντικούς παράγοντες· λαμβάνοντας υπόψη ότι η αντιμετώπιση αυτών των αλληλεπιδράσεων απαιτεί στοχευμένα και αποτελεσματικά μέτρα διαχείρισης που βασίζονται στα βέλτιστα διαθέσιμα επιστημονικά δεδομένα και στον διάλογο με όλα τα ενδιαφερόμενα μέρη· λαμβάνοντας υπόψη ότι, όσον αφορά την έγκριση ενός ευρωπαϊκού σχεδίου διαχείρισης των κορμοράνων με στόχο τον μετριασμό των αυξανόμενων επιπτώσεων των κορμοράνων στα ιχθυαποθέματα, την αλιεία και την υδατοκαλλιέργεια, το Κοινοβούλιο παρουσίασε μια σειρά πιθανών μέτρων για την αντιμετώπιση των συνεχιζόμενων προκλήσεων που θέτουν οι πληθυσμοί κορμοράνων·</w:t>
      </w:r>
      <w:bookmarkEnd w:id="17"/>
    </w:p>
    <w:p w14:paraId="5FB50E0F" w14:textId="77777777" w:rsidR="00992C22" w:rsidRPr="00267DF0" w:rsidRDefault="00992C22" w:rsidP="00D93445">
      <w:pPr>
        <w:pStyle w:val="NormalHanging12a"/>
        <w:widowControl/>
      </w:pPr>
      <w:r w:rsidRPr="00267DF0">
        <w:t>ΝΓ.</w:t>
      </w:r>
      <w:r w:rsidRPr="00267DF0">
        <w:tab/>
        <w:t>λαμβάνοντας υπόψη ότι η Επιτροπή αξιολογεί το καθεστώς της Ευρωπαϊκής Ένωσης για τις φώκιες· λαμβάνοντας υπόψη ότι, κατά τη διάρκεια δημόσιας διαβούλευσης της Επιτροπής, εκφράστηκε έντονη αντίθεση κατά της διάθεσης προϊόντων φώκιας στην αγορά, ενώ εκφράστηκαν ανησυχίες σχετικά με τη θήρα φώκιας</w:t>
      </w:r>
      <w:r w:rsidRPr="00267DF0">
        <w:rPr>
          <w:vertAlign w:val="superscript"/>
        </w:rPr>
        <w:footnoteReference w:id="21"/>
      </w:r>
      <w:r w:rsidRPr="00267DF0">
        <w:t>·</w:t>
      </w:r>
    </w:p>
    <w:p w14:paraId="3FE943D2" w14:textId="77777777" w:rsidR="00992C22" w:rsidRPr="00267DF0" w:rsidRDefault="00992C22" w:rsidP="00D93445">
      <w:pPr>
        <w:pStyle w:val="NormalHanging12a"/>
        <w:widowControl/>
      </w:pPr>
      <w:r w:rsidRPr="00267DF0">
        <w:t>ΝΔ.</w:t>
      </w:r>
      <w:r w:rsidRPr="00267DF0">
        <w:tab/>
        <w:t>λαμβάνοντας υπόψη ότι, από το τέλος του Δευτέρου Παγκοσμίου Πολέμου, δεκάδες χιλιάδες τόνοι συμβατικών και χημικών όπλων που περιέχουν επικίνδυνες ουσίες, μεταξύ άλλων χημικές πολεμικές ουσίες, όπως ο θειούχος υπερίτης (αέριο μουστάρδας), τα δακρυγόνα αέρια και οι νευροτοξικοί παράγοντες, απελευθερώνουν σταδιακά επικίνδυνες χημικές ουσίες στο θαλάσσιο περιβάλλον ως αποτέλεσμα της προοδευτικής διάβρωσης, προκαλώντας ρύπανση, ζημία στα οικοσυστήματα και απώλεια βιοποικιλότητας, ενώ θέτουν σε κίνδυνο την ανθρώπινη υγεία και τις οικονομικές δραστηριότητες που εξαρτώνται από τη θάλασσα, όπως η αλιεία, οι μεταφορές, η εξόρυξη πρώτων υλών και η ανάπτυξη της θαλάσσιας ενέργειας·</w:t>
      </w:r>
    </w:p>
    <w:p w14:paraId="72DB981E" w14:textId="77777777" w:rsidR="00992C22" w:rsidRPr="00267DF0" w:rsidRDefault="00992C22" w:rsidP="00D93445">
      <w:pPr>
        <w:pStyle w:val="NormalHanging12a"/>
        <w:widowControl/>
      </w:pPr>
      <w:r w:rsidRPr="00267DF0">
        <w:t>ΝΕ.</w:t>
      </w:r>
      <w:r w:rsidRPr="00267DF0">
        <w:tab/>
        <w:t>λαμβάνοντας υπόψη ότι τυχόν διαρροή από τους χώρους αποθήκευσης χημικών ουσιών θα μπορούσε να οδηγήσει σε ταχεία ρύπανση μεγάλου μέρους της Βαλτικής, η οποία θα υπερέβαινε τις ικανότητες των επιμέρους χωρών και θα απαιτούσε συντονισμένη αντίδραση από την ΕΕ·</w:t>
      </w:r>
    </w:p>
    <w:p w14:paraId="6D67A604" w14:textId="77777777" w:rsidR="00992C22" w:rsidRPr="00267DF0" w:rsidRDefault="00992C22" w:rsidP="00D93445">
      <w:pPr>
        <w:pStyle w:val="NormalHanging12a"/>
        <w:widowControl/>
      </w:pPr>
      <w:r w:rsidRPr="00267DF0">
        <w:t>ΝΣΤ.</w:t>
      </w:r>
      <w:r w:rsidRPr="00267DF0">
        <w:tab/>
        <w:t>λαμβάνοντας υπόψη ότι η αποκατάσταση του βυθού της Βαλτικής Θάλασσας, συμπεριλαμβανομένης της απομάκρυνσης χημικών όπλων, τοξικών φορτίων και ραδιενεργών ουσιών, απαιτεί ένα πολυετές και οικονομικά ασφαλές σχέδιο που θα αναπτυχθεί σε ενωσιακό επίπεδο·</w:t>
      </w:r>
    </w:p>
    <w:p w14:paraId="3C58CFAE" w14:textId="77777777" w:rsidR="00992C22" w:rsidRPr="00267DF0" w:rsidRDefault="00992C22" w:rsidP="00D93445">
      <w:pPr>
        <w:pStyle w:val="NormalHanging12a"/>
        <w:widowControl/>
      </w:pPr>
      <w:r w:rsidRPr="00267DF0">
        <w:t>ΝΖ.</w:t>
      </w:r>
      <w:r w:rsidRPr="00267DF0">
        <w:tab/>
        <w:t>λαμβάνοντας υπόψη ότι η βιώσιμη διαχείριση των ιχθυαποθεμάτων της Βαλτικής Θάλασσας περιπλέκεται επίσης εξαιτίας των κενών δεδομένων που προκύπτουν από τη μη υποβολή δεδομένων από τη Ρωσία, γεγονός που αυξάνει την επιστημονική αβεβαιότητα και υπονομεύει την αποτελεσματική διαχείριση της περιφερειακής αλιείας·</w:t>
      </w:r>
    </w:p>
    <w:p w14:paraId="3624132A" w14:textId="77777777" w:rsidR="00992C22" w:rsidRPr="00267DF0" w:rsidRDefault="00992C22" w:rsidP="00D93445">
      <w:pPr>
        <w:pStyle w:val="NormalHanging12a"/>
        <w:widowControl/>
      </w:pPr>
      <w:r w:rsidRPr="00267DF0">
        <w:t>ΝΗ.</w:t>
      </w:r>
      <w:r w:rsidRPr="00267DF0">
        <w:tab/>
        <w:t>λαμβάνοντας υπόψη ότι η Ρωσία αποφασίζει μονομερώς σχετικά με τις ποσοστώσεις, αγνοώντας τις επιστημονικές γνωμοδοτήσεις και καθορίζοντας διαρκώς ποσοστώσεις που υπερβαίνουν τη ΜΒΑ, θέτοντας δυνητικά σε κίνδυνο την αποκατάσταση των ιχθυαποθεμάτων της Βαλτικής Θάλασσας·</w:t>
      </w:r>
    </w:p>
    <w:p w14:paraId="20FFFAA4" w14:textId="77777777" w:rsidR="00992C22" w:rsidRPr="00267DF0" w:rsidRDefault="00992C22" w:rsidP="00D93445">
      <w:pPr>
        <w:pStyle w:val="NormalHanging12a"/>
        <w:widowControl/>
      </w:pPr>
      <w:r w:rsidRPr="00267DF0">
        <w:t>ΝΘ.</w:t>
      </w:r>
      <w:r w:rsidRPr="00267DF0">
        <w:tab/>
        <w:t>λαμβάνοντας υπόψη ότι η δραστηριότητα του αποκαλούμενου σκιώδους στόλου της Ρωσίας έχει αυξηθεί μετά τον επιθετικό πόλεμο της Ρωσίας κατά της Ουκρανίας· λαμβάνοντας υπόψη ότι ο στόλος αυτός εκμεταλλεύεται παρωχημένα σκάφη που δεν πληρούν τα πρότυπα ασφάλειας και χρησιμοποιούνται για τη μεταφορά αργού πετρελαίου και προϊόντων πετρελαίου σε ολόκληρη τη Βαλτική Θάλασσα, με ελάχιστη προσοχή στα πρότυπα ασφάλειας και στα περιβαλλοντικά και ρυθμιστικά πρότυπα, ενέχει σοβαρό κίνδυνο για το θαλάσσιο περιβάλλον και την περιφερειακή αλιεία λόγω της γήρανσης και της κακής συντήρησης των σκαφών του, και εγείρει επίσης ανησυχίες όσον αφορά την αλιεία στο πλαίσιο της αναγκαίας αποκατάστασης των ιχθυαποθεμάτων της Βαλτικής Θάλασσας και της συνολικής ασφάλειας της Βαλτικής Θάλασσας, με πιθανές καταστροφικές συνέπειες σε περίπτωση πετρελαιοκηλίδας που θα μπορούσε να επηρεάσει όλες τις χώρες της περιοχής·</w:t>
      </w:r>
    </w:p>
    <w:p w14:paraId="173F2AE4" w14:textId="77777777" w:rsidR="00992C22" w:rsidRPr="00267DF0" w:rsidRDefault="00992C22" w:rsidP="00D93445">
      <w:pPr>
        <w:pStyle w:val="NormalHanging12a"/>
        <w:widowControl/>
        <w:rPr>
          <w:b/>
          <w:bCs/>
          <w:i/>
          <w:iCs/>
        </w:rPr>
      </w:pPr>
      <w:r w:rsidRPr="00267DF0">
        <w:rPr>
          <w:b/>
          <w:i/>
        </w:rPr>
        <w:t>Επείγουσες δράσεις</w:t>
      </w:r>
    </w:p>
    <w:p w14:paraId="6D5D20FA" w14:textId="2BA0DCD5" w:rsidR="00992C22" w:rsidRPr="00267DF0" w:rsidRDefault="00267DF0" w:rsidP="00267DF0">
      <w:pPr>
        <w:pStyle w:val="NormalHanging12a"/>
        <w:widowControl/>
        <w:ind w:left="570" w:hanging="570"/>
      </w:pPr>
      <w:r w:rsidRPr="00267DF0">
        <w:t>1.</w:t>
      </w:r>
      <w:r w:rsidRPr="00267DF0">
        <w:tab/>
      </w:r>
      <w:r w:rsidR="00992C22" w:rsidRPr="00267DF0">
        <w:t>καλεί την Επιτροπή και το Συμβούλιο να διασφαλίσουν την αποτελεσματική χρήση όλων των υφιστάμενων διαθέσιμων νομικών και διαχειριστικών εργαλείων, συμπεριλαμβανομένων στοχευμένων μέτρων, χρησιμοποιώντας μια επιστημονικά τεκμηριωμένη προσέγγιση, καθώς και αποτελεσματική διαβούλευση με τα ενδιαφερόμενα μέρη, για την πρόληψη οποιασδήποτε περαιτέρω μείωσης των ιχθυαποθεμάτων της Βαλτικής Θάλασσας·</w:t>
      </w:r>
    </w:p>
    <w:p w14:paraId="28C700D8" w14:textId="13962267" w:rsidR="00992C22" w:rsidRPr="00267DF0" w:rsidRDefault="00267DF0" w:rsidP="00267DF0">
      <w:pPr>
        <w:pStyle w:val="NormalHanging12a"/>
        <w:widowControl/>
        <w:ind w:left="570" w:hanging="570"/>
      </w:pPr>
      <w:bookmarkStart w:id="18" w:name="_Hlk223339076"/>
      <w:r w:rsidRPr="00267DF0">
        <w:t>2.</w:t>
      </w:r>
      <w:r w:rsidRPr="00267DF0">
        <w:tab/>
      </w:r>
      <w:r w:rsidR="00992C22" w:rsidRPr="00267DF0">
        <w:t>καλεί την Επιτροπή, από κοινού με τα κράτη μέλη, να αξιολογήσει τον τρόπο με τον οποίο έχει εξελιχθεί η κατανομή των ποσοστώσεων μεταξύ των τμημάτων του στόλου στη Βαλτική Θάλασσα και να διαπιστώσει κατά πόσον υπάρχει αιτιώδης συνάφεια μεταξύ της πίεσης που ασκείται στους πόρους και της εθνικής πολιτικής κατανομής των αλιευτικών δυνατοτήτων</w:t>
      </w:r>
      <w:bookmarkEnd w:id="18"/>
      <w:r w:rsidR="00992C22" w:rsidRPr="00267DF0">
        <w:t>·</w:t>
      </w:r>
    </w:p>
    <w:p w14:paraId="75783934" w14:textId="71201A3E" w:rsidR="00992C22" w:rsidRPr="00267DF0" w:rsidRDefault="00267DF0" w:rsidP="00267DF0">
      <w:pPr>
        <w:pStyle w:val="NormalHanging12a"/>
        <w:widowControl/>
        <w:ind w:left="570" w:hanging="570"/>
        <w:rPr>
          <w:noProof/>
          <w:szCs w:val="24"/>
        </w:rPr>
      </w:pPr>
      <w:bookmarkStart w:id="19" w:name="_Hlk223341054"/>
      <w:r w:rsidRPr="00267DF0">
        <w:rPr>
          <w:noProof/>
          <w:szCs w:val="24"/>
        </w:rPr>
        <w:t>3.</w:t>
      </w:r>
      <w:r w:rsidRPr="00267DF0">
        <w:rPr>
          <w:noProof/>
          <w:szCs w:val="24"/>
        </w:rPr>
        <w:tab/>
      </w:r>
      <w:r w:rsidR="00992C22" w:rsidRPr="00267DF0">
        <w:t>παροτρύνει την Επιτροπή και τα κράτη μέλη, κατά την εφαρμογή του κανονισμού για το πολυετές σχέδιο για τη Βαλτική, να προχωρήσουν σε φάση αποκατάστασης και ανασύστασης των ιχθυαποθεμάτων, λαμβάνοντας μέτρα και δράσεις με βάση τις βέλτιστες διαθέσιμες επιστημονικές γνωμοδοτήσεις, καθώς και λαμβάνοντας άλλα πιθανά αλληλένδετα μέτρα που σχετίζονται με άλλη ενωσιακή ή εθνική νομοθεσία για την αντιμετώπιση όλων των παραγόντων πίεσης στα ιχθυαποθέματα·</w:t>
      </w:r>
      <w:bookmarkEnd w:id="19"/>
      <w:r w:rsidR="00992C22" w:rsidRPr="00267DF0">
        <w:t xml:space="preserve"> καλεί την Επιτροπή και τα κράτη μέλη, κατά την εφαρμογή της προαναφερθείσας φάσης αποκατάστασης και ανασύστασης, να εξετάσουν διορθωτικά μέτρα με βάση τα βέλτιστα διαθέσιμα επιστημονικά στοιχεία, όπως η αναστολή της στοχευμένης αλιείας για ορισμένα αποθέματα στη Βαλτική Θάλασσα, όπως προβλέπεται στο πολυετές σχέδιο, αποφεύγοντας μέτρα που θα μπορούσαν να υπονομεύσουν την κοινωνικοοικονομική σταθερότητα των παράκτιων κοινοτήτων, ώστε να διασφαλιστεί ότι οι αλιευτικές δραστηριότητες για ανθρώπινη κατανάλωση παραμένουν βιώσιμες·</w:t>
      </w:r>
    </w:p>
    <w:p w14:paraId="20377ED2" w14:textId="0935D459" w:rsidR="00992C22" w:rsidRPr="00267DF0" w:rsidRDefault="00267DF0" w:rsidP="00267DF0">
      <w:pPr>
        <w:pStyle w:val="NormalHanging12a"/>
        <w:widowControl/>
        <w:ind w:left="570" w:hanging="570"/>
        <w:rPr>
          <w:noProof/>
          <w:szCs w:val="24"/>
        </w:rPr>
      </w:pPr>
      <w:r w:rsidRPr="00267DF0">
        <w:rPr>
          <w:noProof/>
          <w:szCs w:val="24"/>
        </w:rPr>
        <w:t>4.</w:t>
      </w:r>
      <w:r w:rsidRPr="00267DF0">
        <w:rPr>
          <w:noProof/>
          <w:szCs w:val="24"/>
        </w:rPr>
        <w:tab/>
      </w:r>
      <w:r w:rsidR="00992C22" w:rsidRPr="00267DF0">
        <w:t>ζητεί την κινητοποίηση κοινωνικής και χρηματοδοτικής στήριξης, συμπεριλαμβανομένης της στήριξης των πληττόμενων κοινοτήτων, των τοπικών επενδύσεων, της προσωρινής αποζημίωσης και της μεταβατικής βοήθειας για τους αλιείς σύμφωνα με τους κανόνες της ΕΕ για την πρόληψη αδικαιολόγητων δυσχερειών και τη διατήρηση της πολιτιστικής κληρονομιάς· σημειώνει ότι, ενώ τα προσωρινά μέτρα αντιμετωπίζουν άμεσες οικολογικές ανησυχίες, τα εργαλεία μόνιμης παύσης έχουν σχεδιαστεί για την προσαρμογή της αλιευτικής ικανότητας στις αλιευτικές δυνατότητες σε βάθος χρόνου· ζητεί, ως εκ τούτου, σαφή διαχωρισμό μεταξύ προσωρινής και μόνιμης παύσης στα καθεστώτα στήριξης·</w:t>
      </w:r>
      <w:r w:rsidR="00E85C71" w:rsidRPr="00267DF0">
        <w:t xml:space="preserve"> αναγνωρίζει ότι οι μικρές και μεσαίες αλιευτικές επιχειρήσεις της Βαλτικής δεν έχουν λάβει επαρκή οικονομική αποζημίωση για τις ζημίες που υπέστησαν μετά την απαγόρευση της στοχευμένης αλιείας γάδου το 2019· καλεί την Επιτροπή να δημιουργήσει ένα ειδικό ταμείο αποκατάστασης και μετάβασης της αλιείας για τη Βαλτική με σκοπό τη στήριξη της αναδιάρθρωσης του στόλου, του τεχνολογικού εκσυγχρονισμού, της αποζημίωσης για απώλειες που προκαλούνται από ειδικές ανά είδος απαγορεύσεις αλιείας και της διατήρησης των παράκτιων αλιευτικών κοινοτήτων και της πολιτιστικής κληρονομιάς τους·</w:t>
      </w:r>
    </w:p>
    <w:p w14:paraId="0C090CBE" w14:textId="11E7EB2D" w:rsidR="00992C22" w:rsidRPr="00267DF0" w:rsidRDefault="00267DF0" w:rsidP="00267DF0">
      <w:pPr>
        <w:pStyle w:val="NormalHanging12a"/>
        <w:widowControl/>
        <w:ind w:left="570" w:hanging="570"/>
      </w:pPr>
      <w:r w:rsidRPr="00267DF0">
        <w:t>5.</w:t>
      </w:r>
      <w:r w:rsidRPr="00267DF0">
        <w:tab/>
      </w:r>
      <w:r w:rsidR="00992C22" w:rsidRPr="00267DF0">
        <w:t>τονίζει ότι οποιαδήποτε μέτρα σχετικά με την αποκατάσταση των αποθεμάτων πρέπει να λαμβάνουν υπόψη τις μοναδικές και ειδικές ανά λεκάνη υδρολογικές και χημικές συνθήκες της Βαλτικής Θάλασσας, ως ημίκλειστης υφάλμυρης θάλασσας που χαρακτηρίζεται από περιορισμένη ανταλλαγή υδάτων, αναερόβιες ζώνες και μόνιμη ρύπανση των ιζημάτων, συνθήκες που χαρακτηρίζουν την εν λόγω λεκάνη και δεν είναι συγκρίσιμες με εκείνες άλλων θαλάσσιων λεκανών της ΕΕ·</w:t>
      </w:r>
    </w:p>
    <w:p w14:paraId="523A8F51" w14:textId="15E1C8FA" w:rsidR="00992C22" w:rsidRPr="00267DF0" w:rsidRDefault="00267DF0" w:rsidP="00267DF0">
      <w:pPr>
        <w:pStyle w:val="NormalHanging12a"/>
        <w:widowControl/>
        <w:ind w:left="570" w:hanging="570"/>
      </w:pPr>
      <w:r w:rsidRPr="00267DF0">
        <w:t>6.</w:t>
      </w:r>
      <w:r w:rsidRPr="00267DF0">
        <w:tab/>
      </w:r>
      <w:r w:rsidR="00992C22" w:rsidRPr="00267DF0">
        <w:t>καλεί το Συμβούλιο να εγκρίνει TAC που ευθυγραμμίζονται πλήρως με την προληπτική προσέγγιση, λαμβάνοντας υπόψη τον ευάλωτο χαρακτήρα του οικοσυστήματος της Βαλτικής Θάλασσας, τους κοινωνικοοικονομικούς παράγοντες και τα χαμηλά ποσοστά αποκατάστασης των αποθεμάτων καθώς και την επιστημονική αβεβαιότητα των συμβουλών· καλεί την Επιτροπή να εξετάσει προσεκτικά τις κοινωνικοοικονομικές πτυχές κατά την αξιολόγηση του τρέχοντος πολυετούς σχεδίου· υπογραμμίζει την ανάγκη για μια ισορροπημένη προσέγγιση μεταξύ περιβαλλοντικών και κοινωνικοοικονομικών παραγόντων, όπως ορίζεται στο άρθρο 2 του κανονισμού ΚΑΠ·</w:t>
      </w:r>
    </w:p>
    <w:p w14:paraId="2B98FC68" w14:textId="265B4138" w:rsidR="00992C22" w:rsidRPr="00267DF0" w:rsidRDefault="00267DF0" w:rsidP="00267DF0">
      <w:pPr>
        <w:pStyle w:val="NormalHanging12a"/>
        <w:widowControl/>
        <w:ind w:left="570" w:hanging="570"/>
      </w:pPr>
      <w:r w:rsidRPr="00267DF0">
        <w:t>7.</w:t>
      </w:r>
      <w:r w:rsidRPr="00267DF0">
        <w:tab/>
      </w:r>
      <w:r w:rsidR="00992C22" w:rsidRPr="00267DF0">
        <w:t>τονίζει ότι ο καθορισμός πολυετών ποσοστώσεων με βάση τα βέλτιστα διαθέσιμα επιστημονικά στοιχεία θα μπορούσε να δώσει στα θαλάσσια οικοσυστήματα στη Βαλτική Θάλασσα χρόνο για να ανακάμψουν και να παράσχουν στις επιχειρήσεις τη σταθερότητα που χρειάζονται για τον σχεδιασμό των επενδύσεων, τη διατήρηση της απασχόλησης</w:t>
      </w:r>
      <w:r w:rsidR="00E85C71" w:rsidRPr="00267DF0">
        <w:t>,</w:t>
      </w:r>
      <w:r w:rsidR="00992C22" w:rsidRPr="00267DF0">
        <w:t xml:space="preserve"> τη συντήρηση των λιμενικών υποδομών</w:t>
      </w:r>
      <w:r w:rsidR="00E85C71" w:rsidRPr="00267DF0">
        <w:t xml:space="preserve"> και τη στήριξη για την ανανέωση των γενεών στον τομέα της αλιείας και της υδατοκαλλιέργειας· υπογραμμίζει ότι η παρατεταμένη ρυθμιστική αστάθεια οδηγεί σε αποεπένδυση, απώλεια παραγωγικής ικανότητας και εξαφάνιση των οικογενειακών αλιευτικών επιχειρήσεων, γεγονός που συνιστά μη αναστρέψιμη κοινωνικοοικονομική απώλεια για τις παράκτιες κοινότητες της Βαλτικής· </w:t>
      </w:r>
      <w:r w:rsidR="00992C22" w:rsidRPr="00267DF0">
        <w:t>τονίζει ότι η ανάπτυξη τέτοιων μέτρων διαχείρισης θα πρέπει να περιλαμβάνει αποτελεσματική, έγκαιρη και συστηματική διαβούλευση με τα ενδιαφερόμενα μέρη·</w:t>
      </w:r>
    </w:p>
    <w:p w14:paraId="2717DD6D" w14:textId="68948FBD" w:rsidR="00992C22" w:rsidRPr="00267DF0" w:rsidRDefault="00267DF0" w:rsidP="00267DF0">
      <w:pPr>
        <w:pStyle w:val="NormalHanging12a"/>
        <w:widowControl/>
        <w:ind w:left="570" w:hanging="570"/>
      </w:pPr>
      <w:r w:rsidRPr="00267DF0">
        <w:t>8.</w:t>
      </w:r>
      <w:r w:rsidRPr="00267DF0">
        <w:tab/>
      </w:r>
      <w:r w:rsidR="00992C22" w:rsidRPr="00267DF0">
        <w:t>καλεί τα κράτη μέλη και την Επιτροπή, δεδομένων των ελλείψεων του κανονισμού για το πολυετές σχέδιο για τη Βαλτική όσον αφορά την επίτευξη των οικολογικών και κοινωνικοοικονομικών στόχων του, να εξετάσουν το ενδεχόμενο θέσπισης μέτρων σύμφωνα με τα άρθρα 12 και 13 της ΚΑΠ, όταν οι βέλτιστες διαθέσιμες επιστημονικές γνωμοδοτήσεις υποδεικνύουν την ανάγκη για τέτοια μέτρα, και να προετοιμάσουν δράση αναλύοντας το κόστος και τα οφέλη της απαγόρευσης της σχετικής αλιείας, μεταξύ άλλων για την ερασιτεχνική αλιεία, επισημαίνοντας την απώλεια εσόδων, μέσων διαβίωσης, επισιτιστικής ασφάλειας και το μελλοντικό κόστος της αδράνειας·</w:t>
      </w:r>
    </w:p>
    <w:p w14:paraId="5996688D" w14:textId="14A3BCF4" w:rsidR="00992C22" w:rsidRPr="00267DF0" w:rsidRDefault="00267DF0" w:rsidP="00267DF0">
      <w:pPr>
        <w:pStyle w:val="NormalHanging12a"/>
        <w:widowControl/>
        <w:ind w:left="570" w:hanging="570"/>
      </w:pPr>
      <w:r w:rsidRPr="00267DF0">
        <w:t>9.</w:t>
      </w:r>
      <w:r w:rsidRPr="00267DF0">
        <w:tab/>
      </w:r>
      <w:r w:rsidR="00992C22" w:rsidRPr="00267DF0">
        <w:t>ζητεί την πρόληψη μη αναστρέψιμων οικολογικών ζημιών στους πληθυσμούς ρέγγας και παπαλίνας στη Βαλτική Θάλασσα, προκειμένου να διασφαλιστεί η μακροπρόθεσμη βιωσιμότητα της παράκτιας και μικρής κλίμακας αλιείας που στοχεύει τα εν λόγω είδη και διαφυλάσσει τα θαλάσσια τροφικά δίκτυα· πιστεύει ότι, με βάση τις επιστημονικές γνωμοδοτήσεις, πρέπει να εξεταστούν επειγόντως παύσεις αποκατάστασης για τα αντίστοιχα αποθέματα, έως ότου τα επιστημονικά στοιχεία καταδείξουν σαφή και βιώσιμη αποκατάσταση των αποθεμάτων·</w:t>
      </w:r>
    </w:p>
    <w:p w14:paraId="7A35CDC6" w14:textId="181C66E2" w:rsidR="00992C22" w:rsidRPr="00267DF0" w:rsidRDefault="00267DF0" w:rsidP="00267DF0">
      <w:pPr>
        <w:pStyle w:val="NormalHanging12a"/>
        <w:widowControl/>
        <w:ind w:left="570" w:hanging="570"/>
      </w:pPr>
      <w:r w:rsidRPr="00267DF0">
        <w:t>10.</w:t>
      </w:r>
      <w:r w:rsidRPr="00267DF0">
        <w:tab/>
      </w:r>
      <w:r w:rsidR="00992C22" w:rsidRPr="00267DF0">
        <w:t>επισημαίνει, στο πλαίσιο αυτό, ότι για να είναι όσο το δυνατόν πιο αποτελεσματικά, τα διορθωτικά μέτρα απαιτούν την κατάλληλη συμμετοχή των ενδιαφερόμενων μερών και πρέπει να βασίζονται στα βέλτιστα διαθέσιμα επιστημονικά στοιχεία προκειμένου να επιτευχθούν οι στόχοι τους· επισημαίνει, επιπλέον, την επιλογή δημιουργίας επιστημονικά τεκμηριωμένων περιοχών αποκατάστασης των ιχθυαποθεμάτων και προσωρινών απαγορεύσεων αλιείας στη Βαλτική Θάλασσα, με έμφαση στις περιοχές που συγκεντρώνονται τα ψάρια τον χειμώνα πριν από την ωοτοκία, με σκοπό τη διατήρηση της σταθερής προσέλκυσης νεαρών ψαριών στο αλιεύσιμο απόθεμα και της υγιούς ηλικιακής διάρθρωσης του πληθυσμού, καθώς και της λήψης παθητικών και ενεργητικών μέτρων αποκατάστασης, μεταξύ άλλων σε περιοχές ωοτοκίας και αναπαραγωγής, σύμφωνα με τις διατάξεις της σχετικής περιβαλλοντικής νομοθεσίας της ΕΕ· τονίζει ότι είναι σημαντικό τα μέτρα αυτά να συνοδεύονται από κατάλληλη και έγκαιρη αποζημίωση σύμφωνα με τις σχετικές διατάξεις της ΕΕ·</w:t>
      </w:r>
    </w:p>
    <w:p w14:paraId="7D241BFD" w14:textId="21822043" w:rsidR="00992C22" w:rsidRPr="00267DF0" w:rsidRDefault="00267DF0" w:rsidP="00267DF0">
      <w:pPr>
        <w:pStyle w:val="NormalHanging12a"/>
        <w:widowControl/>
        <w:ind w:left="570" w:hanging="570"/>
      </w:pPr>
      <w:r w:rsidRPr="00267DF0">
        <w:t>11.</w:t>
      </w:r>
      <w:r w:rsidRPr="00267DF0">
        <w:tab/>
      </w:r>
      <w:r w:rsidR="00992C22" w:rsidRPr="00267DF0">
        <w:t xml:space="preserve">υπενθυμίζει τις δεσμεύσεις και τους στόχους της ΕΕ όσον αφορά την κάλυψη των περιοχών και την αποτελεσματικότητα των προστατευόμενων θαλάσσιων περιοχών· ενθαρρύνει την ορθή εφαρμογή αποτελεσματικών μέτρων διαχείρισης στις υφιστάμενες προστατευόμενες θαλάσσιες περιοχές στη Βαλτική Θάλασσα, καθώς και τον χαρακτηρισμό πρόσθετων προστατευόμενων θαλάσσιων περιοχών σύμφωνα με τις δεσμεύσεις της ΕΕ· επισημαίνει ότι ο χαρακτηρισμός αυτός θα πρέπει να βασίζεται σε επιστημονικές αξιολογήσεις που καταδεικνύουν κρίσιμους οικοτόπους ή περιοχές ωοτοκίας· επισημαίνει την ανάγκη για αποτελεσματικά μέτρα διαχείρισης σε συνδυασμό με πιλοτικά έργα για επιλεκτικά και χαμηλού αντικτύπου αλιευτικά εργαλεία εμπνεόμενα από επιτυχείς πρωτοβουλίες στη Βόρεια Θάλασσα και στο </w:t>
      </w:r>
      <w:proofErr w:type="spellStart"/>
      <w:r w:rsidR="00992C22" w:rsidRPr="00267DF0">
        <w:t>Skagerrak</w:t>
      </w:r>
      <w:proofErr w:type="spellEnd"/>
      <w:r w:rsidR="00992C22" w:rsidRPr="00267DF0">
        <w:t>·</w:t>
      </w:r>
    </w:p>
    <w:p w14:paraId="6D52AAE0" w14:textId="60E26E08" w:rsidR="00992C22" w:rsidRPr="00267DF0" w:rsidRDefault="00267DF0" w:rsidP="00267DF0">
      <w:pPr>
        <w:pStyle w:val="NormalHanging12a"/>
        <w:widowControl/>
        <w:ind w:left="570" w:hanging="570"/>
      </w:pPr>
      <w:bookmarkStart w:id="20" w:name="_Hlk223341323"/>
      <w:r w:rsidRPr="00267DF0">
        <w:t>12.</w:t>
      </w:r>
      <w:r w:rsidRPr="00267DF0">
        <w:tab/>
      </w:r>
      <w:r w:rsidR="00992C22" w:rsidRPr="00267DF0">
        <w:t>τονίζει τη σημασία της διατήρησης βιώσιμης αλιείας μικρής κλίμακας με περιορισμένες εκφορτώσεις στην περιοχή, η οποία θα τους επιτρέπει να λειτουργούν κατά τις φάσεις ανασύστασης· υπενθυμίζει τις σχετικές διατάξεις του αναθεωρημένου κανονισμού για τον έλεγχο της αλιείας και την πλήρη και αποτελεσματική εφαρμογή τους· τονίζει ότι η αλιεία αυτή είναι ζωτικής σημασίας για τα μέσα διαβίωσης, την ανθεκτικότητα των παραδοσιακών αλυσίδων εφοδιασμού και τη διατήρηση των θέσεων εργασίας στις παράκτιες αλιευτικές κοινότητες και ότι έχει ιδιαίτερη κοινωνική και πολιτιστική αξία· επισημαίνει ότι η ενίσχυση της αλιείας αυτής μπορεί να δημιουργήσει μεγαλύτερη προστιθέμενη αξία για τις τοπικές οικονομίες· τονίζει τη σημασία των τριών πυλώνων της βιώσιμης ανάπτυξης σύμφωνα με το άρθρο 2 της ΚΑΠ·</w:t>
      </w:r>
      <w:bookmarkEnd w:id="20"/>
    </w:p>
    <w:p w14:paraId="177237DB" w14:textId="63563A00" w:rsidR="00992C22" w:rsidRPr="00267DF0" w:rsidRDefault="00267DF0" w:rsidP="00267DF0">
      <w:pPr>
        <w:pStyle w:val="NormalHanging12a"/>
        <w:widowControl/>
        <w:ind w:left="570" w:hanging="570"/>
        <w:rPr>
          <w:szCs w:val="24"/>
        </w:rPr>
      </w:pPr>
      <w:bookmarkStart w:id="21" w:name="_Hlk223339158"/>
      <w:r w:rsidRPr="00267DF0">
        <w:rPr>
          <w:szCs w:val="24"/>
        </w:rPr>
        <w:t>13.</w:t>
      </w:r>
      <w:r w:rsidRPr="00267DF0">
        <w:rPr>
          <w:szCs w:val="24"/>
        </w:rPr>
        <w:tab/>
      </w:r>
      <w:r w:rsidR="00992C22" w:rsidRPr="00267DF0">
        <w:t>καλεί την Επιτροπή και τα κράτη μέλη να δώσουν προτεραιότητα στη βελτίωση της κοινωνικοοικονομικής κατάστασης των παράκτιων αλιέων μικρής κλίμακας· τονίζει τη σημασία των αλιευτικών δυνατοτήτων και των αλιευτικών ζωνών στις παράκτιες περιοχές για τους μικρούς φορείς εκμετάλλευσης· επισημαίνει ότι τα κράτη μέλη μπορούν να επιτύχουν αυτές τις βελτιώσεις μέσω των εθνικών τους κατανομών ποσοστώσεων σύμφωνα με το άρθρο 17 της ΚΑΠ, καθώς και μέσω επενδύσεων σε επιλεκτικά και χαμηλού αντικτύπου αλιευτικά εργαλεία·</w:t>
      </w:r>
      <w:bookmarkEnd w:id="21"/>
      <w:r w:rsidR="00E85C71" w:rsidRPr="00267DF0">
        <w:t xml:space="preserve"> καλεί, επιπλέον, την Επιτροπή και τα κράτη μέλη να αξιολογήσουν και, κατά περίπτωση, να εφαρμόσουν διαφοροποιημένους κανόνες πρόσβασης για την αλιεία στη Βαλτική Θάλασσα με βάση το μήκος των σκαφών και τον τύπο των εργαλείων, ιδίως με σκοπό τον περιορισμό της ανταγωνιστικής πίεσης που ασκείται από βιομηχανικά σκάφη μεγάλης κλίμακας σε οικογενειακές επιχειρήσεις μικρής και μεσαίας κλίμακας και παράκτιες κοινότητες·</w:t>
      </w:r>
    </w:p>
    <w:p w14:paraId="13D5965E" w14:textId="20D69671" w:rsidR="00992C22" w:rsidRPr="00267DF0" w:rsidRDefault="00267DF0" w:rsidP="00267DF0">
      <w:pPr>
        <w:pStyle w:val="NormalHanging12a"/>
        <w:widowControl/>
        <w:ind w:left="570" w:hanging="570"/>
        <w:rPr>
          <w:szCs w:val="24"/>
        </w:rPr>
      </w:pPr>
      <w:r w:rsidRPr="00267DF0">
        <w:rPr>
          <w:szCs w:val="24"/>
        </w:rPr>
        <w:t>14.</w:t>
      </w:r>
      <w:r w:rsidRPr="00267DF0">
        <w:rPr>
          <w:szCs w:val="24"/>
        </w:rPr>
        <w:tab/>
      </w:r>
      <w:r w:rsidR="00992C22" w:rsidRPr="00267DF0">
        <w:t>καλεί τα κράτη μέλη και την Επιτροπή να ενισχύσουν περαιτέρω την εφαρμογή της υποχρέωσης εκφόρτωσης για την αντιμετώπιση των παράνομων απορρίψεων στη Βαλτική Θάλασσα, αναγνωρίζοντας την ανάγκη για εφαρμόσιμα μέτρα, να στηρίξουν την επιλεκτικότητα και να μειώσουν τα ανεπιθύμητα αλιεύματα, και να εφαρμόσουν τις σχετικές διατάξεις για το θέμα αυτό σύμφωνα με την ΚΑΠ και τον κανονισμό για τον έλεγχο της αλιείας·</w:t>
      </w:r>
    </w:p>
    <w:p w14:paraId="03F64468" w14:textId="3BEA2693" w:rsidR="00992C22" w:rsidRPr="00267DF0" w:rsidRDefault="00267DF0" w:rsidP="00267DF0">
      <w:pPr>
        <w:pStyle w:val="NormalHanging12a"/>
        <w:widowControl/>
        <w:ind w:left="570" w:hanging="570"/>
        <w:rPr>
          <w:szCs w:val="24"/>
        </w:rPr>
      </w:pPr>
      <w:r w:rsidRPr="00267DF0">
        <w:rPr>
          <w:szCs w:val="24"/>
        </w:rPr>
        <w:t>15.</w:t>
      </w:r>
      <w:r w:rsidRPr="00267DF0">
        <w:rPr>
          <w:szCs w:val="24"/>
        </w:rPr>
        <w:tab/>
      </w:r>
      <w:r w:rsidR="00992C22" w:rsidRPr="00267DF0">
        <w:t>επισημαίνει τον ρόλο του ευρωπαϊκού συμφώνου για τους ωκεανούς στην προώθηση μιας ολιστικής προσέγγισης και μιας βιώσιμης και αναγεννητικής γαλάζιας οικονομίας στη Βαλτική Θάλασσα, με στοχευμένες δράσεις για την αποκατάσταση των ιχθυαποθεμάτων και τη μείωση των περιβαλλοντικών πιέσεων· σημειώνει ότι η υλοποίηση των στόχων του συμφώνου για τους ωκεανούς και της Πυξίδας Ανταγωνιστικότητας απαιτεί επαρκή χρηματοδοτική στήριξη για την ανάπτυξη μιας ανθεκτικής θαλάσσιας οικονομίας που είναι βιώσιμη μακροπρόθεσμα, καθώς και για την προώθηση της καινοτομίας, του εκσυγχρονισμού, της απανθρακοποίησης και της ψηφιοποίησης·</w:t>
      </w:r>
    </w:p>
    <w:p w14:paraId="19AAFC5C" w14:textId="65E5CCAE" w:rsidR="00992C22" w:rsidRPr="00267DF0" w:rsidRDefault="00267DF0" w:rsidP="00267DF0">
      <w:pPr>
        <w:pStyle w:val="NormalHanging12a"/>
        <w:widowControl/>
        <w:ind w:left="570" w:hanging="570"/>
        <w:rPr>
          <w:szCs w:val="24"/>
        </w:rPr>
      </w:pPr>
      <w:r w:rsidRPr="00267DF0">
        <w:rPr>
          <w:szCs w:val="24"/>
        </w:rPr>
        <w:t>16.</w:t>
      </w:r>
      <w:r w:rsidRPr="00267DF0">
        <w:rPr>
          <w:szCs w:val="24"/>
        </w:rPr>
        <w:tab/>
      </w:r>
      <w:r w:rsidR="00992C22" w:rsidRPr="00267DF0">
        <w:t>καλεί την Επιτροπή και τα κράτη μέλη να μειώσουν τον διοικητικό φόρτο και να διασφαλίσουν καλύτερο συντονισμό μεταξύ των πολιτικών για την ενίσχυση της ανθεκτικότητας, της ανταγωνιστικότητας και της μακροπρόθεσμης βιωσιμότητας της περιοχής της Βαλτικής Θάλασσας έναντι των προκλήσεων σε επίπεδο περιβάλλοντος και αγοράς·</w:t>
      </w:r>
    </w:p>
    <w:p w14:paraId="4FA02033" w14:textId="26A36852" w:rsidR="00992C22" w:rsidRPr="00267DF0" w:rsidRDefault="00267DF0" w:rsidP="00267DF0">
      <w:pPr>
        <w:pStyle w:val="NormalHanging12a"/>
        <w:widowControl/>
        <w:ind w:left="570" w:hanging="570"/>
        <w:rPr>
          <w:szCs w:val="24"/>
        </w:rPr>
      </w:pPr>
      <w:r w:rsidRPr="00267DF0">
        <w:rPr>
          <w:szCs w:val="24"/>
        </w:rPr>
        <w:t>17.</w:t>
      </w:r>
      <w:r w:rsidRPr="00267DF0">
        <w:rPr>
          <w:szCs w:val="24"/>
        </w:rPr>
        <w:tab/>
      </w:r>
      <w:r w:rsidR="00992C22" w:rsidRPr="00267DF0">
        <w:t>καλεί την Επιτροπή, ως θεματοφύλακα των Συνθηκών, να ενεργεί σύμφωνα με τις Συνθήκες σε περιπτώσεις όπου το Συμβούλιο και τα κράτη μέλη παραβιάζουν τους κανόνες της ΕΕ, όπως τους κανόνες του πολυετούς σχεδίου για τη Βαλτική·</w:t>
      </w:r>
    </w:p>
    <w:p w14:paraId="4D002901" w14:textId="69636EED" w:rsidR="00992C22" w:rsidRPr="00267DF0" w:rsidRDefault="00267DF0" w:rsidP="00267DF0">
      <w:pPr>
        <w:pStyle w:val="NormalHanging12a"/>
        <w:widowControl/>
        <w:ind w:left="570" w:hanging="570"/>
      </w:pPr>
      <w:r w:rsidRPr="00267DF0">
        <w:t>18.</w:t>
      </w:r>
      <w:r w:rsidRPr="00267DF0">
        <w:tab/>
      </w:r>
      <w:r w:rsidR="00992C22" w:rsidRPr="00267DF0">
        <w:t>καλεί τα κράτη μέλη της ΕΕ να μεριμνήσουν για την πλήρη και αποτελεσματική εφαρμογή του κανονισμού της ΕΕ για τον έλεγχο της αλιείας, μεταξύ άλλων με διατάξεις που αντιμετωπίζουν τις περιπτώσεις υποβολής ανακριβών στοιχείων και ενισχύουν την ακρίβεια και την αξιοπιστία της αναφοράς αλιευμάτων στην περιοχή·</w:t>
      </w:r>
    </w:p>
    <w:p w14:paraId="1A31FB75" w14:textId="77777777" w:rsidR="00992C22" w:rsidRPr="00267DF0" w:rsidRDefault="00992C22" w:rsidP="00D93445">
      <w:pPr>
        <w:pStyle w:val="NormalHanging12a"/>
        <w:widowControl/>
        <w:ind w:left="0" w:firstLine="0"/>
        <w:rPr>
          <w:b/>
          <w:bCs/>
          <w:i/>
          <w:iCs/>
        </w:rPr>
      </w:pPr>
      <w:r w:rsidRPr="00267DF0">
        <w:rPr>
          <w:b/>
          <w:i/>
        </w:rPr>
        <w:t>Βελτίωση των επιστημονικών συμβουλών</w:t>
      </w:r>
    </w:p>
    <w:p w14:paraId="0A888728" w14:textId="37523FB9" w:rsidR="00992C22" w:rsidRPr="00267DF0" w:rsidRDefault="00267DF0" w:rsidP="00267DF0">
      <w:pPr>
        <w:pStyle w:val="NormalHanging12a"/>
        <w:widowControl/>
        <w:ind w:left="570" w:hanging="570"/>
      </w:pPr>
      <w:r w:rsidRPr="00267DF0">
        <w:t>19.</w:t>
      </w:r>
      <w:r w:rsidRPr="00267DF0">
        <w:tab/>
      </w:r>
      <w:r w:rsidR="00992C22" w:rsidRPr="00267DF0">
        <w:t>υπογραμμίζει ότι είναι σημαντικό η διαχείριση της αλιείας να βασίζεται στις βέλτιστες διαθέσιμες επιστημονικές γνωμοδοτήσεις και στον καίριο ρόλο του ICES όσον αφορά τη διασφάλιση της επιστημονικής συνοχής και τονίζει τη σημασία των γνώσεων των αλιέων· επισημαίνει τη σημασία της ανεξαρτησίας του ICES· καλεί τα κράτη μέλη και την Επιτροπή να διασφαλίσουν τη διαθεσιμότητα επικαιροποιημένων και αναγκαίων επιστημονικών αλιευτικών δεδομένων για το ICES, προκειμένου να συνεχιστεί η βελτίωση των γνωμοδοτήσεών του και να διασφαλιστεί η έγκαιρη διαθεσιμότητα επιστημονικών αξιολογήσεων υψηλής ποιότητας· καλεί την Επιτροπή να δημοσιοποιήσει όλα τα αιτήματά της για παροχή επιστημονικών γνωμοδοτήσεων από το ICES, ώστε να καταστεί δυνατός και ο ανοιχτός διάλογος·</w:t>
      </w:r>
    </w:p>
    <w:p w14:paraId="32B5C03B" w14:textId="354BC85C" w:rsidR="00992C22" w:rsidRPr="00267DF0" w:rsidRDefault="00267DF0" w:rsidP="00267DF0">
      <w:pPr>
        <w:pStyle w:val="NormalHanging12a"/>
        <w:widowControl/>
        <w:ind w:left="570" w:hanging="570"/>
      </w:pPr>
      <w:r w:rsidRPr="00267DF0">
        <w:t>20.</w:t>
      </w:r>
      <w:r w:rsidRPr="00267DF0">
        <w:tab/>
      </w:r>
      <w:r w:rsidR="00992C22" w:rsidRPr="00267DF0">
        <w:t xml:space="preserve">παροτρύνει την Επιτροπή να ζητήσει αμέσως από το ICES, στο πλαίσιο των </w:t>
      </w:r>
      <w:proofErr w:type="spellStart"/>
      <w:r w:rsidR="00992C22" w:rsidRPr="00267DF0">
        <w:t>διαβουλεύσεών</w:t>
      </w:r>
      <w:proofErr w:type="spellEnd"/>
      <w:r w:rsidR="00992C22" w:rsidRPr="00267DF0">
        <w:t xml:space="preserve"> του σχετικά με το μνημόνιο συνεννόησης, να συντάξει περαιτέρω γνωμοδοτήσεις που βασίζονται στο οικοσύστημα και αφορούν πολλά είδη, καθώς και γνωμοδοτήσεις σχετικά με την αποκατάσταση των αποθεμάτων, αναγνωρίζοντας την περιβαλλοντική μεταβλητότητα και τις αλληλεπιδράσεις του τροφικού δικτύου, να διερευνήσει τη χρήση σημείων αναφοράς με βάση το οικοσύστημα και προσαρμοσμένων στο οικοσύστημα δεδομένων θνησιμότητας λόγω αλιείας προσαρμοσμένων στις αλληλεπιδράσεις της Βαλτικής και συγκεκριμένων ειδών, και να συμπεριλάβει επίσης συμπληρωματικούς δείκτες που βασίζονται σε άλλους σχετικούς κανόνες της ΕΕ, όπως η ΟΠΘΣ, για παράδειγμα με τη συμπερίληψη δεικτών μεγάλων ιχθύων και δεικτών κατανομής του πληθυσμού ανά ηλικία και ανά μέγεθος· επισημαίνει ότι κάθε τέτοια γνωμοδότηση θα πρέπει να παραμένει διαφανής και προβλέψιμη για τον τομέα και να αποφεύγει την υπερεκτίμηση που οδηγεί στη συνέχεια σε αδικαιολόγητα όρια αλιευμάτων και επιχειρηματική αβεβαιότητα·</w:t>
      </w:r>
    </w:p>
    <w:p w14:paraId="019C61D7" w14:textId="36D635DE" w:rsidR="00992C22" w:rsidRPr="00267DF0" w:rsidRDefault="00267DF0" w:rsidP="00267DF0">
      <w:pPr>
        <w:pStyle w:val="NormalHanging12a"/>
        <w:widowControl/>
        <w:ind w:left="570" w:hanging="570"/>
      </w:pPr>
      <w:bookmarkStart w:id="22" w:name="_Hlk223340570"/>
      <w:r w:rsidRPr="00267DF0">
        <w:t>21.</w:t>
      </w:r>
      <w:r w:rsidRPr="00267DF0">
        <w:tab/>
      </w:r>
      <w:r w:rsidR="00992C22" w:rsidRPr="00267DF0">
        <w:t>καλεί την Επιτροπή, στην περίπτωση της Βαλτικής Θάλασσας, να ζητήσει από το ICES γνωμοδότηση για προληπτικά αποθέματα ασφαλείας που σχετίζονται με την αβεβαιότητα της επιστημονικής γνωμοδότησης, καθώς και την αβεβαιότητα της εισόδου νεαρών ψαριών στο αλιεύσιμο απόθεμα και της πορείας της βιομάζας, καθώς και γνωμοδότηση σχετικά με τις επιπτώσεις της μη χρήσης εύρους τιμών άνω της ΜΒΑ και όλες τις σχετικές συνέπειες, αποφεύγοντας άκαμπτες ή αυτόματες μειώσεις που παραβλέπουν την κοινωνικοοικονομική πραγματικότητα· τονίζει ότι η ΜΒΑ παραμένει σημαντικό εργαλείο για την προσαρμοστική και υπεύθυνη διαχείριση· καλεί, επιπλέον, την Επιτροπή να ζητήσει από την ΕΤΟΕΑ σχετικές κοινωνικοοικονομικές αναλύσεις για τη Βαλτική Θάλασσα·</w:t>
      </w:r>
      <w:bookmarkEnd w:id="22"/>
    </w:p>
    <w:p w14:paraId="676236BE" w14:textId="1BE4E29C" w:rsidR="00992C22" w:rsidRPr="00267DF0" w:rsidRDefault="00267DF0" w:rsidP="00267DF0">
      <w:pPr>
        <w:pStyle w:val="NormalHanging12a"/>
        <w:widowControl/>
        <w:ind w:left="570" w:hanging="570"/>
      </w:pPr>
      <w:r w:rsidRPr="00267DF0">
        <w:t>22.</w:t>
      </w:r>
      <w:r w:rsidRPr="00267DF0">
        <w:tab/>
      </w:r>
      <w:r w:rsidR="00992C22" w:rsidRPr="00267DF0">
        <w:t>καλεί την Επιτροπή να βασίσει όλες τις αξιολογήσεις αποθεμάτων που χρησιμοποιούνται για την εφαρμογή της ενωσιακής νομοθεσίας σε σημεία αναφοράς για τη βιομάζα Β</w:t>
      </w:r>
      <w:r w:rsidR="00992C22" w:rsidRPr="00267DF0">
        <w:rPr>
          <w:vertAlign w:val="subscript"/>
        </w:rPr>
        <w:t>MSY</w:t>
      </w:r>
      <w:r w:rsidR="00992C22" w:rsidRPr="00267DF0">
        <w:t>, σύμφωνα με τους στόχους του άρθρου 3 παράγραφος 1 κανονισμού για το πολυετές σχέδιο για τη Βαλτική και του άρθρου 2 παράγραφος 2 της ΚΑΠ·</w:t>
      </w:r>
    </w:p>
    <w:p w14:paraId="3DDAF55C" w14:textId="2D511D7C" w:rsidR="00992C22" w:rsidRPr="00267DF0" w:rsidRDefault="00267DF0" w:rsidP="00267DF0">
      <w:pPr>
        <w:pStyle w:val="NormalHanging12a"/>
        <w:widowControl/>
        <w:ind w:left="570" w:hanging="570"/>
      </w:pPr>
      <w:r w:rsidRPr="00267DF0">
        <w:t>23.</w:t>
      </w:r>
      <w:r w:rsidRPr="00267DF0">
        <w:tab/>
      </w:r>
      <w:r w:rsidR="00992C22" w:rsidRPr="00267DF0">
        <w:t>καλεί την Επιτροπή και τα κράτη μέλη να διασφαλίσουν ότι η διαχείριση των ιχθυαποθεμάτων της Βαλτικής Θάλασσας περιλαμβάνει στόχους για την αποκατάσταση του φυσικού μεγέθους και της ηλικιακής κατανομής εντός των πληθυσμών σύμφωνα με το άρθρο 2 παράγραφος 5 στοιχείο ι) της ΚΑΠ που παραπέμπει στο άρθρο 1 παράγραφος 1 της ΟΠΘΣ, αναγνωρίζοντας ότι οι υγιείς πληθυσμιακές δομές συμβάλλουν στην αναπαραγωγική ικανότητα, την ανθεκτικότητα των αποθεμάτων και τη σταθερότητα του οικοσυστήματος· ενθαρρύνει την ανάπτυξη δεικτών παρακολούθησης και πιο επιλεκτικών αλιευτικών πρακτικών που αναπτύσσονται σε συνεργασία με τον τομέα, οι οποίες μπορούν να μειώσουν τη συστηματική απομάκρυνση μεγαλύτερων σε μέγεθος και ηλικία ιχθύων και να προστατεύσουν καλύτερα τις δυνατότητες ανανέωσης του αποθέματος·</w:t>
      </w:r>
    </w:p>
    <w:p w14:paraId="1403A3AA" w14:textId="292CECDE" w:rsidR="00992C22" w:rsidRPr="00267DF0" w:rsidRDefault="00267DF0" w:rsidP="00267DF0">
      <w:pPr>
        <w:pStyle w:val="NormalHanging12a"/>
        <w:widowControl/>
        <w:ind w:left="570" w:hanging="570"/>
      </w:pPr>
      <w:bookmarkStart w:id="23" w:name="_Hlk223348724"/>
      <w:r w:rsidRPr="00267DF0">
        <w:t>24.</w:t>
      </w:r>
      <w:r w:rsidRPr="00267DF0">
        <w:tab/>
      </w:r>
      <w:r w:rsidR="00992C22" w:rsidRPr="00267DF0">
        <w:t>καλεί την Επιτροπή, για τους σκοπούς της εφαρμογής του δικαίου της ΕΕ, συμπεριλαμβανομένου του κανονισμού για το πολυετές σχέδιο για τη Βαλτική, να ζητήσει επιστημονικές γνωμοδοτήσεις από το ICES που λαμβάνουν υπόψη τους σχετικούς περιβαλλοντικούς και οικοσυστημικούς παράγοντες καταπόνησης στη Βαλτική Θάλασσα· θεωρεί ότι οι γνωμοδοτήσεις αυτές θα πρέπει να επισημαίνουν και να αποτυπώνουν σαφώς, μεταξύ άλλων παραγόντων, τους κινδύνους που σχετίζονται με την τρέχουσα κατάσταση του περιβάλλοντος, τις  αλληλεπιδράσεις ξηράς-θάλασσας, την αυξημένη αβεβαιότητα λόγω της κλιματικής αλλαγής και τον αντίκτυπο των αλληλεπιδράσεων μεταξύ των ειδών, συμπεριλαμβανομένων των πληθυσμών θηρευτών· τονίζει ότι κάθε συμβουλή θα πρέπει επίσης να γνωστοποιεί σαφώς το αντίστοιχο επίπεδο αβεβαιότητας·</w:t>
      </w:r>
      <w:bookmarkEnd w:id="23"/>
    </w:p>
    <w:p w14:paraId="6AAA710B" w14:textId="79E033B7" w:rsidR="00992C22" w:rsidRPr="00267DF0" w:rsidRDefault="00267DF0" w:rsidP="00267DF0">
      <w:pPr>
        <w:pStyle w:val="NormalHanging12a"/>
        <w:widowControl/>
        <w:ind w:left="570" w:hanging="570"/>
      </w:pPr>
      <w:r w:rsidRPr="00267DF0">
        <w:t>25.</w:t>
      </w:r>
      <w:r w:rsidRPr="00267DF0">
        <w:tab/>
      </w:r>
      <w:r w:rsidR="00992C22" w:rsidRPr="00267DF0">
        <w:t>καλεί την Επιτροπή να διαβουλεύεται με το ICES στο πλαίσιο του υφιστάμενου μνημονίου συνεννόησης για να ενθαρρύνει την τακτική επικαιροποίηση των τεχνικών κατευθυντήριων γραμμών τους για τους κανόνες ελέγχου της αλίευσης και την περαιτέρω βελτίωση των μεθόδων αξιολόγησης των αποθεμάτων με βάση ανεξάρτητα επιστημονικά κριτήρια· σημειώνει ότι είναι σημαντικό το ICES —κατά την παροχή γνωμοδοτήσεων στην Επιτροπή ή στα κράτη μέλη— να χρησιμοποιεί τις πλέον επικαιροποιημένες προσεγγίσεις για τη Βαλτική Θάλασσα και να παραμείνει επιστημονικά άρτιο και συνεπές με το νομικό πλαίσιο της ΕΕ για την αλιεία· αναγνωρίζει ότι πρόκειται για εσωτερική διαδικασία του ICES·</w:t>
      </w:r>
    </w:p>
    <w:p w14:paraId="27BFAD5B" w14:textId="1F903223" w:rsidR="00992C22" w:rsidRPr="00267DF0" w:rsidRDefault="00267DF0" w:rsidP="00267DF0">
      <w:pPr>
        <w:pStyle w:val="NormalHanging12a"/>
        <w:widowControl/>
        <w:ind w:left="570" w:hanging="570"/>
      </w:pPr>
      <w:r w:rsidRPr="00267DF0">
        <w:t>26.</w:t>
      </w:r>
      <w:r w:rsidRPr="00267DF0">
        <w:tab/>
      </w:r>
      <w:r w:rsidR="00992C22" w:rsidRPr="00267DF0">
        <w:t>καλεί την Επιτροπή και τα κράτη μέλη να δρομολογήσουν μια ολοκληρωμένη γενετική χαρτογράφηση του πληθυσμού ορισμένων ειδών στη Βαλτική Θάλασσα τα οποία αποτελούν αντικείμενο εμπορικής εκμετάλλευσης, συμπεριλαμβανομένων της ρέγγας και της παπαλίνας, καθώς και άλλων ειδών που αποτελούν αντικείμενο εμπορικής εκμετάλλευσης, με βάση τις βέλτιστες διαθέσιμες επιστημονικές γνώσεις, και να συμπληρώσουν τις τεκμηριωμένες γνωμοδοτήσεις για καλύτερα τεκμηριωμένες αποφάσεις σχετικά με τις αλιευτικές δυνατότητες και τα τεχνικά μέτρα· τονίζει ότι τα εν λόγω γενετικά δεδομένα πρέπει να επικυρώνονται πλήρως από το ICES και να ενσωματώνονται σε μακροπρόθεσμα μοντέλα αξιολόγησης των αποθεμάτων πριν χρησιμοποιηθούν για σκοπούς διαχείρισης·</w:t>
      </w:r>
    </w:p>
    <w:p w14:paraId="7F6A4748" w14:textId="3A2459A7" w:rsidR="00992C22" w:rsidRPr="00267DF0" w:rsidRDefault="00267DF0" w:rsidP="00267DF0">
      <w:pPr>
        <w:pStyle w:val="NormalHanging12a"/>
        <w:widowControl/>
        <w:ind w:left="570" w:hanging="570"/>
      </w:pPr>
      <w:r w:rsidRPr="00267DF0">
        <w:t>27.</w:t>
      </w:r>
      <w:r w:rsidRPr="00267DF0">
        <w:tab/>
      </w:r>
      <w:r w:rsidR="00992C22" w:rsidRPr="00267DF0">
        <w:t>καλεί την Επιτροπή και τα κράτη μέλη να ενισχύσουν τη διαθεσιμότητα και την ποιότητα των δεδομένων σχετικά με τα κριτήρια ηλικίας και μεγέθους για τα σχετικά αποθέματα κατά την προετοιμασία των αποφάσεων διαχείρισης της αλιείας για την περιοχή· επισημαίνει ότι η βελτιωμένη συλλογή δεδομένων σχετικά με τις παραμέτρους αυτές θα πρέπει να στηρίζει την ενσωμάτωση του χαρακτηριστικού ποιοτικής περιγραφής 3 του κριτηρίου 3 της ΟΠΘΣ (D3C3), όπως απαιτείται από το άρθρο 3 παράγραφος 3 του πολυετούς σχεδίου για τη Βαλτική·</w:t>
      </w:r>
    </w:p>
    <w:p w14:paraId="2B3DA372" w14:textId="1B201DCF" w:rsidR="00992C22" w:rsidRPr="00267DF0" w:rsidRDefault="00267DF0" w:rsidP="00267DF0">
      <w:pPr>
        <w:pStyle w:val="NormalHanging12a"/>
        <w:widowControl/>
        <w:ind w:left="570" w:hanging="570"/>
      </w:pPr>
      <w:r w:rsidRPr="00267DF0">
        <w:t>28.</w:t>
      </w:r>
      <w:r w:rsidRPr="00267DF0">
        <w:tab/>
      </w:r>
      <w:r w:rsidR="00992C22" w:rsidRPr="00267DF0">
        <w:t>καλεί την Επιτροπή να ζητήσει από το ICES να εκπονήσει λεπτομερή επιστημονική ανάλυση της τρέχουσας προσέγγισης της ΕΕ όσον αφορά τη χρήση επιστημονικών γνωμοδοτήσεων για τη Βαλτική Θάλασσα· καλεί, επιπλέον, την Επιτροπή να διασφαλίσει ότι οι ζητούμενες γνωμοδοτήσεις σχετικά με τα επίπεδα αλιευμάτων αντικατοπτρίζουν πλήρως όλες τις σχετικές νομικές απαιτήσεις και τους στόχους πολιτικής, συμπεριλαμβανομένων των στόχων της ΚΑΠ, όπως ορίζονται στο άρθρο 2· επισημαίνει ότι είναι σημαντικό για την Επιτροπή να αντιμετωπίσει πιθανές ελλείψεις και να περιγράψει συγκεκριμένες δράσεις σχετικά με τον τρόπο με τον οποίο οι επί του παρόντος διαθέσιμες γνωμοδοτήσεις σχετικά με τις αλιευτικές δυνατότητες μπορούν να χρησιμοποιηθούν με επαρκώς προληπτικό τρόπο για την εκπλήρωση όλων των σχετικών νομικών απαιτήσεων και στόχων·</w:t>
      </w:r>
    </w:p>
    <w:p w14:paraId="76B423DA" w14:textId="727C06DC" w:rsidR="00992C22" w:rsidRPr="00267DF0" w:rsidRDefault="00267DF0" w:rsidP="00267DF0">
      <w:pPr>
        <w:pStyle w:val="NormalHanging12a"/>
        <w:widowControl/>
        <w:ind w:left="570" w:hanging="570"/>
      </w:pPr>
      <w:r w:rsidRPr="00267DF0">
        <w:t>29.</w:t>
      </w:r>
      <w:r w:rsidRPr="00267DF0">
        <w:tab/>
      </w:r>
      <w:r w:rsidR="00992C22" w:rsidRPr="00267DF0">
        <w:t>ενθαρρύνει την Επιτροπή και το Συμβούλιο να διασφαλίσουν ότι ο καθορισμός των TAC είναι διαφανής και βασίζεται στις βέλτιστες διαθέσιμες επιστημονικές γνωμοδοτήσεις και γνώσεις σύμφωνα με τους στόχους του κανονισμού για το πολυετές σχέδιο για τη Βαλτική και της ΚΑΠ, και σύμφωνα με οικοσυστημικές γνωμοδοτήσεις που καλύπτουν πληθώρα ειδών, και λαμβάνει υπόψη τις αλληλεπιδράσεις μεταξύ της αλιείας και της μακροπρόθεσμης κοινωνικοοικονομικής σταθερότητας των παράκτιων κοινοτήτων·</w:t>
      </w:r>
    </w:p>
    <w:p w14:paraId="77D0616C" w14:textId="653662E0" w:rsidR="00992C22" w:rsidRPr="00267DF0" w:rsidRDefault="00267DF0" w:rsidP="00267DF0">
      <w:pPr>
        <w:pStyle w:val="NormalHanging12a"/>
        <w:widowControl/>
        <w:ind w:left="570" w:hanging="570"/>
      </w:pPr>
      <w:r w:rsidRPr="00267DF0">
        <w:t>30.</w:t>
      </w:r>
      <w:r w:rsidRPr="00267DF0">
        <w:tab/>
      </w:r>
      <w:r w:rsidR="00992C22" w:rsidRPr="00267DF0">
        <w:t>καλεί την Επιτροπή και τα κράτη μέλη να λάβουν υπόψη τις σχετικές διεθνείς εργασίες και ορισμούς, συμπεριλαμβανομένων εκείνων του UNEP, κατά την περαιτέρω ανάπτυξη της κατανόησης της οικοσυστημικής διαχείρισης εντός του υφιστάμενου νομικού πλαισίου της ΕΕ, για παράδειγμα όσον αφορά τα λειτουργικά οικοσυστήματα όπως αναφέρονται στο άρθρο 5 παράγραφος 5 στοιχείο α) της ΟΠΘΣ·</w:t>
      </w:r>
    </w:p>
    <w:p w14:paraId="10365690" w14:textId="77777777" w:rsidR="00992C22" w:rsidRPr="00267DF0" w:rsidRDefault="00992C22" w:rsidP="00D93445">
      <w:pPr>
        <w:pStyle w:val="NormalHanging12a"/>
        <w:widowControl/>
        <w:ind w:left="0" w:firstLine="0"/>
      </w:pPr>
      <w:r w:rsidRPr="00267DF0">
        <w:rPr>
          <w:b/>
          <w:i/>
        </w:rPr>
        <w:t>Άλλοι παράγοντες που επηρεάζουν την αλιεία στη Βαλτική Θάλασσα</w:t>
      </w:r>
    </w:p>
    <w:p w14:paraId="0FA37C33" w14:textId="2F6C34E8" w:rsidR="00992C22" w:rsidRPr="00267DF0" w:rsidRDefault="00267DF0" w:rsidP="00267DF0">
      <w:pPr>
        <w:pStyle w:val="NormalHanging12a"/>
        <w:widowControl/>
        <w:ind w:left="570" w:hanging="570"/>
      </w:pPr>
      <w:r w:rsidRPr="00267DF0">
        <w:t>31.</w:t>
      </w:r>
      <w:r w:rsidRPr="00267DF0">
        <w:tab/>
      </w:r>
      <w:r w:rsidR="00992C22" w:rsidRPr="00267DF0">
        <w:t>ζητεί από την Επιτροπή να αναπτύξει ένα επιστημονικά τεκμηριωμένο, συντονισμένο και διατομεακό σχέδιο που θα αντιμετωπίζει τους βασικούς παράγοντες πίεσης που επηρεάζουν τη Βαλτική Θάλασσα, διασφαλίζοντας παράλληλα τη διακυβέρνηση χωρίς αποκλεισμούς και τον θαλάσσιο χωροταξικό σχεδιασμό, με τη συμμετοχή και τη συνεργασία όλων των σχετικών ενδιαφερόμενων μερών·</w:t>
      </w:r>
    </w:p>
    <w:p w14:paraId="0DE0789D" w14:textId="0F5AF4C0" w:rsidR="00992C22" w:rsidRPr="00267DF0" w:rsidRDefault="00267DF0" w:rsidP="00267DF0">
      <w:pPr>
        <w:pStyle w:val="NormalHanging12a"/>
        <w:widowControl/>
        <w:ind w:left="570" w:hanging="570"/>
      </w:pPr>
      <w:r w:rsidRPr="00267DF0">
        <w:t>32.</w:t>
      </w:r>
      <w:r w:rsidRPr="00267DF0">
        <w:tab/>
      </w:r>
      <w:r w:rsidR="00992C22" w:rsidRPr="00267DF0">
        <w:t>καλεί την Επιτροπή να αξιοποιήσει την ευκαιρία για να στηρίξει τον βελτιωμένο συντονισμό των πολιτικών και τη συνεκτική εφαρμογή των πολιτικών που σχετίζονται με τη θάλασσα και τα ύδατα μέσω της επικείμενης νομοθετικής πρότασης για μια πράξη για τους ωκεανούς·</w:t>
      </w:r>
    </w:p>
    <w:p w14:paraId="777FC878" w14:textId="46525A75" w:rsidR="00992C22" w:rsidRPr="00267DF0" w:rsidRDefault="00267DF0" w:rsidP="00267DF0">
      <w:pPr>
        <w:pStyle w:val="NormalHanging12a"/>
        <w:widowControl/>
        <w:ind w:left="570" w:hanging="570"/>
      </w:pPr>
      <w:bookmarkStart w:id="24" w:name="_Hlk227164449"/>
      <w:r w:rsidRPr="00267DF0">
        <w:t>33.</w:t>
      </w:r>
      <w:r w:rsidRPr="00267DF0">
        <w:tab/>
      </w:r>
      <w:r w:rsidR="00992C22" w:rsidRPr="00267DF0">
        <w:t>ζητεί αποτελεσματικά μέτρα μετριασμού της κλιματικής αλλαγής και προσαρμογής σε αυτήν για την έγκαιρη αντιμετώπιση των κινδύνων που σχετίζονται με το κλίμα και την αποφυγή των κλιμακούμενων κινδύνων και του κόστους της καθυστερημένης δράσης στην περιοχή·</w:t>
      </w:r>
      <w:bookmarkEnd w:id="24"/>
    </w:p>
    <w:p w14:paraId="7C3A8E97" w14:textId="7A8058A4" w:rsidR="00992C22" w:rsidRPr="00267DF0" w:rsidRDefault="00267DF0" w:rsidP="00267DF0">
      <w:pPr>
        <w:pStyle w:val="NormalHanging12a"/>
        <w:widowControl/>
        <w:ind w:left="570" w:hanging="570"/>
      </w:pPr>
      <w:bookmarkStart w:id="25" w:name="_Hlk223339776"/>
      <w:r w:rsidRPr="00267DF0">
        <w:t>34.</w:t>
      </w:r>
      <w:r w:rsidRPr="00267DF0">
        <w:tab/>
      </w:r>
      <w:r w:rsidR="00992C22" w:rsidRPr="00267DF0">
        <w:t>ζητεί τη συνεχή και αποτελεσματική εφαρμογή της περιβαλλοντικής νομοθεσίας της ΕΕ, αναγνωρίζοντας παράλληλα την ανάγκη για ισορροπημένες και εφαρμόσιμες λύσεις για όλους τους επηρεαζόμενους τομείς για την αντιμετώπιση των περιβαλλοντικών πιέσεων στη Βαλτική Θάλασσα και σε άλλα ύδατα της ΕΕ, συμπεριλαμβανομένης της ρύπανσης από θρεπτικές ουσίες από πολλαπλές πηγές·</w:t>
      </w:r>
      <w:bookmarkEnd w:id="25"/>
    </w:p>
    <w:p w14:paraId="6D7D1F61" w14:textId="75167B2D" w:rsidR="00992C22" w:rsidRPr="00267DF0" w:rsidRDefault="00267DF0" w:rsidP="00267DF0">
      <w:pPr>
        <w:pStyle w:val="NormalHanging12a"/>
        <w:widowControl/>
        <w:ind w:left="570" w:hanging="570"/>
      </w:pPr>
      <w:r w:rsidRPr="00267DF0">
        <w:t>35.</w:t>
      </w:r>
      <w:r w:rsidRPr="00267DF0">
        <w:tab/>
      </w:r>
      <w:r w:rsidR="00992C22" w:rsidRPr="00267DF0">
        <w:t>ζητεί να ενισχυθούν σημαντικά οι επενδύσεις σε σύγχρονους σταθμούς επεξεργασίας λυμάτων και σε συστήματα συγκράτησης και διήθησης της ρύπανσης, τόσο στις χώρες της Βαλτικής όσο και σε ολόκληρες λεκάνες απορροής ποταμών που απορρίπτουν ύδατα στη Βαλτική· τονίζει ότι, χωρίς ολοκληρωμένο εκσυγχρονισμό των υποδομών ύδρευσης και αποχέτευσης, όλες οι προσπάθειες για τη βελτίωση της ποιότητας των υδάτων της Βαλτικής Θάλασσας θα εξακολουθήσουν να έχουν χαρακτήρα δήλωσης και να μην αποφέρουν αποτελέσματα·</w:t>
      </w:r>
    </w:p>
    <w:p w14:paraId="7429B50F" w14:textId="28F38F89" w:rsidR="00992C22" w:rsidRPr="00267DF0" w:rsidRDefault="00267DF0" w:rsidP="00267DF0">
      <w:pPr>
        <w:pStyle w:val="NormalHanging12a"/>
        <w:widowControl/>
        <w:ind w:left="570" w:hanging="570"/>
      </w:pPr>
      <w:bookmarkStart w:id="26" w:name="_Hlk223340185"/>
      <w:r w:rsidRPr="00267DF0">
        <w:t>36.</w:t>
      </w:r>
      <w:r w:rsidRPr="00267DF0">
        <w:tab/>
      </w:r>
      <w:r w:rsidR="00992C22" w:rsidRPr="00267DF0">
        <w:t>καλεί τα κράτη μέλη και την Επιτροπή να βασίσουν οποιαδήποτε προσέγγιση σχετικά με τη φυσική θήρευση στην επιστήμη και σε διαβουλεύσεις με τα ενδιαφερόμενα μέρη, συμπεριλαμβανομένων προληπτικών, τοπικά θεμελιωμένων και στοχευμένων μέτρων διαχείρισης για τους κορμοράνους και τις γκρίζες φώκιες, διασφαλίζοντας ότι τυχόν μέτρα που εγκρίνονται είναι αποτελεσματικά, εκπληρώνουν όλες τις νομικές υποχρεώσεις και περιλαμβάνουν επαρκή παρακολούθηση, ειδική και επαρκή χρηματοδότηση και ενισχυμένη συνεργασία με τα ενδιαφερόμενα μέρη, ώστε να διασφαλιστεί η αποτελεσματικότητα των εφαρμοζόμενων μέτρων, συμπεριλαμβανομένων των πρακτικών μετριασμού, όπως τα αποτρεπτικά μέτρα ή ο φυσικός αποκλεισμός</w:t>
      </w:r>
      <w:bookmarkEnd w:id="26"/>
      <w:r w:rsidR="00992C22" w:rsidRPr="00267DF0">
        <w:t>·</w:t>
      </w:r>
    </w:p>
    <w:p w14:paraId="57BDE6B3" w14:textId="4F486FBD" w:rsidR="00E85C71" w:rsidRPr="00267DF0" w:rsidRDefault="00267DF0" w:rsidP="00267DF0">
      <w:pPr>
        <w:pStyle w:val="NormalHanging12a"/>
        <w:widowControl/>
        <w:ind w:left="570" w:hanging="570"/>
      </w:pPr>
      <w:r w:rsidRPr="00267DF0">
        <w:t>37.</w:t>
      </w:r>
      <w:r w:rsidRPr="00267DF0">
        <w:tab/>
      </w:r>
      <w:r w:rsidR="00E85C71" w:rsidRPr="00267DF0">
        <w:t>τονίζει την ανάγκη να αναλάβει η Επιτροπή επείγουσα και αποτελεσματική δράση για την αντιμετώπιση των πιέσεων που ασκούνται από μεγάλους πληθυσμούς κορμοράνων στα ιχθυαποθέματα της Βαλτικής Θάλασσας, διασφαλίζοντας ότι τα μέτρα είναι αναλογικά, προσαρμοσμένα σε περιφερειακό επίπεδο και εφαρμόζονται μέσω αποτελεσματικών, στοχευμένων και τοπικά προσαρμοσμένων παρεμβάσεων διαχείρισης με βάση τα βέλτιστα διαθέσιμα επιστημονικά δεδομένα, επιτρέποντας παράλληλα στα κράτη μέλη να εφαρμόζουν πρακτικά και ειδικά ανά κατάσταση μέτρα μετριασμού, όπου είναι αναγκαίο, για την αποτελεσματική αντιμετώπιση των τοπικών επιπτώσεων, στηρίζοντας έτσι τη μακροπρόθεσμη βιωσιμότητα της αλιείας στις πληγείσες παράκτιες περιοχές·</w:t>
      </w:r>
    </w:p>
    <w:p w14:paraId="172FD94B" w14:textId="79550FB4" w:rsidR="00E85C71" w:rsidRPr="00267DF0" w:rsidRDefault="00267DF0" w:rsidP="00267DF0">
      <w:pPr>
        <w:pStyle w:val="NormalHanging12a"/>
        <w:widowControl/>
        <w:ind w:left="570" w:hanging="570"/>
      </w:pPr>
      <w:r w:rsidRPr="00267DF0">
        <w:t>38.</w:t>
      </w:r>
      <w:r w:rsidRPr="00267DF0">
        <w:tab/>
      </w:r>
      <w:r w:rsidR="00E85C71" w:rsidRPr="00267DF0">
        <w:t>καλεί την Επιτροπή και τα κράτη μέλη να παρακολουθούν στενά κατά πόσον τα μέτρα για την ανάκαμψη της άκρως απειλούμενης φώκαινας της Βαλτικής εφαρμόζονται αποτελεσματικά και, όπου είναι αναγκαίο, να λάβουν πρόσθετα μέτρα για την αποτροπή των κύριων απειλών για την επιβίωσή της·</w:t>
      </w:r>
    </w:p>
    <w:p w14:paraId="1C9EF075" w14:textId="7E4D5F7C" w:rsidR="00E85C71" w:rsidRPr="00267DF0" w:rsidRDefault="00267DF0" w:rsidP="00267DF0">
      <w:pPr>
        <w:pStyle w:val="NormalHanging12a"/>
        <w:widowControl/>
        <w:ind w:left="570" w:hanging="570"/>
      </w:pPr>
      <w:r w:rsidRPr="00267DF0">
        <w:t>39.</w:t>
      </w:r>
      <w:r w:rsidRPr="00267DF0">
        <w:tab/>
      </w:r>
      <w:r w:rsidR="00E85C71" w:rsidRPr="00267DF0">
        <w:t>υπενθυμίζει ότι οι πληθυσμοί φώκιας της Βαλτικής έφτασαν στα πρόθυρα της εξαφάνισης τη δεκαετία του 1970·</w:t>
      </w:r>
    </w:p>
    <w:p w14:paraId="7F140525" w14:textId="1AE6032C" w:rsidR="00992C22" w:rsidRPr="00267DF0" w:rsidRDefault="00267DF0" w:rsidP="00267DF0">
      <w:pPr>
        <w:pStyle w:val="NormalHanging12a"/>
        <w:widowControl/>
        <w:ind w:left="570" w:hanging="570"/>
      </w:pPr>
      <w:bookmarkStart w:id="27" w:name="_Hlk223340468"/>
      <w:r w:rsidRPr="00267DF0">
        <w:t>40.</w:t>
      </w:r>
      <w:r w:rsidRPr="00267DF0">
        <w:tab/>
      </w:r>
      <w:r w:rsidR="00992C22" w:rsidRPr="00267DF0">
        <w:t>επαναλαμβάνει την έκκλησή του προς την Επιτροπή να προτείνει ένα ενωσιακό σχέδιο για τη διαχείριση των κορμοράνων της ΕΕ στο πλαίσιο της αλιείας και της υδατοκαλλιέργειας στη Βαλτική Θάλασσα, με βάση τις βέλτιστες διαθέσιμες επιστημονικές γνωμοδοτήσεις και τις πρακτικές των κρατών μελών, το οποίο θα λαμβάνει υπόψη το σχέδιο που προτάθηκε πρόσφατα από την Ευρωπαϊκή Συμβουλευτική Επιτροπή για την Αλιεία στα Εσωτερικά Ύδατα (EIFAAC)</w:t>
      </w:r>
      <w:r w:rsidR="00992C22" w:rsidRPr="00267DF0">
        <w:rPr>
          <w:vertAlign w:val="superscript"/>
        </w:rPr>
        <w:footnoteReference w:id="22"/>
      </w:r>
      <w:r w:rsidR="00992C22" w:rsidRPr="00267DF0">
        <w:t xml:space="preserve"> του Οργανισμού Τροφίμων και Γεωργίας, καθώς και προηγούμενα ερευνητικά έργα που χρηματοδοτήθηκαν από την ΕΕ, όπως το «INTERCAFE»</w:t>
      </w:r>
      <w:r w:rsidR="00992C22" w:rsidRPr="00267DF0">
        <w:rPr>
          <w:vertAlign w:val="superscript"/>
        </w:rPr>
        <w:footnoteReference w:id="23"/>
      </w:r>
      <w:r w:rsidR="00992C22" w:rsidRPr="00267DF0">
        <w:t xml:space="preserve">· </w:t>
      </w:r>
      <w:bookmarkEnd w:id="27"/>
      <w:r w:rsidR="00992C22" w:rsidRPr="00267DF0">
        <w:t xml:space="preserve"> τονίζει την ανάγκη για προληπτικά μέτρα, αποζημίωση για απώλειες και χρηματοδότηση από ενωσιακές και εθνικές πηγές· </w:t>
      </w:r>
    </w:p>
    <w:p w14:paraId="3E1650A8" w14:textId="21281CCF" w:rsidR="00992C22" w:rsidRPr="00267DF0" w:rsidRDefault="00267DF0" w:rsidP="00267DF0">
      <w:pPr>
        <w:pStyle w:val="NormalHanging12a"/>
        <w:widowControl/>
        <w:ind w:left="570" w:hanging="570"/>
      </w:pPr>
      <w:r w:rsidRPr="00267DF0">
        <w:t>41.</w:t>
      </w:r>
      <w:r w:rsidRPr="00267DF0">
        <w:tab/>
      </w:r>
      <w:r w:rsidR="00992C22" w:rsidRPr="00267DF0">
        <w:t xml:space="preserve">επαναλαμβάνει τους σοβαρούς κινδύνους για το περιβάλλον και την ασφάλεια που ενέχουν </w:t>
      </w:r>
      <w:bookmarkStart w:id="28" w:name="_Hlk227849584"/>
      <w:r w:rsidR="00992C22" w:rsidRPr="00267DF0">
        <w:t>οι μη εκραγέντες μηχανισμοί</w:t>
      </w:r>
      <w:bookmarkEnd w:id="28"/>
      <w:r w:rsidR="00992C22" w:rsidRPr="00267DF0">
        <w:t xml:space="preserve"> που έχουν απορριφθεί στη Βαλτική Θάλασσα· υπενθυμίζει το ψήφισμά του της 27ης Απριλίου 2021 σχετικά με τα χημικά κατάλοιπα στη Βαλτική Θάλασσα και τα επιτυχημένα έργα CHEMSEA, DAIMON και DAIMON 3· παροτρύνει την Επιτροπή και τα κράτη μέλη να λάβουν περαιτέρω συντονισμένα και πρακτικά μέτρα για τον συστηματικό εντοπισμό, την αξιολόγηση και την παρακολούθηση αυτών των επικίνδυνων υλικών, προκειμένου να προσδιοριστούν οι περιοχές που θα πρέπει να αποκατασταθούν κατά προτεραιότητα·</w:t>
      </w:r>
    </w:p>
    <w:p w14:paraId="79210C61" w14:textId="3186F314" w:rsidR="00992C22" w:rsidRPr="00267DF0" w:rsidRDefault="00267DF0" w:rsidP="00267DF0">
      <w:pPr>
        <w:pStyle w:val="NormalHanging12a"/>
        <w:widowControl/>
        <w:ind w:left="570" w:hanging="570"/>
      </w:pPr>
      <w:r w:rsidRPr="00267DF0">
        <w:t>42.</w:t>
      </w:r>
      <w:r w:rsidRPr="00267DF0">
        <w:tab/>
      </w:r>
      <w:r w:rsidR="00992C22" w:rsidRPr="00267DF0">
        <w:t>ζητεί να καταβληθούν κοινές προσπάθειες από τα κράτη μέλη και την Επιτροπή για τη στήριξη της ανάπτυξης της επιστημονικής έρευνας και την ανταλλαγή βέλτιστων πρακτικών σχετικά με ασφαλείς και οικονομικά αποδοτικούς τρόπους εντοπισμού και αφαίρεσης πυρομαχικών και μη εκραγέντων μηχανισμών από τον θαλάσσιο βυθό με σκοπό να καταστούν δυνατές συντονισμένες δράσεις αποκατάστασης μεγάλης κλίμακας·</w:t>
      </w:r>
    </w:p>
    <w:p w14:paraId="03E4CCCB" w14:textId="4DE6FD0E" w:rsidR="00992C22" w:rsidRPr="00267DF0" w:rsidRDefault="00267DF0" w:rsidP="00267DF0">
      <w:pPr>
        <w:pStyle w:val="NormalHanging12a"/>
        <w:widowControl/>
        <w:ind w:left="570" w:hanging="570"/>
      </w:pPr>
      <w:r w:rsidRPr="00267DF0">
        <w:t>43.</w:t>
      </w:r>
      <w:r w:rsidRPr="00267DF0">
        <w:tab/>
      </w:r>
      <w:r w:rsidR="00992C22" w:rsidRPr="00267DF0">
        <w:t>καλεί την Επιτροπή και τα κράτη μέλη να δρομολογήσουν ένα συντονισμένο, μακροπρόθεσμο, επαρκώς χρηματοδοτούμενο πρόγραμμα της ΕΕ με στόχο τον εντοπισμό, την εξουδετέρωση και την απομάκρυνση των μη εκραγέντων μηχανισμών της Βαλτικής Θάλασσας·</w:t>
      </w:r>
    </w:p>
    <w:p w14:paraId="7B913C6B" w14:textId="2DFC94D8" w:rsidR="00992C22" w:rsidRPr="00267DF0" w:rsidRDefault="00267DF0" w:rsidP="00267DF0">
      <w:pPr>
        <w:pStyle w:val="NormalHanging12a"/>
        <w:widowControl/>
        <w:ind w:left="570" w:hanging="570"/>
      </w:pPr>
      <w:r w:rsidRPr="00267DF0">
        <w:t>44.</w:t>
      </w:r>
      <w:r w:rsidRPr="00267DF0">
        <w:tab/>
      </w:r>
      <w:r w:rsidR="00992C22" w:rsidRPr="00267DF0">
        <w:t>καταδικάζει την ανεύθυνη, μη βιώσιμη και αντιεπιστημονική εκμετάλλευση των ιχθυαποθεμάτων της Βαλτικής Θάλασσας από τη Ρωσία·</w:t>
      </w:r>
    </w:p>
    <w:p w14:paraId="0DC7C950" w14:textId="7813E31C" w:rsidR="00992C22" w:rsidRPr="00267DF0" w:rsidRDefault="00267DF0" w:rsidP="00267DF0">
      <w:pPr>
        <w:pStyle w:val="NormalHanging12a"/>
        <w:widowControl/>
        <w:ind w:left="570" w:hanging="570"/>
      </w:pPr>
      <w:r w:rsidRPr="00267DF0">
        <w:t>45.</w:t>
      </w:r>
      <w:r w:rsidRPr="00267DF0">
        <w:tab/>
      </w:r>
      <w:r w:rsidR="00992C22" w:rsidRPr="00267DF0">
        <w:t>καλεί το Συμβούλιο και την Επιτροπή να λάβουν υπόψη τις μονομερείς ενέργειες της Ρωσίας κατά τον καθορισμό ποσοστώσεων για τη Βαλτική Θάλασσα· καλεί επίσης την Επιτροπή να εξετάσει δράσεις για την άσκηση πίεσης στη Ρωσία ώστε να ευθυγραμμίσει τις ποσοστώσεις με τις επιστημονικές γνωμοδοτήσεις·</w:t>
      </w:r>
    </w:p>
    <w:p w14:paraId="4482C007" w14:textId="493B03F6" w:rsidR="00992C22" w:rsidRPr="00267DF0" w:rsidRDefault="00267DF0" w:rsidP="00267DF0">
      <w:pPr>
        <w:pStyle w:val="NormalHanging12a"/>
        <w:widowControl/>
        <w:ind w:left="570" w:hanging="570"/>
      </w:pPr>
      <w:r w:rsidRPr="00267DF0">
        <w:t>46.</w:t>
      </w:r>
      <w:r w:rsidRPr="00267DF0">
        <w:tab/>
      </w:r>
      <w:r w:rsidR="00992C22" w:rsidRPr="00267DF0">
        <w:t>καταδικάζει απερίφραστα την αυξανόμενη παρουσία του σκιώδους στόλου της Ρωσίας στη Βαλτική Θάλασσα, με δραστηριότητες που παρακάμπτουν βασικά κανονιστικά πρότυπα, αυξάνοντας τον κίνδυνο πετρελαιοκηλίδων και άλλων περιβαλλοντικών κινδύνων· τονίζει τη δυνητική βλάβη στα θαλάσσια οικοσυστήματα, την τοπική αλιεία και την ανθρώπινη υγεία·</w:t>
      </w:r>
      <w:r w:rsidR="00E85C71" w:rsidRPr="00267DF0">
        <w:t xml:space="preserve"> σημειώνει περαιτέρω τις ανησυχίες ότι τα ρωσικά αλιευτικά προϊόντα εξακολουθούν να φτάνουν στην αγορά της ΕΕ μέσω των υφιστάμενων εμπορικών διαύλων, τονίζοντας την ανάγκη να διασφαλιστεί η αποτελεσματική κάλυψη τυχόν κενών που ενδέχεται να υπονομεύσουν τους στόχους των περιοριστικών μέτρων της ΕΕ·</w:t>
      </w:r>
      <w:r w:rsidR="00992C22" w:rsidRPr="00267DF0">
        <w:t xml:space="preserve"> καλεί την Επιτροπή να διερευνήσει περαιτέρω μέτρα για την καταπολέμηση του σκιώδους στόλου της Ρωσίας, ιδίως στην περιοχή της Βαλτικής Θάλασσας· ζητεί ενισχυμένη περιφερειακή συνεργασία και αυστηρότερη επιβολή για τον μετριασμό αυτών των κινδύνων και την προστασία των θαλάσσιων πόρων της Βαλτικής· τονίζει ότι είναι σημαντικό να διασφαλιστεί η πλήρης επιβολή των κυρώσεων κατά της Ρωσίας·</w:t>
      </w:r>
    </w:p>
    <w:p w14:paraId="670DAEB2" w14:textId="77777777" w:rsidR="00992C22" w:rsidRPr="00267DF0" w:rsidRDefault="00992C22" w:rsidP="00D93445">
      <w:pPr>
        <w:pStyle w:val="NormalHanging12a"/>
        <w:widowControl/>
        <w:ind w:left="0" w:firstLine="0"/>
        <w:rPr>
          <w:b/>
          <w:bCs/>
          <w:i/>
          <w:iCs/>
        </w:rPr>
      </w:pPr>
      <w:r w:rsidRPr="00267DF0">
        <w:rPr>
          <w:b/>
          <w:i/>
        </w:rPr>
        <w:t>Νομικές αλλαγές</w:t>
      </w:r>
    </w:p>
    <w:p w14:paraId="12F3E0EC" w14:textId="6A5B3CDE" w:rsidR="00992C22" w:rsidRPr="00267DF0" w:rsidRDefault="00267DF0" w:rsidP="00267DF0">
      <w:pPr>
        <w:pStyle w:val="NormalHanging12a"/>
        <w:widowControl/>
        <w:ind w:left="570" w:hanging="570"/>
      </w:pPr>
      <w:r w:rsidRPr="00267DF0">
        <w:t>47.</w:t>
      </w:r>
      <w:r w:rsidRPr="00267DF0">
        <w:tab/>
      </w:r>
      <w:r w:rsidR="00992C22" w:rsidRPr="00267DF0">
        <w:t>τονίζει την επείγουσα ανάγκη να καταβληθούν περισσότερες προσπάθειες όσον αφορά τον ολιστικό συντονισμό των πολιτικών, καθώς και να συνεχιστεί και να επιταχυνθεί η πρόοδος στην εφαρμογή της νομοθεσίας σε άλλους τομείς πολιτικής, προκειμένου να αποφευχθεί η εξάρτηση από μέτρα στον τομέα της αλιείας και μόνο και να αποτραπεί η περαιτέρω κοινωνικοοικονομική παρακμή των παράκτιων κοινοτήτων· σημειώνει τις προσπάθειες που έχουν καταβληθεί στο πλαίσιο των διασκέψεων «Η Βαλτική μας»· ενθαρρύνει την περαιτέρω πρόοδο προς την επίτευξη συγκεκριμένων αποτελεσμάτων·</w:t>
      </w:r>
    </w:p>
    <w:p w14:paraId="310873AF" w14:textId="0C3863D9" w:rsidR="00992C22" w:rsidRPr="00267DF0" w:rsidRDefault="00267DF0" w:rsidP="00267DF0">
      <w:pPr>
        <w:pStyle w:val="NormalHanging12a"/>
        <w:widowControl/>
        <w:ind w:left="570" w:hanging="570"/>
      </w:pPr>
      <w:r w:rsidRPr="00267DF0">
        <w:t>48.</w:t>
      </w:r>
      <w:r w:rsidRPr="00267DF0">
        <w:tab/>
      </w:r>
      <w:r w:rsidR="00992C22" w:rsidRPr="00267DF0">
        <w:t>παροτρύνει την Επιτροπή να προβεί σε αξιολόγηση και πιθανή αναθεώρηση του κανονισμού για το πολυετές σχέδιο για τη Βαλτική με σκοπό τη βελτίωση της σαφήνειας, της συνοχής και της πρακτικής εφαρμογής του, αξιολογώντας τις επιδόσεις του όσον αφορά τις περιβαλλοντικές και κοινωνικοοικονομικές πτυχές· τονίζει περαιτέρω ότι είναι σημαντικό να διασφαλιστεί ότι κάθε πιθανή μελλοντική προσαρμογή του πλαισίου θα παραμείνει απλή, επιστημονικά τεκμηριωμένη και εφαρμόσιμη για τον τομέα·</w:t>
      </w:r>
    </w:p>
    <w:p w14:paraId="2C4AD206" w14:textId="69BEE5E6" w:rsidR="00992C22" w:rsidRPr="00267DF0" w:rsidRDefault="00267DF0" w:rsidP="00267DF0">
      <w:pPr>
        <w:pStyle w:val="NormalHanging12a"/>
        <w:widowControl/>
        <w:ind w:left="570" w:hanging="570"/>
        <w:rPr>
          <w:bCs/>
          <w:iCs/>
        </w:rPr>
      </w:pPr>
      <w:bookmarkStart w:id="29" w:name="_Hlk227162805"/>
      <w:r w:rsidRPr="00267DF0">
        <w:rPr>
          <w:bCs/>
          <w:iCs/>
        </w:rPr>
        <w:t>49.</w:t>
      </w:r>
      <w:r w:rsidRPr="00267DF0">
        <w:rPr>
          <w:bCs/>
          <w:iCs/>
        </w:rPr>
        <w:tab/>
      </w:r>
      <w:r w:rsidR="00992C22" w:rsidRPr="00267DF0">
        <w:t>καλεί την Επιτροπή, στο πλαίσιο ενδεχόμενης αναθεώρησης του κανονισμού για το πολυετές σχέδιο για τη Βαλτική, να αξιολογήσει και, όπου απαιτείται, να προτείνει τη συμπερίληψη αποθεμάτων σολομού και πέστροφας ως ειδικών αποθεμάτων που θα καλύπτονται από το πεδίο εφαρμογής του κανονισμού όσον αφορά τα παρεμπίπτοντα αλιεύματα·</w:t>
      </w:r>
      <w:bookmarkEnd w:id="29"/>
    </w:p>
    <w:p w14:paraId="4D67F4AA" w14:textId="03081FF7" w:rsidR="00992C22" w:rsidRPr="00267DF0" w:rsidRDefault="00267DF0" w:rsidP="00267DF0">
      <w:pPr>
        <w:pStyle w:val="NormalHanging12a"/>
        <w:widowControl/>
        <w:ind w:left="570" w:hanging="570"/>
      </w:pPr>
      <w:r w:rsidRPr="00267DF0">
        <w:t>50.</w:t>
      </w:r>
      <w:r w:rsidRPr="00267DF0">
        <w:tab/>
      </w:r>
      <w:r w:rsidR="00992C22" w:rsidRPr="00267DF0">
        <w:t>εκφράζει την ανησυχία του για το γεγονός ότι η προστιθέμενη αξία όσον αφορά την περιφερειακή συνεργασία στη Βαλτική Θάλασσα ήταν χαμηλή, δεδομένου ότι το πολυετές σχέδιο έχει ως επί το πλείστον παγιώσει προϋπάρχουσες ή ήδη δρομολογημένες οδούς συνεργασίας· σημειώνει ότι, λόγω των αργών διαδικασιών και της αυξημένης γραφειοκρατίας που συνοδεύουν τέτοιες πρωτοβουλίες, έχουν δρομολογηθεί σχετικά λίγες κοινές συστάσεις από τα κράτη μέλη, γεγονός που οδηγεί στο ανησυχητικό μήνυμα ότι οι διατάξεις περιφερειοποίησης των αλιευτικών κανόνων της ΕΕ δεν χρησιμοποιούνται για την προσαρμογή των μέτρων διαχείρισης στις ιδιαιτερότητες της Βαλτικής Θάλασσας· τονίζει την ανάγκη για περιφερειακή συνεργασία μεταξύ των χωρών της Βαλτικής, συμπεριλαμβανομένων όλων των ενδιαφερόμενων μερών·</w:t>
      </w:r>
    </w:p>
    <w:p w14:paraId="2821F859" w14:textId="5CB76770" w:rsidR="00992C22" w:rsidRPr="00267DF0" w:rsidRDefault="00267DF0" w:rsidP="00267DF0">
      <w:pPr>
        <w:pStyle w:val="NormalHanging12a"/>
        <w:widowControl/>
        <w:ind w:left="570" w:hanging="570"/>
      </w:pPr>
      <w:r w:rsidRPr="00267DF0">
        <w:t>51.</w:t>
      </w:r>
      <w:r w:rsidRPr="00267DF0">
        <w:tab/>
      </w:r>
      <w:r w:rsidR="00992C22" w:rsidRPr="00267DF0">
        <w:t>τονίζει ότι η αποτελεσματική διαχείριση της Βαλτικής Θάλασσας πρέπει να βασίζεται στην εμπιστοσύνη, τον διάλογο και την περιφερειακή συνεργασία μεταξύ των κρατών μελών, όλων των ενδιαφερόμενων μερών, των περιφερειακών φορέων, όπως η HELCOM, και των παράκτιων κοινοτήτων για την προώθηση πρακτικών λύσεων και την ανταλλαγή γνώσεων·</w:t>
      </w:r>
    </w:p>
    <w:p w14:paraId="3A4138F6" w14:textId="4C95CBA0" w:rsidR="00992C22" w:rsidRPr="00267DF0" w:rsidRDefault="00267DF0" w:rsidP="00267DF0">
      <w:pPr>
        <w:pStyle w:val="NormalHanging12a"/>
        <w:widowControl/>
        <w:ind w:left="570" w:hanging="570"/>
      </w:pPr>
      <w:bookmarkStart w:id="30" w:name="_Hlk223340724"/>
      <w:r w:rsidRPr="00267DF0">
        <w:t>52.</w:t>
      </w:r>
      <w:r w:rsidRPr="00267DF0">
        <w:tab/>
      </w:r>
      <w:r w:rsidR="00992C22" w:rsidRPr="00267DF0">
        <w:t>ζητεί μια νέα, περιφερειακά προσαρμοσμένη προσέγγιση για τη διαχείριση του κινδύνου·</w:t>
      </w:r>
      <w:bookmarkEnd w:id="30"/>
    </w:p>
    <w:p w14:paraId="73330BE8" w14:textId="5CB95243" w:rsidR="00992C22" w:rsidRPr="00267DF0" w:rsidRDefault="00267DF0" w:rsidP="00267DF0">
      <w:pPr>
        <w:pStyle w:val="NormalHanging12a"/>
        <w:widowControl/>
        <w:ind w:left="570" w:hanging="570"/>
      </w:pPr>
      <w:r w:rsidRPr="00267DF0">
        <w:t>53.</w:t>
      </w:r>
      <w:r w:rsidRPr="00267DF0">
        <w:tab/>
      </w:r>
      <w:r w:rsidR="00992C22" w:rsidRPr="00267DF0">
        <w:t xml:space="preserve">ζητεί να αποσαφηνιστούν οι κανόνες του πολυετούς σχεδίου για να απαγορευτεί η ετήσια ευελιξία για τα αποθέματα που είναι χαμηλότερα από το τρέχον σημείο αναφοράς διατήρησης </w:t>
      </w:r>
      <w:proofErr w:type="spellStart"/>
      <w:r w:rsidR="00992C22" w:rsidRPr="00267DF0">
        <w:t>Btrigger</w:t>
      </w:r>
      <w:proofErr w:type="spellEnd"/>
      <w:r w:rsidR="00992C22" w:rsidRPr="00267DF0">
        <w:t xml:space="preserve"> του πολυετούς σχεδίου για τη Βαλτική Θάλασσα όπως έχει συμφωνηθεί επί του παρόντος από το Συμβούλιο·</w:t>
      </w:r>
    </w:p>
    <w:p w14:paraId="085CBB9F" w14:textId="0D2EEFFC" w:rsidR="00992C22" w:rsidRPr="00267DF0" w:rsidRDefault="00267DF0" w:rsidP="00267DF0">
      <w:pPr>
        <w:pStyle w:val="NormalHanging12a"/>
        <w:widowControl/>
        <w:ind w:left="570" w:hanging="570"/>
      </w:pPr>
      <w:r w:rsidRPr="00267DF0">
        <w:t>54.</w:t>
      </w:r>
      <w:r w:rsidRPr="00267DF0">
        <w:tab/>
      </w:r>
      <w:r w:rsidR="00992C22" w:rsidRPr="00267DF0">
        <w:t>καλεί την Επιτροπή να ενισχύσει τα επιστημονικά τεκμηριωμένα και αναλογικά μέτρα διαχείρισης για τον σολομό στη Βαλτική Θάλασσα, διασφαλίζοντας ότι οι οικοσυστημικές επιπτώσεις της αλιείας ρέγγας, παπαλίνας και γάδου γίνονται επαρκώς κατανοητές και αντιμετωπίζονται δεόντως· ζητεί ενισχυμένη παρακολούθηση και έρευνα για τη στήριξη της βιώσιμης διαχείρισης του σολομού·</w:t>
      </w:r>
    </w:p>
    <w:p w14:paraId="68966B72" w14:textId="5E4160E4" w:rsidR="00992C22" w:rsidRPr="00267DF0" w:rsidRDefault="00267DF0" w:rsidP="00267DF0">
      <w:pPr>
        <w:pStyle w:val="NormalHanging12a"/>
        <w:widowControl/>
        <w:ind w:left="570" w:hanging="570"/>
      </w:pPr>
      <w:r w:rsidRPr="00267DF0">
        <w:t>55.</w:t>
      </w:r>
      <w:r w:rsidRPr="00267DF0">
        <w:tab/>
      </w:r>
      <w:r w:rsidR="00992C22" w:rsidRPr="00267DF0">
        <w:t>τονίζει ότι η διαχείριση της αλιείας στην ΕΕ θα πρέπει να βασίζεται στην πείρα, την επιστήμη και την περιφερειακή πραγματικότητα της ΕΕ· καλεί την Επιτροπή να προτείνει περιφερειακά προσαρμοσμένους κανόνες για τη Βαλτική Θάλασσα για δράσεις που πρέπει να αναλαμβάνονται αυτόματα όταν τα αποθέματα πέφτουν κάτω από τις τιμές ενεργοποίησης που καθορίζονται σύμφωνα με την προληπτική προσέγγιση και επαναλαμβάνει ότι η διαχείριση της ΜΒΑ θα πρέπει να συμπληρώνεται, κατά περίπτωση, από μέτρα για τη διαφοροποίηση των αλιευμάτων, ανάλογα με το μέγεθος και την ηλικία, από την αρχή· θεωρεί ότι θα μπορούσε να αντληθεί έμπνευση από πρακτικές διαχείρισης σε άλλες περιοχές, όπως αυτές της Αυστραλίας, της Νέας Ζηλανδίας, του Καναδά και των Ηνωμένων Πολιτειών, διασφαλίζοντας παράλληλα τη συνοχή με το νομικό πλαίσιο της ΕΕ·</w:t>
      </w:r>
    </w:p>
    <w:p w14:paraId="6DA4E674" w14:textId="55770732" w:rsidR="00992C22" w:rsidRPr="00267DF0" w:rsidRDefault="00267DF0" w:rsidP="00267DF0">
      <w:pPr>
        <w:pStyle w:val="NormalHanging12a"/>
        <w:widowControl/>
        <w:ind w:left="570" w:hanging="570"/>
      </w:pPr>
      <w:bookmarkStart w:id="31" w:name="_Hlk227163355"/>
      <w:r w:rsidRPr="00267DF0">
        <w:t>56.</w:t>
      </w:r>
      <w:r w:rsidRPr="00267DF0">
        <w:tab/>
      </w:r>
      <w:r w:rsidR="00992C22" w:rsidRPr="00267DF0">
        <w:t>καλεί την Επιτροπή και τα κράτη μέλη να ενισχύσουν την περιφερειακή συνεργασία σύμφωνα με το άρθρο 18 της ΚΑΠ·</w:t>
      </w:r>
      <w:bookmarkEnd w:id="31"/>
    </w:p>
    <w:p w14:paraId="6A29DB83" w14:textId="5BD329B2" w:rsidR="00992C22" w:rsidRPr="00267DF0" w:rsidRDefault="00267DF0" w:rsidP="00267DF0">
      <w:pPr>
        <w:pStyle w:val="NormalHanging12a"/>
        <w:widowControl/>
        <w:ind w:left="570" w:hanging="570"/>
      </w:pPr>
      <w:bookmarkStart w:id="32" w:name="_Hlk223341460"/>
      <w:bookmarkStart w:id="33" w:name="_Hlk212109517"/>
      <w:r w:rsidRPr="00267DF0">
        <w:t>57.</w:t>
      </w:r>
      <w:r w:rsidRPr="00267DF0">
        <w:tab/>
      </w:r>
      <w:r w:rsidR="00992C22" w:rsidRPr="00267DF0">
        <w:t>ζητεί συγκεκριμένα και αποτελεσματικά μέτρα που θα διασφαλίζουν ότι τα ψάρια που αλιεύονται στη Βαλτική Θάλασσα διοχετεύονται όλο και περισσότερο προς άμεση ανθρώπινη κατανάλωση, με στόχο την προώθηση και την ενθάρρυνση των τοπικών αλυσίδων εφοδιασμού τροφίμων</w:t>
      </w:r>
      <w:bookmarkEnd w:id="32"/>
      <w:r w:rsidR="00992C22" w:rsidRPr="00267DF0">
        <w:t>·</w:t>
      </w:r>
      <w:bookmarkEnd w:id="33"/>
    </w:p>
    <w:p w14:paraId="62D715AB" w14:textId="6EF7F15E" w:rsidR="00992C22" w:rsidRPr="00267DF0" w:rsidRDefault="00267DF0" w:rsidP="00267DF0">
      <w:pPr>
        <w:pStyle w:val="NormalHanging12a"/>
        <w:widowControl/>
        <w:ind w:left="570" w:hanging="570"/>
      </w:pPr>
      <w:bookmarkStart w:id="34" w:name="_Hlk227163443"/>
      <w:r w:rsidRPr="00267DF0">
        <w:t>58.</w:t>
      </w:r>
      <w:r w:rsidRPr="00267DF0">
        <w:tab/>
      </w:r>
      <w:r w:rsidR="00992C22" w:rsidRPr="00267DF0">
        <w:t>σημειώνει ότι ορισμένα κράτη μέλη στην περιοχή της Βαλτικής Θάλασσας, όπως η Γερμανία και η Σουηδία, έχουν θεσπίσει εθνικά μέτρα για τον περιορισμό ή την απαγόρευση της αλιείας με τράτες βυθού σε ορισμένες θαλάσσιες περιοχές·</w:t>
      </w:r>
      <w:bookmarkEnd w:id="34"/>
    </w:p>
    <w:p w14:paraId="70671C3B" w14:textId="10B44641" w:rsidR="00992C22" w:rsidRPr="00267DF0" w:rsidRDefault="00267DF0" w:rsidP="00267DF0">
      <w:pPr>
        <w:pStyle w:val="NormalHanging12a"/>
        <w:widowControl/>
        <w:ind w:left="570" w:hanging="570"/>
      </w:pPr>
      <w:r w:rsidRPr="00267DF0">
        <w:t>59.</w:t>
      </w:r>
      <w:r w:rsidRPr="00267DF0">
        <w:tab/>
      </w:r>
      <w:r w:rsidR="00E607D9" w:rsidRPr="00267DF0">
        <w:t>καλεί την Επιτροπή και τα κράτη μέλη να προτείνουν, όσον αφορά τη Βαλτική Θάλασσα, την παύση της αλιείας με τράτες για ιχθυάλευρα και ιχθυέλαια κατά τη διάρκεια μιας φάσης ανασύστασης, και τον περιορισμό των εξορυκτικών δραστηριοτήτων στις προστατευμένες θαλάσσιες περιοχές· αναγνωρίζει ότι οι προσεγγίσεις διαφέρουν ανά την Ένωση υπό το πρίσμα συγκεκριμένων οικολογικών, νομικών και κοινωνικοοικονομικών πλαισίων· ενθαρρύνει τα κράτη μέλη να συνεχίσουν να αναπτύσσουν αναλογικές, επιστημονικά τεκμηριωμένες λύσεις σε συνεργασία με τα ενδιαφερόμενα μέρη, ιδίως τον αλιευτικό τομέα και τις παράκτιες κοινότητες, για τη βελτίωση της προστασίας του θαλάσσιου περιβάλλοντος, διασφαλίζοντας παράλληλα τη βιωσιμότητα του αλιευτικού τομέα της ΕΕ μέσω μιας δίκαιης μετάβασης</w:t>
      </w:r>
      <w:r w:rsidR="00992C22" w:rsidRPr="00267DF0">
        <w:t>·</w:t>
      </w:r>
    </w:p>
    <w:p w14:paraId="3EB2FED7" w14:textId="77777777" w:rsidR="00992C22" w:rsidRPr="00267DF0" w:rsidRDefault="00992C22" w:rsidP="00D93445">
      <w:pPr>
        <w:pStyle w:val="NormalHanging12a"/>
        <w:widowControl/>
        <w:jc w:val="center"/>
      </w:pPr>
      <w:r w:rsidRPr="00267DF0">
        <w:t>°</w:t>
      </w:r>
    </w:p>
    <w:p w14:paraId="73E75E3C" w14:textId="77777777" w:rsidR="00992C22" w:rsidRPr="00267DF0" w:rsidRDefault="00992C22" w:rsidP="00D93445">
      <w:pPr>
        <w:pStyle w:val="NormalHanging12a"/>
        <w:widowControl/>
        <w:jc w:val="center"/>
      </w:pPr>
      <w:r w:rsidRPr="00267DF0">
        <w:t>°</w:t>
      </w:r>
      <w:r w:rsidRPr="00267DF0">
        <w:tab/>
        <w:t>°</w:t>
      </w:r>
    </w:p>
    <w:p w14:paraId="0E1725BA" w14:textId="71EF9F04" w:rsidR="000842DB" w:rsidRPr="00267DF0" w:rsidRDefault="00267DF0" w:rsidP="00267DF0">
      <w:pPr>
        <w:pStyle w:val="NormalHanging12a"/>
        <w:widowControl/>
        <w:ind w:left="570" w:hanging="570"/>
      </w:pPr>
      <w:r w:rsidRPr="00267DF0">
        <w:t>60.</w:t>
      </w:r>
      <w:r w:rsidRPr="00267DF0">
        <w:tab/>
      </w:r>
      <w:r w:rsidR="00992C22" w:rsidRPr="00267DF0">
        <w:t>αναθέτει στην Πρόεδρό του να διαβιβάσει το παρόν ψήφισμα στο Συμβούλιο και στην Επιτροπή.</w:t>
      </w:r>
    </w:p>
    <w:p w14:paraId="32987DE2" w14:textId="2DACB549" w:rsidR="00E365E1" w:rsidRPr="00267DF0" w:rsidRDefault="00E365E1" w:rsidP="00D93445">
      <w:pPr>
        <w:widowControl/>
        <w:spacing w:after="240"/>
        <w:ind w:left="567" w:hanging="567"/>
      </w:pPr>
    </w:p>
    <w:sectPr w:rsidR="00E365E1" w:rsidRPr="00267DF0" w:rsidSect="000842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A00D" w14:textId="77777777" w:rsidR="00EE1029" w:rsidRPr="000842DB" w:rsidRDefault="00EE1029">
      <w:r w:rsidRPr="000842DB">
        <w:separator/>
      </w:r>
    </w:p>
  </w:endnote>
  <w:endnote w:type="continuationSeparator" w:id="0">
    <w:p w14:paraId="1E11C3B9" w14:textId="77777777" w:rsidR="00EE1029" w:rsidRPr="000842DB" w:rsidRDefault="00EE1029">
      <w:r w:rsidRPr="00084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12C39" w14:textId="77777777" w:rsidR="00064002" w:rsidRPr="000842D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23AAB" w14:textId="77777777" w:rsidR="00064002" w:rsidRPr="000842D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19664" w14:textId="77777777" w:rsidR="00064002" w:rsidRPr="000842D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C432B" w14:textId="77777777" w:rsidR="00EE1029" w:rsidRPr="000842DB" w:rsidRDefault="00EE1029">
      <w:r w:rsidRPr="000842DB">
        <w:separator/>
      </w:r>
    </w:p>
  </w:footnote>
  <w:footnote w:type="continuationSeparator" w:id="0">
    <w:p w14:paraId="1B1380EF" w14:textId="77777777" w:rsidR="00EE1029" w:rsidRPr="000842DB" w:rsidRDefault="00EE1029">
      <w:r w:rsidRPr="000842DB">
        <w:continuationSeparator/>
      </w:r>
    </w:p>
  </w:footnote>
  <w:footnote w:id="1">
    <w:p w14:paraId="3FED141A" w14:textId="55721F54"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ΕΕ L 354 της 28.12.2013</w:t>
      </w:r>
      <w:r w:rsidR="00D93445">
        <w:rPr>
          <w:sz w:val="24"/>
          <w:lang w:val="el-GR"/>
        </w:rPr>
        <w:t>,</w:t>
      </w:r>
      <w:r w:rsidRPr="000842DB">
        <w:rPr>
          <w:sz w:val="24"/>
          <w:lang w:val="el-GR"/>
        </w:rPr>
        <w:t xml:space="preserve"> σ. 22,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reg</w:instrText>
      </w:r>
      <w:r w:rsidRPr="00B91EAF">
        <w:rPr>
          <w:lang w:val="el-GR"/>
        </w:rPr>
        <w:instrText>/2013/1380/</w:instrText>
      </w:r>
      <w:r>
        <w:instrText>oj</w:instrText>
      </w:r>
      <w:r w:rsidRPr="00B91EAF">
        <w:rPr>
          <w:lang w:val="el-GR"/>
        </w:rPr>
        <w:instrText>"</w:instrText>
      </w:r>
      <w:r>
        <w:fldChar w:fldCharType="separate"/>
      </w:r>
      <w:r w:rsidRPr="000842DB">
        <w:rPr>
          <w:rStyle w:val="Hyperlink"/>
          <w:sz w:val="24"/>
          <w:lang w:val="el-GR"/>
        </w:rPr>
        <w:t>http://data.europa.eu/eli/reg/2013/1380/oj</w:t>
      </w:r>
      <w:r>
        <w:fldChar w:fldCharType="end"/>
      </w:r>
      <w:r w:rsidRPr="000842DB">
        <w:rPr>
          <w:sz w:val="24"/>
          <w:lang w:val="el-GR"/>
        </w:rPr>
        <w:t>.</w:t>
      </w:r>
    </w:p>
  </w:footnote>
  <w:footnote w:id="2">
    <w:p w14:paraId="0528F80D" w14:textId="376F2A02"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191 της 15.7.2016, σ. 1,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reg</w:instrText>
      </w:r>
      <w:r w:rsidRPr="00B91EAF">
        <w:rPr>
          <w:lang w:val="el-GR"/>
        </w:rPr>
        <w:instrText>/2016/1139/</w:instrText>
      </w:r>
      <w:r>
        <w:instrText>oj</w:instrText>
      </w:r>
      <w:r w:rsidRPr="00B91EAF">
        <w:rPr>
          <w:lang w:val="el-GR"/>
        </w:rPr>
        <w:instrText>"</w:instrText>
      </w:r>
      <w:r>
        <w:fldChar w:fldCharType="separate"/>
      </w:r>
      <w:r w:rsidRPr="000842DB">
        <w:rPr>
          <w:rStyle w:val="Hyperlink"/>
          <w:sz w:val="24"/>
          <w:lang w:val="el-GR"/>
        </w:rPr>
        <w:t>http://data.europa.eu/eli/reg/2016/1139/oj</w:t>
      </w:r>
      <w:r>
        <w:fldChar w:fldCharType="end"/>
      </w:r>
      <w:r w:rsidRPr="000842DB">
        <w:rPr>
          <w:sz w:val="24"/>
          <w:lang w:val="el-GR"/>
        </w:rPr>
        <w:t>.</w:t>
      </w:r>
    </w:p>
  </w:footnote>
  <w:footnote w:id="3">
    <w:p w14:paraId="0FC0AC98" w14:textId="510DF1E4"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400 της 30.11.2020, σ. 1,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reg</w:instrText>
      </w:r>
      <w:r w:rsidRPr="00B91EAF">
        <w:rPr>
          <w:lang w:val="el-GR"/>
        </w:rPr>
        <w:instrText>/2020/1781/</w:instrText>
      </w:r>
      <w:r>
        <w:instrText>oj</w:instrText>
      </w:r>
      <w:r w:rsidRPr="00B91EAF">
        <w:rPr>
          <w:lang w:val="el-GR"/>
        </w:rPr>
        <w:instrText>"</w:instrText>
      </w:r>
      <w:r>
        <w:fldChar w:fldCharType="separate"/>
      </w:r>
      <w:r w:rsidRPr="000842DB">
        <w:rPr>
          <w:rStyle w:val="Hyperlink"/>
          <w:sz w:val="24"/>
          <w:lang w:val="el-GR"/>
        </w:rPr>
        <w:t>http://data.europa.eu/eli/reg/2020/1781/oj</w:t>
      </w:r>
      <w:r>
        <w:fldChar w:fldCharType="end"/>
      </w:r>
      <w:r w:rsidRPr="000842DB">
        <w:rPr>
          <w:sz w:val="24"/>
          <w:lang w:val="el-GR"/>
        </w:rPr>
        <w:t>.</w:t>
      </w:r>
    </w:p>
  </w:footnote>
  <w:footnote w:id="4">
    <w:p w14:paraId="6DA9FA97" w14:textId="33648249"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164 της 25.6.2008, σ. 19,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dir</w:instrText>
      </w:r>
      <w:r w:rsidRPr="00B91EAF">
        <w:rPr>
          <w:lang w:val="el-GR"/>
        </w:rPr>
        <w:instrText>/2008/56/</w:instrText>
      </w:r>
      <w:r>
        <w:instrText>oj</w:instrText>
      </w:r>
      <w:r w:rsidRPr="00B91EAF">
        <w:rPr>
          <w:lang w:val="el-GR"/>
        </w:rPr>
        <w:instrText>"</w:instrText>
      </w:r>
      <w:r>
        <w:fldChar w:fldCharType="separate"/>
      </w:r>
      <w:r w:rsidRPr="000842DB">
        <w:rPr>
          <w:rStyle w:val="Hyperlink"/>
          <w:sz w:val="24"/>
          <w:lang w:val="el-GR"/>
        </w:rPr>
        <w:t>http://data.europa.eu/eli/dir/2008/56/oj</w:t>
      </w:r>
      <w:r>
        <w:fldChar w:fldCharType="end"/>
      </w:r>
      <w:r w:rsidRPr="000842DB">
        <w:rPr>
          <w:sz w:val="24"/>
          <w:lang w:val="el-GR"/>
        </w:rPr>
        <w:t>.</w:t>
      </w:r>
    </w:p>
  </w:footnote>
  <w:footnote w:id="5">
    <w:p w14:paraId="2CFF559D" w14:textId="05FB3678"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206 της 22.7.1992, σ. 7,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dir</w:instrText>
      </w:r>
      <w:r w:rsidRPr="00B91EAF">
        <w:rPr>
          <w:lang w:val="el-GR"/>
        </w:rPr>
        <w:instrText>/1992/43/</w:instrText>
      </w:r>
      <w:r>
        <w:instrText>oj</w:instrText>
      </w:r>
      <w:r w:rsidRPr="00B91EAF">
        <w:rPr>
          <w:lang w:val="el-GR"/>
        </w:rPr>
        <w:instrText>"</w:instrText>
      </w:r>
      <w:r>
        <w:fldChar w:fldCharType="separate"/>
      </w:r>
      <w:r w:rsidRPr="000842DB">
        <w:rPr>
          <w:rStyle w:val="Hyperlink"/>
          <w:sz w:val="24"/>
          <w:lang w:val="el-GR"/>
        </w:rPr>
        <w:t>http://data.europa.eu/eli/dir/1992/43/oj</w:t>
      </w:r>
      <w:r>
        <w:fldChar w:fldCharType="end"/>
      </w:r>
      <w:r w:rsidRPr="000842DB">
        <w:rPr>
          <w:sz w:val="24"/>
          <w:lang w:val="el-GR"/>
        </w:rPr>
        <w:t>.</w:t>
      </w:r>
    </w:p>
  </w:footnote>
  <w:footnote w:id="6">
    <w:p w14:paraId="5A842B18" w14:textId="76EE55D6"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247 της 28.9.1977, σ. 2,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reg</w:instrText>
      </w:r>
      <w:r w:rsidRPr="00B91EAF">
        <w:rPr>
          <w:lang w:val="el-GR"/>
        </w:rPr>
        <w:instrText>/1977/2115/</w:instrText>
      </w:r>
      <w:r>
        <w:instrText>oj</w:instrText>
      </w:r>
      <w:r w:rsidRPr="00B91EAF">
        <w:rPr>
          <w:lang w:val="el-GR"/>
        </w:rPr>
        <w:instrText>"</w:instrText>
      </w:r>
      <w:r>
        <w:fldChar w:fldCharType="separate"/>
      </w:r>
      <w:r w:rsidRPr="000842DB">
        <w:rPr>
          <w:rStyle w:val="Hyperlink"/>
          <w:sz w:val="24"/>
          <w:lang w:val="el-GR"/>
        </w:rPr>
        <w:t>http://data.europa.eu/eli/reg/1977/2115/oj</w:t>
      </w:r>
      <w:r>
        <w:fldChar w:fldCharType="end"/>
      </w:r>
      <w:r w:rsidRPr="000842DB">
        <w:rPr>
          <w:sz w:val="24"/>
          <w:lang w:val="el-GR"/>
        </w:rPr>
        <w:t>.</w:t>
      </w:r>
    </w:p>
  </w:footnote>
  <w:footnote w:id="7">
    <w:p w14:paraId="1B76275D" w14:textId="6B31A8A8"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ΕΕ L 20 της 26.1.2010, σ. 7,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dir</w:instrText>
      </w:r>
      <w:r w:rsidRPr="00B91EAF">
        <w:rPr>
          <w:lang w:val="el-GR"/>
        </w:rPr>
        <w:instrText>/2009/147/</w:instrText>
      </w:r>
      <w:r>
        <w:instrText>oj</w:instrText>
      </w:r>
      <w:r w:rsidRPr="00B91EAF">
        <w:rPr>
          <w:lang w:val="el-GR"/>
        </w:rPr>
        <w:instrText>"</w:instrText>
      </w:r>
      <w:r>
        <w:fldChar w:fldCharType="separate"/>
      </w:r>
      <w:r w:rsidRPr="000842DB">
        <w:rPr>
          <w:rStyle w:val="Hyperlink"/>
          <w:sz w:val="24"/>
          <w:lang w:val="el-GR"/>
        </w:rPr>
        <w:t>http://data.europa.eu/eli/dir/2009/147/oj</w:t>
      </w:r>
      <w:r>
        <w:fldChar w:fldCharType="end"/>
      </w:r>
      <w:r w:rsidRPr="000842DB">
        <w:rPr>
          <w:sz w:val="24"/>
          <w:lang w:val="el-GR"/>
        </w:rPr>
        <w:t>.</w:t>
      </w:r>
    </w:p>
  </w:footnote>
  <w:footnote w:id="8">
    <w:p w14:paraId="1ED0E6FD" w14:textId="4C4B4044"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ΕΕ C 506 της 15.12.2021, σ. 9.</w:t>
      </w:r>
    </w:p>
  </w:footnote>
  <w:footnote w:id="9">
    <w:p w14:paraId="4F3A4755" w14:textId="1556F0E4" w:rsidR="00992C22" w:rsidRPr="00267DF0"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267DF0">
        <w:rPr>
          <w:sz w:val="24"/>
          <w:lang w:val="el-GR"/>
        </w:rPr>
        <w:t xml:space="preserve"> </w:t>
      </w:r>
      <w:r w:rsidR="000842DB" w:rsidRPr="00267DF0">
        <w:rPr>
          <w:sz w:val="24"/>
          <w:lang w:val="el-GR"/>
        </w:rPr>
        <w:tab/>
      </w:r>
      <w:r w:rsidRPr="000842DB">
        <w:rPr>
          <w:sz w:val="24"/>
          <w:lang w:val="el-GR"/>
        </w:rPr>
        <w:t>ΕΕ</w:t>
      </w:r>
      <w:r w:rsidRPr="00267DF0">
        <w:rPr>
          <w:sz w:val="24"/>
          <w:lang w:val="el-GR"/>
        </w:rPr>
        <w:t xml:space="preserve"> </w:t>
      </w:r>
      <w:r w:rsidRPr="00E85C71">
        <w:rPr>
          <w:sz w:val="24"/>
          <w:lang w:val="fi-FI"/>
        </w:rPr>
        <w:t>C</w:t>
      </w:r>
      <w:r w:rsidRPr="00267DF0">
        <w:rPr>
          <w:sz w:val="24"/>
          <w:lang w:val="el-GR"/>
        </w:rPr>
        <w:t xml:space="preserve">, </w:t>
      </w:r>
      <w:r w:rsidRPr="00E85C71">
        <w:rPr>
          <w:sz w:val="24"/>
          <w:lang w:val="fi-FI"/>
        </w:rPr>
        <w:t>C</w:t>
      </w:r>
      <w:r w:rsidRPr="00267DF0">
        <w:rPr>
          <w:sz w:val="24"/>
          <w:lang w:val="el-GR"/>
        </w:rPr>
        <w:t xml:space="preserve">/2024/5735, 17.10.2024, </w:t>
      </w:r>
      <w:r w:rsidRPr="00E85C71">
        <w:rPr>
          <w:sz w:val="24"/>
          <w:lang w:val="fi-FI"/>
        </w:rPr>
        <w:t>ELI</w:t>
      </w:r>
      <w:r w:rsidRPr="00267DF0">
        <w:rPr>
          <w:sz w:val="24"/>
          <w:lang w:val="el-GR"/>
        </w:rPr>
        <w:t xml:space="preserve">: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C</w:instrText>
      </w:r>
      <w:r w:rsidRPr="00B91EAF">
        <w:rPr>
          <w:lang w:val="el-GR"/>
        </w:rPr>
        <w:instrText>/2024/5735/</w:instrText>
      </w:r>
      <w:r>
        <w:instrText>oj</w:instrText>
      </w:r>
      <w:r w:rsidRPr="00B91EAF">
        <w:rPr>
          <w:lang w:val="el-GR"/>
        </w:rPr>
        <w:instrText>"</w:instrText>
      </w:r>
      <w:r>
        <w:fldChar w:fldCharType="separate"/>
      </w:r>
      <w:r w:rsidRPr="00E85C71">
        <w:rPr>
          <w:rStyle w:val="Hyperlink"/>
          <w:sz w:val="24"/>
          <w:lang w:val="fi-FI"/>
        </w:rPr>
        <w:t>http</w:t>
      </w:r>
      <w:r w:rsidRPr="00267DF0">
        <w:rPr>
          <w:rStyle w:val="Hyperlink"/>
          <w:sz w:val="24"/>
          <w:lang w:val="el-GR"/>
        </w:rPr>
        <w:t>://</w:t>
      </w:r>
      <w:r w:rsidRPr="00E85C71">
        <w:rPr>
          <w:rStyle w:val="Hyperlink"/>
          <w:sz w:val="24"/>
          <w:lang w:val="fi-FI"/>
        </w:rPr>
        <w:t>data</w:t>
      </w:r>
      <w:r w:rsidRPr="00267DF0">
        <w:rPr>
          <w:rStyle w:val="Hyperlink"/>
          <w:sz w:val="24"/>
          <w:lang w:val="el-GR"/>
        </w:rPr>
        <w:t>.</w:t>
      </w:r>
      <w:r w:rsidRPr="00E85C71">
        <w:rPr>
          <w:rStyle w:val="Hyperlink"/>
          <w:sz w:val="24"/>
          <w:lang w:val="fi-FI"/>
        </w:rPr>
        <w:t>europa</w:t>
      </w:r>
      <w:r w:rsidRPr="00267DF0">
        <w:rPr>
          <w:rStyle w:val="Hyperlink"/>
          <w:sz w:val="24"/>
          <w:lang w:val="el-GR"/>
        </w:rPr>
        <w:t>.</w:t>
      </w:r>
      <w:proofErr w:type="spellStart"/>
      <w:r w:rsidRPr="00E85C71">
        <w:rPr>
          <w:rStyle w:val="Hyperlink"/>
          <w:sz w:val="24"/>
          <w:lang w:val="fi-FI"/>
        </w:rPr>
        <w:t>eu</w:t>
      </w:r>
      <w:proofErr w:type="spellEnd"/>
      <w:r w:rsidRPr="00267DF0">
        <w:rPr>
          <w:rStyle w:val="Hyperlink"/>
          <w:sz w:val="24"/>
          <w:lang w:val="el-GR"/>
        </w:rPr>
        <w:t>/</w:t>
      </w:r>
      <w:r w:rsidRPr="00E85C71">
        <w:rPr>
          <w:rStyle w:val="Hyperlink"/>
          <w:sz w:val="24"/>
          <w:lang w:val="fi-FI"/>
        </w:rPr>
        <w:t>eli</w:t>
      </w:r>
      <w:r w:rsidRPr="00267DF0">
        <w:rPr>
          <w:rStyle w:val="Hyperlink"/>
          <w:sz w:val="24"/>
          <w:lang w:val="el-GR"/>
        </w:rPr>
        <w:t>/</w:t>
      </w:r>
      <w:r w:rsidRPr="00E85C71">
        <w:rPr>
          <w:rStyle w:val="Hyperlink"/>
          <w:sz w:val="24"/>
          <w:lang w:val="fi-FI"/>
        </w:rPr>
        <w:t>C</w:t>
      </w:r>
      <w:r w:rsidRPr="00267DF0">
        <w:rPr>
          <w:rStyle w:val="Hyperlink"/>
          <w:sz w:val="24"/>
          <w:lang w:val="el-GR"/>
        </w:rPr>
        <w:t>/2024/5735/</w:t>
      </w:r>
      <w:proofErr w:type="spellStart"/>
      <w:r w:rsidRPr="00E85C71">
        <w:rPr>
          <w:rStyle w:val="Hyperlink"/>
          <w:sz w:val="24"/>
          <w:lang w:val="fi-FI"/>
        </w:rPr>
        <w:t>oj</w:t>
      </w:r>
      <w:proofErr w:type="spellEnd"/>
      <w:r>
        <w:fldChar w:fldCharType="end"/>
      </w:r>
      <w:r w:rsidRPr="00267DF0">
        <w:rPr>
          <w:sz w:val="24"/>
          <w:lang w:val="el-GR"/>
        </w:rPr>
        <w:t xml:space="preserve">. </w:t>
      </w:r>
    </w:p>
  </w:footnote>
  <w:footnote w:id="10">
    <w:p w14:paraId="09CF7667" w14:textId="744B6C8D"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ΕΕ C 21 E της 28.1.2010, σ. 11.</w:t>
      </w:r>
    </w:p>
  </w:footnote>
  <w:footnote w:id="11">
    <w:p w14:paraId="76FDFDD2" w14:textId="178CAD6E" w:rsidR="00992C22" w:rsidRPr="00267DF0"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267DF0">
        <w:rPr>
          <w:sz w:val="24"/>
          <w:lang w:val="el-GR"/>
        </w:rPr>
        <w:t xml:space="preserve"> </w:t>
      </w:r>
      <w:r w:rsidR="000842DB" w:rsidRPr="00267DF0">
        <w:rPr>
          <w:sz w:val="24"/>
          <w:lang w:val="el-GR"/>
        </w:rPr>
        <w:tab/>
      </w:r>
      <w:r w:rsidRPr="000842DB">
        <w:rPr>
          <w:sz w:val="24"/>
          <w:lang w:val="el-GR"/>
        </w:rPr>
        <w:t>ΕΕ</w:t>
      </w:r>
      <w:r w:rsidRPr="00267DF0">
        <w:rPr>
          <w:sz w:val="24"/>
          <w:lang w:val="el-GR"/>
        </w:rPr>
        <w:t xml:space="preserve"> </w:t>
      </w:r>
      <w:r w:rsidRPr="00E85C71">
        <w:rPr>
          <w:sz w:val="24"/>
          <w:lang w:val="fi-FI"/>
        </w:rPr>
        <w:t>C</w:t>
      </w:r>
      <w:r w:rsidRPr="00267DF0">
        <w:rPr>
          <w:sz w:val="24"/>
          <w:lang w:val="el-GR"/>
        </w:rPr>
        <w:t xml:space="preserve">, </w:t>
      </w:r>
      <w:r w:rsidRPr="00E85C71">
        <w:rPr>
          <w:sz w:val="24"/>
          <w:lang w:val="fi-FI"/>
        </w:rPr>
        <w:t>C</w:t>
      </w:r>
      <w:r w:rsidRPr="00267DF0">
        <w:rPr>
          <w:sz w:val="24"/>
          <w:lang w:val="el-GR"/>
        </w:rPr>
        <w:t xml:space="preserve">/2025/809, 11.2.2025, </w:t>
      </w:r>
      <w:r w:rsidRPr="00E85C71">
        <w:rPr>
          <w:sz w:val="24"/>
          <w:lang w:val="fi-FI"/>
        </w:rPr>
        <w:t>ELI</w:t>
      </w:r>
      <w:r w:rsidRPr="00267DF0">
        <w:rPr>
          <w:sz w:val="24"/>
          <w:lang w:val="el-GR"/>
        </w:rPr>
        <w:t xml:space="preserve">: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C</w:instrText>
      </w:r>
      <w:r w:rsidRPr="00B91EAF">
        <w:rPr>
          <w:lang w:val="el-GR"/>
        </w:rPr>
        <w:instrText>/2025/809/</w:instrText>
      </w:r>
      <w:r>
        <w:instrText>oj</w:instrText>
      </w:r>
      <w:r w:rsidRPr="00B91EAF">
        <w:rPr>
          <w:lang w:val="el-GR"/>
        </w:rPr>
        <w:instrText>"</w:instrText>
      </w:r>
      <w:r>
        <w:fldChar w:fldCharType="separate"/>
      </w:r>
      <w:r w:rsidRPr="00E85C71">
        <w:rPr>
          <w:rStyle w:val="Hyperlink"/>
          <w:sz w:val="24"/>
          <w:lang w:val="fi-FI"/>
        </w:rPr>
        <w:t>http</w:t>
      </w:r>
      <w:r w:rsidRPr="00267DF0">
        <w:rPr>
          <w:rStyle w:val="Hyperlink"/>
          <w:sz w:val="24"/>
          <w:lang w:val="el-GR"/>
        </w:rPr>
        <w:t>://</w:t>
      </w:r>
      <w:r w:rsidRPr="00E85C71">
        <w:rPr>
          <w:rStyle w:val="Hyperlink"/>
          <w:sz w:val="24"/>
          <w:lang w:val="fi-FI"/>
        </w:rPr>
        <w:t>data</w:t>
      </w:r>
      <w:r w:rsidRPr="00267DF0">
        <w:rPr>
          <w:rStyle w:val="Hyperlink"/>
          <w:sz w:val="24"/>
          <w:lang w:val="el-GR"/>
        </w:rPr>
        <w:t>.</w:t>
      </w:r>
      <w:r w:rsidRPr="00E85C71">
        <w:rPr>
          <w:rStyle w:val="Hyperlink"/>
          <w:sz w:val="24"/>
          <w:lang w:val="fi-FI"/>
        </w:rPr>
        <w:t>europa</w:t>
      </w:r>
      <w:r w:rsidRPr="00267DF0">
        <w:rPr>
          <w:rStyle w:val="Hyperlink"/>
          <w:sz w:val="24"/>
          <w:lang w:val="el-GR"/>
        </w:rPr>
        <w:t>.</w:t>
      </w:r>
      <w:proofErr w:type="spellStart"/>
      <w:r w:rsidRPr="00E85C71">
        <w:rPr>
          <w:rStyle w:val="Hyperlink"/>
          <w:sz w:val="24"/>
          <w:lang w:val="fi-FI"/>
        </w:rPr>
        <w:t>eu</w:t>
      </w:r>
      <w:proofErr w:type="spellEnd"/>
      <w:r w:rsidRPr="00267DF0">
        <w:rPr>
          <w:rStyle w:val="Hyperlink"/>
          <w:sz w:val="24"/>
          <w:lang w:val="el-GR"/>
        </w:rPr>
        <w:t>/</w:t>
      </w:r>
      <w:r w:rsidRPr="00E85C71">
        <w:rPr>
          <w:rStyle w:val="Hyperlink"/>
          <w:sz w:val="24"/>
          <w:lang w:val="fi-FI"/>
        </w:rPr>
        <w:t>eli</w:t>
      </w:r>
      <w:r w:rsidRPr="00267DF0">
        <w:rPr>
          <w:rStyle w:val="Hyperlink"/>
          <w:sz w:val="24"/>
          <w:lang w:val="el-GR"/>
        </w:rPr>
        <w:t>/</w:t>
      </w:r>
      <w:r w:rsidRPr="00E85C71">
        <w:rPr>
          <w:rStyle w:val="Hyperlink"/>
          <w:sz w:val="24"/>
          <w:lang w:val="fi-FI"/>
        </w:rPr>
        <w:t>C</w:t>
      </w:r>
      <w:r w:rsidRPr="00267DF0">
        <w:rPr>
          <w:rStyle w:val="Hyperlink"/>
          <w:sz w:val="24"/>
          <w:lang w:val="el-GR"/>
        </w:rPr>
        <w:t>/2025/809/</w:t>
      </w:r>
      <w:proofErr w:type="spellStart"/>
      <w:r w:rsidRPr="00E85C71">
        <w:rPr>
          <w:rStyle w:val="Hyperlink"/>
          <w:sz w:val="24"/>
          <w:lang w:val="fi-FI"/>
        </w:rPr>
        <w:t>oj</w:t>
      </w:r>
      <w:proofErr w:type="spellEnd"/>
      <w:r>
        <w:fldChar w:fldCharType="end"/>
      </w:r>
      <w:r w:rsidRPr="00267DF0">
        <w:rPr>
          <w:sz w:val="24"/>
          <w:lang w:val="el-GR"/>
        </w:rPr>
        <w:t>.</w:t>
      </w:r>
    </w:p>
  </w:footnote>
  <w:footnote w:id="12">
    <w:p w14:paraId="08FF482B" w14:textId="3700B5AC" w:rsidR="00992C22" w:rsidRPr="00267DF0"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267DF0">
        <w:rPr>
          <w:sz w:val="24"/>
          <w:lang w:val="el-GR"/>
        </w:rPr>
        <w:t xml:space="preserve"> </w:t>
      </w:r>
      <w:r w:rsidR="000842DB" w:rsidRPr="00267DF0">
        <w:rPr>
          <w:sz w:val="24"/>
          <w:lang w:val="el-GR"/>
        </w:rPr>
        <w:tab/>
      </w:r>
      <w:r w:rsidRPr="00E85C71">
        <w:rPr>
          <w:sz w:val="24"/>
          <w:lang w:val="fi-FI"/>
        </w:rPr>
        <w:t>ECLI</w:t>
      </w:r>
      <w:r w:rsidRPr="00267DF0">
        <w:rPr>
          <w:sz w:val="24"/>
          <w:lang w:val="el-GR"/>
        </w:rPr>
        <w:t>:</w:t>
      </w:r>
      <w:r w:rsidRPr="00E85C71">
        <w:rPr>
          <w:sz w:val="24"/>
          <w:lang w:val="fi-FI"/>
        </w:rPr>
        <w:t>EU</w:t>
      </w:r>
      <w:r w:rsidRPr="00267DF0">
        <w:rPr>
          <w:sz w:val="24"/>
          <w:lang w:val="el-GR"/>
        </w:rPr>
        <w:t>:</w:t>
      </w:r>
      <w:proofErr w:type="gramStart"/>
      <w:r w:rsidRPr="00E85C71">
        <w:rPr>
          <w:sz w:val="24"/>
          <w:lang w:val="fi-FI"/>
        </w:rPr>
        <w:t>C</w:t>
      </w:r>
      <w:r w:rsidRPr="00267DF0">
        <w:rPr>
          <w:sz w:val="24"/>
          <w:lang w:val="el-GR"/>
        </w:rPr>
        <w:t>:2024:19</w:t>
      </w:r>
      <w:proofErr w:type="gramEnd"/>
      <w:r w:rsidRPr="00267DF0">
        <w:rPr>
          <w:sz w:val="24"/>
          <w:lang w:val="el-GR"/>
        </w:rPr>
        <w:t>.</w:t>
      </w:r>
    </w:p>
  </w:footnote>
  <w:footnote w:id="13">
    <w:p w14:paraId="44805C3B" w14:textId="71C33955" w:rsidR="00992C22" w:rsidRPr="00267DF0"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267DF0">
        <w:rPr>
          <w:sz w:val="24"/>
          <w:lang w:val="el-GR"/>
        </w:rPr>
        <w:t xml:space="preserve"> </w:t>
      </w:r>
      <w:r w:rsidR="000842DB" w:rsidRPr="00267DF0">
        <w:rPr>
          <w:sz w:val="24"/>
          <w:lang w:val="el-GR"/>
        </w:rPr>
        <w:tab/>
      </w:r>
      <w:r w:rsidRPr="000842DB">
        <w:rPr>
          <w:sz w:val="24"/>
          <w:lang w:val="el-GR"/>
        </w:rPr>
        <w:t>Ενημερωτική</w:t>
      </w:r>
      <w:r w:rsidRPr="00267DF0">
        <w:rPr>
          <w:sz w:val="24"/>
          <w:lang w:val="el-GR"/>
        </w:rPr>
        <w:t xml:space="preserve"> </w:t>
      </w:r>
      <w:r w:rsidRPr="000842DB">
        <w:rPr>
          <w:sz w:val="24"/>
          <w:lang w:val="el-GR"/>
        </w:rPr>
        <w:t>ανάλυση</w:t>
      </w:r>
      <w:r w:rsidRPr="00267DF0">
        <w:rPr>
          <w:sz w:val="24"/>
          <w:lang w:val="el-GR"/>
        </w:rPr>
        <w:t xml:space="preserve"> — «</w:t>
      </w:r>
      <w:proofErr w:type="spellStart"/>
      <w:r w:rsidRPr="00E85C71">
        <w:rPr>
          <w:sz w:val="24"/>
          <w:lang w:val="fi-FI"/>
        </w:rPr>
        <w:t>The</w:t>
      </w:r>
      <w:proofErr w:type="spellEnd"/>
      <w:r w:rsidRPr="00267DF0">
        <w:rPr>
          <w:sz w:val="24"/>
          <w:lang w:val="el-GR"/>
        </w:rPr>
        <w:t xml:space="preserve"> </w:t>
      </w:r>
      <w:proofErr w:type="spellStart"/>
      <w:r w:rsidRPr="00E85C71">
        <w:rPr>
          <w:sz w:val="24"/>
          <w:lang w:val="fi-FI"/>
        </w:rPr>
        <w:t>multiannual</w:t>
      </w:r>
      <w:proofErr w:type="spellEnd"/>
      <w:r w:rsidRPr="00267DF0">
        <w:rPr>
          <w:sz w:val="24"/>
          <w:lang w:val="el-GR"/>
        </w:rPr>
        <w:t xml:space="preserve"> </w:t>
      </w:r>
      <w:proofErr w:type="spellStart"/>
      <w:r w:rsidRPr="00E85C71">
        <w:rPr>
          <w:sz w:val="24"/>
          <w:lang w:val="fi-FI"/>
        </w:rPr>
        <w:t>plan</w:t>
      </w:r>
      <w:proofErr w:type="spellEnd"/>
      <w:r w:rsidRPr="00267DF0">
        <w:rPr>
          <w:sz w:val="24"/>
          <w:lang w:val="el-GR"/>
        </w:rPr>
        <w:t xml:space="preserve"> </w:t>
      </w:r>
      <w:r w:rsidRPr="00E85C71">
        <w:rPr>
          <w:sz w:val="24"/>
          <w:lang w:val="fi-FI"/>
        </w:rPr>
        <w:t>for</w:t>
      </w:r>
      <w:r w:rsidRPr="00267DF0">
        <w:rPr>
          <w:sz w:val="24"/>
          <w:lang w:val="el-GR"/>
        </w:rPr>
        <w:t xml:space="preserve"> </w:t>
      </w:r>
      <w:proofErr w:type="spellStart"/>
      <w:r w:rsidRPr="00E85C71">
        <w:rPr>
          <w:sz w:val="24"/>
          <w:lang w:val="fi-FI"/>
        </w:rPr>
        <w:t>the</w:t>
      </w:r>
      <w:proofErr w:type="spellEnd"/>
      <w:r w:rsidRPr="00267DF0">
        <w:rPr>
          <w:sz w:val="24"/>
          <w:lang w:val="el-GR"/>
        </w:rPr>
        <w:t xml:space="preserve"> </w:t>
      </w:r>
      <w:r w:rsidRPr="00E85C71">
        <w:rPr>
          <w:sz w:val="24"/>
          <w:lang w:val="fi-FI"/>
        </w:rPr>
        <w:t>Baltic</w:t>
      </w:r>
      <w:r w:rsidRPr="00267DF0">
        <w:rPr>
          <w:sz w:val="24"/>
          <w:lang w:val="el-GR"/>
        </w:rPr>
        <w:t xml:space="preserve"> </w:t>
      </w:r>
      <w:r w:rsidRPr="00E85C71">
        <w:rPr>
          <w:sz w:val="24"/>
          <w:lang w:val="fi-FI"/>
        </w:rPr>
        <w:t>Sea</w:t>
      </w:r>
      <w:r w:rsidRPr="00267DF0">
        <w:rPr>
          <w:sz w:val="24"/>
          <w:lang w:val="el-GR"/>
        </w:rPr>
        <w:t xml:space="preserve"> – </w:t>
      </w:r>
      <w:r w:rsidRPr="00E85C71">
        <w:rPr>
          <w:sz w:val="24"/>
          <w:lang w:val="fi-FI"/>
        </w:rPr>
        <w:t>A</w:t>
      </w:r>
      <w:r w:rsidRPr="00267DF0">
        <w:rPr>
          <w:sz w:val="24"/>
          <w:lang w:val="el-GR"/>
        </w:rPr>
        <w:t xml:space="preserve"> </w:t>
      </w:r>
      <w:proofErr w:type="spellStart"/>
      <w:r w:rsidRPr="00E85C71">
        <w:rPr>
          <w:sz w:val="24"/>
          <w:lang w:val="fi-FI"/>
        </w:rPr>
        <w:t>change</w:t>
      </w:r>
      <w:proofErr w:type="spellEnd"/>
      <w:r w:rsidRPr="00267DF0">
        <w:rPr>
          <w:sz w:val="24"/>
          <w:lang w:val="el-GR"/>
        </w:rPr>
        <w:t xml:space="preserve"> </w:t>
      </w:r>
      <w:r w:rsidRPr="00E85C71">
        <w:rPr>
          <w:sz w:val="24"/>
          <w:lang w:val="fi-FI"/>
        </w:rPr>
        <w:t>in</w:t>
      </w:r>
      <w:r w:rsidRPr="00267DF0">
        <w:rPr>
          <w:sz w:val="24"/>
          <w:lang w:val="el-GR"/>
        </w:rPr>
        <w:t xml:space="preserve"> </w:t>
      </w:r>
      <w:r w:rsidRPr="00E85C71">
        <w:rPr>
          <w:sz w:val="24"/>
          <w:lang w:val="fi-FI"/>
        </w:rPr>
        <w:t>management</w:t>
      </w:r>
      <w:r w:rsidRPr="00267DF0">
        <w:rPr>
          <w:sz w:val="24"/>
          <w:lang w:val="el-GR"/>
        </w:rPr>
        <w:t xml:space="preserve"> </w:t>
      </w:r>
      <w:proofErr w:type="spellStart"/>
      <w:r w:rsidRPr="00E85C71">
        <w:rPr>
          <w:sz w:val="24"/>
          <w:lang w:val="fi-FI"/>
        </w:rPr>
        <w:t>needed</w:t>
      </w:r>
      <w:proofErr w:type="spellEnd"/>
      <w:r w:rsidRPr="00267DF0">
        <w:rPr>
          <w:sz w:val="24"/>
          <w:lang w:val="el-GR"/>
        </w:rPr>
        <w:t xml:space="preserve">», </w:t>
      </w:r>
      <w:r w:rsidRPr="000842DB">
        <w:rPr>
          <w:sz w:val="24"/>
          <w:lang w:val="el-GR"/>
        </w:rPr>
        <w:t>Ευρωπαϊκό</w:t>
      </w:r>
      <w:r w:rsidRPr="00267DF0">
        <w:rPr>
          <w:sz w:val="24"/>
          <w:lang w:val="el-GR"/>
        </w:rPr>
        <w:t xml:space="preserve"> </w:t>
      </w:r>
      <w:r w:rsidRPr="000842DB">
        <w:rPr>
          <w:sz w:val="24"/>
          <w:lang w:val="el-GR"/>
        </w:rPr>
        <w:t>Κοινοβούλιο</w:t>
      </w:r>
      <w:r w:rsidRPr="00267DF0">
        <w:rPr>
          <w:sz w:val="24"/>
          <w:lang w:val="el-GR"/>
        </w:rPr>
        <w:t xml:space="preserve">, </w:t>
      </w:r>
      <w:r w:rsidRPr="000842DB">
        <w:rPr>
          <w:sz w:val="24"/>
          <w:lang w:val="el-GR"/>
        </w:rPr>
        <w:t>Γενική</w:t>
      </w:r>
      <w:r w:rsidRPr="00267DF0">
        <w:rPr>
          <w:sz w:val="24"/>
          <w:lang w:val="el-GR"/>
        </w:rPr>
        <w:t xml:space="preserve"> </w:t>
      </w:r>
      <w:r w:rsidRPr="000842DB">
        <w:rPr>
          <w:sz w:val="24"/>
          <w:lang w:val="el-GR"/>
        </w:rPr>
        <w:t>Διεύθυνση</w:t>
      </w:r>
      <w:r w:rsidRPr="00267DF0">
        <w:rPr>
          <w:sz w:val="24"/>
          <w:lang w:val="el-GR"/>
        </w:rPr>
        <w:t xml:space="preserve"> </w:t>
      </w:r>
      <w:r w:rsidRPr="000842DB">
        <w:rPr>
          <w:sz w:val="24"/>
          <w:lang w:val="el-GR"/>
        </w:rPr>
        <w:t>Συνοχής</w:t>
      </w:r>
      <w:r w:rsidRPr="00267DF0">
        <w:rPr>
          <w:sz w:val="24"/>
          <w:lang w:val="el-GR"/>
        </w:rPr>
        <w:t xml:space="preserve">, </w:t>
      </w:r>
      <w:r w:rsidRPr="000842DB">
        <w:rPr>
          <w:sz w:val="24"/>
          <w:lang w:val="el-GR"/>
        </w:rPr>
        <w:t>Γεωργίας</w:t>
      </w:r>
      <w:r w:rsidRPr="00267DF0">
        <w:rPr>
          <w:sz w:val="24"/>
          <w:lang w:val="el-GR"/>
        </w:rPr>
        <w:t xml:space="preserve"> </w:t>
      </w:r>
      <w:r w:rsidRPr="000842DB">
        <w:rPr>
          <w:sz w:val="24"/>
          <w:lang w:val="el-GR"/>
        </w:rPr>
        <w:t>και</w:t>
      </w:r>
      <w:r w:rsidRPr="00267DF0">
        <w:rPr>
          <w:sz w:val="24"/>
          <w:lang w:val="el-GR"/>
        </w:rPr>
        <w:t xml:space="preserve"> </w:t>
      </w:r>
      <w:r w:rsidRPr="000842DB">
        <w:rPr>
          <w:sz w:val="24"/>
          <w:lang w:val="el-GR"/>
        </w:rPr>
        <w:t>Κοινωνικών</w:t>
      </w:r>
      <w:r w:rsidRPr="00267DF0">
        <w:rPr>
          <w:sz w:val="24"/>
          <w:lang w:val="el-GR"/>
        </w:rPr>
        <w:t xml:space="preserve"> </w:t>
      </w:r>
      <w:r w:rsidRPr="000842DB">
        <w:rPr>
          <w:sz w:val="24"/>
          <w:lang w:val="el-GR"/>
        </w:rPr>
        <w:t>Πολιτικών</w:t>
      </w:r>
      <w:r w:rsidRPr="00267DF0">
        <w:rPr>
          <w:sz w:val="24"/>
          <w:lang w:val="el-GR"/>
        </w:rPr>
        <w:t xml:space="preserve">, </w:t>
      </w:r>
      <w:r w:rsidRPr="000842DB">
        <w:rPr>
          <w:sz w:val="24"/>
          <w:lang w:val="el-GR"/>
        </w:rPr>
        <w:t>Θεματικό</w:t>
      </w:r>
      <w:r w:rsidRPr="00267DF0">
        <w:rPr>
          <w:sz w:val="24"/>
          <w:lang w:val="el-GR"/>
        </w:rPr>
        <w:t xml:space="preserve"> </w:t>
      </w:r>
      <w:r w:rsidRPr="000842DB">
        <w:rPr>
          <w:sz w:val="24"/>
          <w:lang w:val="el-GR"/>
        </w:rPr>
        <w:t>Τμήμα</w:t>
      </w:r>
      <w:r w:rsidRPr="00267DF0">
        <w:rPr>
          <w:sz w:val="24"/>
          <w:lang w:val="el-GR"/>
        </w:rPr>
        <w:t xml:space="preserve"> </w:t>
      </w:r>
      <w:r w:rsidRPr="000842DB">
        <w:rPr>
          <w:sz w:val="24"/>
          <w:lang w:val="el-GR"/>
        </w:rPr>
        <w:t>Περιφερειακής</w:t>
      </w:r>
      <w:r w:rsidRPr="00267DF0">
        <w:rPr>
          <w:sz w:val="24"/>
          <w:lang w:val="el-GR"/>
        </w:rPr>
        <w:t xml:space="preserve"> </w:t>
      </w:r>
      <w:r w:rsidRPr="000842DB">
        <w:rPr>
          <w:sz w:val="24"/>
          <w:lang w:val="el-GR"/>
        </w:rPr>
        <w:t>Ανάπτυξης</w:t>
      </w:r>
      <w:r w:rsidRPr="00267DF0">
        <w:rPr>
          <w:sz w:val="24"/>
          <w:lang w:val="el-GR"/>
        </w:rPr>
        <w:t xml:space="preserve">, </w:t>
      </w:r>
      <w:r w:rsidRPr="000842DB">
        <w:rPr>
          <w:sz w:val="24"/>
          <w:lang w:val="el-GR"/>
        </w:rPr>
        <w:t>Γεωργίας</w:t>
      </w:r>
      <w:r w:rsidRPr="00267DF0">
        <w:rPr>
          <w:sz w:val="24"/>
          <w:lang w:val="el-GR"/>
        </w:rPr>
        <w:t xml:space="preserve"> </w:t>
      </w:r>
      <w:r w:rsidRPr="000842DB">
        <w:rPr>
          <w:sz w:val="24"/>
          <w:lang w:val="el-GR"/>
        </w:rPr>
        <w:t>και</w:t>
      </w:r>
      <w:r w:rsidRPr="00267DF0">
        <w:rPr>
          <w:sz w:val="24"/>
          <w:lang w:val="el-GR"/>
        </w:rPr>
        <w:t xml:space="preserve"> </w:t>
      </w:r>
      <w:r w:rsidRPr="000842DB">
        <w:rPr>
          <w:sz w:val="24"/>
          <w:lang w:val="el-GR"/>
        </w:rPr>
        <w:t>Αλιείας</w:t>
      </w:r>
      <w:r w:rsidRPr="00267DF0">
        <w:rPr>
          <w:sz w:val="24"/>
          <w:lang w:val="el-GR"/>
        </w:rPr>
        <w:t xml:space="preserve">, </w:t>
      </w:r>
      <w:r w:rsidRPr="000842DB">
        <w:rPr>
          <w:sz w:val="24"/>
          <w:lang w:val="el-GR"/>
        </w:rPr>
        <w:t>Αύγουστος</w:t>
      </w:r>
      <w:r w:rsidRPr="00267DF0">
        <w:rPr>
          <w:sz w:val="24"/>
          <w:lang w:val="el-GR"/>
        </w:rPr>
        <w:t xml:space="preserve"> 2025.</w:t>
      </w:r>
    </w:p>
  </w:footnote>
  <w:footnote w:id="14">
    <w:p w14:paraId="0B5F2FA2" w14:textId="3FE2C0A8"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Επιστημονικές εκθέσεις του ICES. 4:2.</w:t>
      </w:r>
    </w:p>
  </w:footnote>
  <w:footnote w:id="15">
    <w:p w14:paraId="5DB3186A" w14:textId="6A836F06"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Επιστημονικές εκθέσεις του ICES. 4:68.</w:t>
      </w:r>
    </w:p>
  </w:footnote>
  <w:footnote w:id="16">
    <w:p w14:paraId="3ABC8E0C" w14:textId="75B42CD9"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Επιστημονικές εκθέσεις του ICES. 5:112.</w:t>
      </w:r>
    </w:p>
  </w:footnote>
  <w:footnote w:id="17">
    <w:p w14:paraId="6EA23FA4" w14:textId="7B5FB505"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 xml:space="preserve">Κανονισμός (ΕΕ) 2023/2842 του Ευρωπαϊκού Κοινοβουλίου και του Συμβουλίου, της 22ας Νοεμβρίου 2023, για την τροποποίηση του κανονισμού (ΕΚ) αριθ. 1224/2009 του Συμβουλίου, καθώς και για την τροποποίηση των κανονισμών (ΕΚ) αριθ. 1967/2006 και (ΕΚ) αριθ. 1005/2008 του Συμβουλίου και των κανονισμών (ΕΕ) 2016/1139, (ΕΕ) 2017/2403 και (ΕΕ) 2019/473 του Ευρωπαϊκού Κοινοβουλίου και του Συμβουλίου όσον αφορά τον έλεγχο της αλιείας (ΕΕ L, 2023/2842, 20.12.2023, ELI: </w:t>
      </w:r>
      <w:r>
        <w:fldChar w:fldCharType="begin"/>
      </w:r>
      <w:r>
        <w:instrText>HYPERLINK</w:instrText>
      </w:r>
      <w:r w:rsidRPr="00B91EAF">
        <w:rPr>
          <w:lang w:val="el-GR"/>
        </w:rPr>
        <w:instrText xml:space="preserve"> "</w:instrText>
      </w:r>
      <w:r>
        <w:instrText>http</w:instrText>
      </w:r>
      <w:r w:rsidRPr="00B91EAF">
        <w:rPr>
          <w:lang w:val="el-GR"/>
        </w:rPr>
        <w:instrText>://</w:instrText>
      </w:r>
      <w:r>
        <w:instrText>data</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eli</w:instrText>
      </w:r>
      <w:r w:rsidRPr="00B91EAF">
        <w:rPr>
          <w:lang w:val="el-GR"/>
        </w:rPr>
        <w:instrText>/</w:instrText>
      </w:r>
      <w:r>
        <w:instrText>reg</w:instrText>
      </w:r>
      <w:r w:rsidRPr="00B91EAF">
        <w:rPr>
          <w:lang w:val="el-GR"/>
        </w:rPr>
        <w:instrText>/2023/2842/</w:instrText>
      </w:r>
      <w:r>
        <w:instrText>oj</w:instrText>
      </w:r>
      <w:r w:rsidRPr="00B91EAF">
        <w:rPr>
          <w:lang w:val="el-GR"/>
        </w:rPr>
        <w:instrText>"</w:instrText>
      </w:r>
      <w:r>
        <w:fldChar w:fldCharType="separate"/>
      </w:r>
      <w:r w:rsidRPr="000842DB">
        <w:rPr>
          <w:rStyle w:val="Hyperlink"/>
          <w:sz w:val="24"/>
          <w:lang w:val="el-GR"/>
        </w:rPr>
        <w:t>http://data.europa.eu/eli/reg/2023/2842/oj</w:t>
      </w:r>
      <w:r>
        <w:fldChar w:fldCharType="end"/>
      </w:r>
      <w:r w:rsidRPr="000842DB">
        <w:rPr>
          <w:sz w:val="24"/>
          <w:lang w:val="el-GR"/>
        </w:rPr>
        <w:t xml:space="preserve">). </w:t>
      </w:r>
    </w:p>
  </w:footnote>
  <w:footnote w:id="18">
    <w:p w14:paraId="335B7EE3" w14:textId="5FD3BE0B" w:rsidR="00992C22" w:rsidRPr="00267DF0"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267DF0">
        <w:rPr>
          <w:sz w:val="24"/>
          <w:lang w:val="el-GR"/>
        </w:rPr>
        <w:t xml:space="preserve"> </w:t>
      </w:r>
      <w:r w:rsidR="000842DB" w:rsidRPr="00267DF0">
        <w:rPr>
          <w:sz w:val="24"/>
          <w:lang w:val="el-GR"/>
        </w:rPr>
        <w:tab/>
      </w:r>
      <w:r>
        <w:fldChar w:fldCharType="begin"/>
      </w:r>
      <w:r>
        <w:instrText>HYPERLINK</w:instrText>
      </w:r>
      <w:r w:rsidRPr="00B91EAF">
        <w:rPr>
          <w:lang w:val="el-GR"/>
        </w:rPr>
        <w:instrText xml:space="preserve"> "</w:instrText>
      </w:r>
      <w:r>
        <w:instrText>https</w:instrText>
      </w:r>
      <w:r w:rsidRPr="00B91EAF">
        <w:rPr>
          <w:lang w:val="el-GR"/>
        </w:rPr>
        <w:instrText>://</w:instrText>
      </w:r>
      <w:r>
        <w:instrText>helcom</w:instrText>
      </w:r>
      <w:r w:rsidRPr="00B91EAF">
        <w:rPr>
          <w:lang w:val="el-GR"/>
        </w:rPr>
        <w:instrText>.</w:instrText>
      </w:r>
      <w:r>
        <w:instrText>fi</w:instrText>
      </w:r>
      <w:r w:rsidRPr="00B91EAF">
        <w:rPr>
          <w:lang w:val="el-GR"/>
        </w:rPr>
        <w:instrText>/</w:instrText>
      </w:r>
      <w:r>
        <w:instrText>wp</w:instrText>
      </w:r>
      <w:r w:rsidRPr="00B91EAF">
        <w:rPr>
          <w:lang w:val="el-GR"/>
        </w:rPr>
        <w:instrText>-</w:instrText>
      </w:r>
      <w:r>
        <w:instrText>content</w:instrText>
      </w:r>
      <w:r w:rsidRPr="00B91EAF">
        <w:rPr>
          <w:lang w:val="el-GR"/>
        </w:rPr>
        <w:instrText>/</w:instrText>
      </w:r>
      <w:r>
        <w:instrText>uploads</w:instrText>
      </w:r>
      <w:r w:rsidRPr="00B91EAF">
        <w:rPr>
          <w:lang w:val="el-GR"/>
        </w:rPr>
        <w:instrText>/2025/06/</w:instrText>
      </w:r>
      <w:r>
        <w:instrText>Red</w:instrText>
      </w:r>
      <w:r w:rsidRPr="00B91EAF">
        <w:rPr>
          <w:lang w:val="el-GR"/>
        </w:rPr>
        <w:instrText>-</w:instrText>
      </w:r>
      <w:r>
        <w:instrText>List</w:instrText>
      </w:r>
      <w:r w:rsidRPr="00B91EAF">
        <w:rPr>
          <w:lang w:val="el-GR"/>
        </w:rPr>
        <w:instrText>-</w:instrText>
      </w:r>
      <w:r>
        <w:instrText>II</w:instrText>
      </w:r>
      <w:r w:rsidRPr="00B91EAF">
        <w:rPr>
          <w:lang w:val="el-GR"/>
        </w:rPr>
        <w:instrText>-</w:instrText>
      </w:r>
      <w:r>
        <w:instrText>species</w:instrText>
      </w:r>
      <w:r w:rsidRPr="00B91EAF">
        <w:rPr>
          <w:lang w:val="el-GR"/>
        </w:rPr>
        <w:instrText>-2025.</w:instrText>
      </w:r>
      <w:r>
        <w:instrText>pdf</w:instrText>
      </w:r>
      <w:r w:rsidRPr="00B91EAF">
        <w:rPr>
          <w:lang w:val="el-GR"/>
        </w:rPr>
        <w:instrText>"</w:instrText>
      </w:r>
      <w:r>
        <w:fldChar w:fldCharType="separate"/>
      </w:r>
      <w:r w:rsidRPr="00E85C71">
        <w:rPr>
          <w:rStyle w:val="Hyperlink"/>
          <w:sz w:val="24"/>
          <w:lang w:val="en-GB"/>
        </w:rPr>
        <w:t>https</w:t>
      </w:r>
      <w:r w:rsidRPr="00267DF0">
        <w:rPr>
          <w:rStyle w:val="Hyperlink"/>
          <w:sz w:val="24"/>
          <w:lang w:val="el-GR"/>
        </w:rPr>
        <w:t>://</w:t>
      </w:r>
      <w:proofErr w:type="spellStart"/>
      <w:r w:rsidRPr="00E85C71">
        <w:rPr>
          <w:rStyle w:val="Hyperlink"/>
          <w:sz w:val="24"/>
          <w:lang w:val="en-GB"/>
        </w:rPr>
        <w:t>helcom</w:t>
      </w:r>
      <w:proofErr w:type="spellEnd"/>
      <w:r w:rsidRPr="00267DF0">
        <w:rPr>
          <w:rStyle w:val="Hyperlink"/>
          <w:sz w:val="24"/>
          <w:lang w:val="el-GR"/>
        </w:rPr>
        <w:t>.</w:t>
      </w:r>
      <w:r w:rsidRPr="00E85C71">
        <w:rPr>
          <w:rStyle w:val="Hyperlink"/>
          <w:sz w:val="24"/>
          <w:lang w:val="en-GB"/>
        </w:rPr>
        <w:t>fi</w:t>
      </w:r>
      <w:r w:rsidRPr="00267DF0">
        <w:rPr>
          <w:rStyle w:val="Hyperlink"/>
          <w:sz w:val="24"/>
          <w:lang w:val="el-GR"/>
        </w:rPr>
        <w:t>/</w:t>
      </w:r>
      <w:proofErr w:type="spellStart"/>
      <w:r w:rsidRPr="00E85C71">
        <w:rPr>
          <w:rStyle w:val="Hyperlink"/>
          <w:sz w:val="24"/>
          <w:lang w:val="en-GB"/>
        </w:rPr>
        <w:t>wp</w:t>
      </w:r>
      <w:proofErr w:type="spellEnd"/>
      <w:r w:rsidRPr="00267DF0">
        <w:rPr>
          <w:rStyle w:val="Hyperlink"/>
          <w:sz w:val="24"/>
          <w:lang w:val="el-GR"/>
        </w:rPr>
        <w:t>-</w:t>
      </w:r>
      <w:r w:rsidRPr="00E85C71">
        <w:rPr>
          <w:rStyle w:val="Hyperlink"/>
          <w:sz w:val="24"/>
          <w:lang w:val="en-GB"/>
        </w:rPr>
        <w:t>content</w:t>
      </w:r>
      <w:r w:rsidRPr="00267DF0">
        <w:rPr>
          <w:rStyle w:val="Hyperlink"/>
          <w:sz w:val="24"/>
          <w:lang w:val="el-GR"/>
        </w:rPr>
        <w:t>/</w:t>
      </w:r>
      <w:r w:rsidRPr="00E85C71">
        <w:rPr>
          <w:rStyle w:val="Hyperlink"/>
          <w:sz w:val="24"/>
          <w:lang w:val="en-GB"/>
        </w:rPr>
        <w:t>uploads</w:t>
      </w:r>
      <w:r w:rsidRPr="00267DF0">
        <w:rPr>
          <w:rStyle w:val="Hyperlink"/>
          <w:sz w:val="24"/>
          <w:lang w:val="el-GR"/>
        </w:rPr>
        <w:t>/2025/06/</w:t>
      </w:r>
      <w:r w:rsidRPr="00E85C71">
        <w:rPr>
          <w:rStyle w:val="Hyperlink"/>
          <w:sz w:val="24"/>
          <w:lang w:val="en-GB"/>
        </w:rPr>
        <w:t>Red</w:t>
      </w:r>
      <w:r w:rsidRPr="00267DF0">
        <w:rPr>
          <w:rStyle w:val="Hyperlink"/>
          <w:sz w:val="24"/>
          <w:lang w:val="el-GR"/>
        </w:rPr>
        <w:t>-</w:t>
      </w:r>
      <w:r w:rsidRPr="00E85C71">
        <w:rPr>
          <w:rStyle w:val="Hyperlink"/>
          <w:sz w:val="24"/>
          <w:lang w:val="en-GB"/>
        </w:rPr>
        <w:t>List</w:t>
      </w:r>
      <w:r w:rsidRPr="00267DF0">
        <w:rPr>
          <w:rStyle w:val="Hyperlink"/>
          <w:sz w:val="24"/>
          <w:lang w:val="el-GR"/>
        </w:rPr>
        <w:t>-</w:t>
      </w:r>
      <w:r w:rsidRPr="00E85C71">
        <w:rPr>
          <w:rStyle w:val="Hyperlink"/>
          <w:sz w:val="24"/>
          <w:lang w:val="en-GB"/>
        </w:rPr>
        <w:t>II</w:t>
      </w:r>
      <w:r w:rsidRPr="00267DF0">
        <w:rPr>
          <w:rStyle w:val="Hyperlink"/>
          <w:sz w:val="24"/>
          <w:lang w:val="el-GR"/>
        </w:rPr>
        <w:t>-</w:t>
      </w:r>
      <w:r w:rsidRPr="00E85C71">
        <w:rPr>
          <w:rStyle w:val="Hyperlink"/>
          <w:sz w:val="24"/>
          <w:lang w:val="en-GB"/>
        </w:rPr>
        <w:t>species</w:t>
      </w:r>
      <w:r w:rsidRPr="00267DF0">
        <w:rPr>
          <w:rStyle w:val="Hyperlink"/>
          <w:sz w:val="24"/>
          <w:lang w:val="el-GR"/>
        </w:rPr>
        <w:t>-2025.</w:t>
      </w:r>
      <w:r w:rsidRPr="00E85C71">
        <w:rPr>
          <w:rStyle w:val="Hyperlink"/>
          <w:sz w:val="24"/>
          <w:lang w:val="en-GB"/>
        </w:rPr>
        <w:t>pdf</w:t>
      </w:r>
      <w:r>
        <w:fldChar w:fldCharType="end"/>
      </w:r>
      <w:r w:rsidRPr="00267DF0">
        <w:rPr>
          <w:sz w:val="24"/>
          <w:lang w:val="el-GR"/>
        </w:rPr>
        <w:t>.</w:t>
      </w:r>
    </w:p>
  </w:footnote>
  <w:footnote w:id="19">
    <w:p w14:paraId="581FA9EC" w14:textId="6CB0E7CB"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Pr="000842DB">
        <w:rPr>
          <w:sz w:val="24"/>
          <w:lang w:val="el-GR"/>
        </w:rPr>
        <w:t>ΕΕ C 241 της 29.8.1994, σ. 9.</w:t>
      </w:r>
    </w:p>
  </w:footnote>
  <w:footnote w:id="20">
    <w:p w14:paraId="51C6AC4F" w14:textId="35DF1EE3"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fldChar w:fldCharType="begin"/>
      </w:r>
      <w:r>
        <w:instrText>HYPERLINK</w:instrText>
      </w:r>
      <w:r w:rsidRPr="00B91EAF">
        <w:rPr>
          <w:lang w:val="el-GR"/>
        </w:rPr>
        <w:instrText xml:space="preserve"> "</w:instrText>
      </w:r>
      <w:r>
        <w:instrText>https</w:instrText>
      </w:r>
      <w:r w:rsidRPr="00B91EAF">
        <w:rPr>
          <w:lang w:val="el-GR"/>
        </w:rPr>
        <w:instrText>://</w:instrText>
      </w:r>
      <w:r>
        <w:instrText>commission</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document</w:instrText>
      </w:r>
      <w:r w:rsidRPr="00B91EAF">
        <w:rPr>
          <w:lang w:val="el-GR"/>
        </w:rPr>
        <w:instrText>/</w:instrText>
      </w:r>
      <w:r>
        <w:instrText>download</w:instrText>
      </w:r>
      <w:r w:rsidRPr="00B91EAF">
        <w:rPr>
          <w:lang w:val="el-GR"/>
        </w:rPr>
        <w:instrText>/486161</w:instrText>
      </w:r>
      <w:r>
        <w:instrText>f</w:instrText>
      </w:r>
      <w:r w:rsidRPr="00B91EAF">
        <w:rPr>
          <w:lang w:val="el-GR"/>
        </w:rPr>
        <w:instrText>4-241</w:instrText>
      </w:r>
      <w:r>
        <w:instrText>f</w:instrText>
      </w:r>
      <w:r w:rsidRPr="00B91EAF">
        <w:rPr>
          <w:lang w:val="el-GR"/>
        </w:rPr>
        <w:instrText>-4388-</w:instrText>
      </w:r>
      <w:r>
        <w:instrText>b</w:instrText>
      </w:r>
      <w:r w:rsidRPr="00B91EAF">
        <w:rPr>
          <w:lang w:val="el-GR"/>
        </w:rPr>
        <w:instrText>10</w:instrText>
      </w:r>
      <w:r>
        <w:instrText>e</w:instrText>
      </w:r>
      <w:r w:rsidRPr="00B91EAF">
        <w:rPr>
          <w:lang w:val="el-GR"/>
        </w:rPr>
        <w:instrText>-22</w:instrText>
      </w:r>
      <w:r>
        <w:instrText>f</w:instrText>
      </w:r>
      <w:r w:rsidRPr="00B91EAF">
        <w:rPr>
          <w:lang w:val="el-GR"/>
        </w:rPr>
        <w:instrText>4711</w:instrText>
      </w:r>
      <w:r>
        <w:instrText>acd</w:instrText>
      </w:r>
      <w:r w:rsidRPr="00B91EAF">
        <w:rPr>
          <w:lang w:val="el-GR"/>
        </w:rPr>
        <w:instrText>16_</w:instrText>
      </w:r>
      <w:r>
        <w:instrText>en</w:instrText>
      </w:r>
      <w:r w:rsidRPr="00B91EAF">
        <w:rPr>
          <w:lang w:val="el-GR"/>
        </w:rPr>
        <w:instrText>?</w:instrText>
      </w:r>
      <w:r>
        <w:instrText>filename</w:instrText>
      </w:r>
      <w:r w:rsidRPr="00B91EAF">
        <w:rPr>
          <w:lang w:val="el-GR"/>
        </w:rPr>
        <w:instrText>=</w:instrText>
      </w:r>
      <w:r>
        <w:instrText>ministerial</w:instrText>
      </w:r>
      <w:r w:rsidRPr="00B91EAF">
        <w:rPr>
          <w:lang w:val="el-GR"/>
        </w:rPr>
        <w:instrText>_</w:instrText>
      </w:r>
      <w:r>
        <w:instrText>declaration</w:instrText>
      </w:r>
      <w:r w:rsidRPr="00B91EAF">
        <w:rPr>
          <w:lang w:val="el-GR"/>
        </w:rPr>
        <w:instrText>_</w:instrText>
      </w:r>
      <w:r>
        <w:instrText>our</w:instrText>
      </w:r>
      <w:r w:rsidRPr="00B91EAF">
        <w:rPr>
          <w:lang w:val="el-GR"/>
        </w:rPr>
        <w:instrText>_</w:instrText>
      </w:r>
      <w:r>
        <w:instrText>baltic</w:instrText>
      </w:r>
      <w:r w:rsidRPr="00B91EAF">
        <w:rPr>
          <w:lang w:val="el-GR"/>
        </w:rPr>
        <w:instrText>_</w:instrText>
      </w:r>
      <w:r>
        <w:instrText>conference</w:instrText>
      </w:r>
      <w:r w:rsidRPr="00B91EAF">
        <w:rPr>
          <w:lang w:val="el-GR"/>
        </w:rPr>
        <w:instrText>.</w:instrText>
      </w:r>
      <w:r>
        <w:instrText>pdf</w:instrText>
      </w:r>
      <w:r w:rsidRPr="00B91EAF">
        <w:rPr>
          <w:lang w:val="el-GR"/>
        </w:rPr>
        <w:instrText>"</w:instrText>
      </w:r>
      <w:r>
        <w:fldChar w:fldCharType="separate"/>
      </w:r>
      <w:r w:rsidRPr="000842DB">
        <w:rPr>
          <w:rStyle w:val="Hyperlink"/>
          <w:sz w:val="24"/>
          <w:lang w:val="el-GR"/>
        </w:rPr>
        <w:t>https://commission.europa.eu/document/download/486161f4-241f-4388-b10e-22f4711acd16_en?filename=ministerial_declaration_our_baltic_conference.pdf</w:t>
      </w:r>
      <w:r>
        <w:fldChar w:fldCharType="end"/>
      </w:r>
      <w:r w:rsidRPr="000842DB">
        <w:rPr>
          <w:sz w:val="24"/>
          <w:lang w:val="el-GR"/>
        </w:rPr>
        <w:t>.</w:t>
      </w:r>
    </w:p>
  </w:footnote>
  <w:footnote w:id="21">
    <w:p w14:paraId="4DCD29EA" w14:textId="538802A0"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fldChar w:fldCharType="begin"/>
      </w:r>
      <w:r>
        <w:instrText>HYPERLINK</w:instrText>
      </w:r>
      <w:r w:rsidRPr="00B91EAF">
        <w:rPr>
          <w:lang w:val="el-GR"/>
        </w:rPr>
        <w:instrText xml:space="preserve"> "</w:instrText>
      </w:r>
      <w:r>
        <w:instrText>https</w:instrText>
      </w:r>
      <w:r w:rsidRPr="00B91EAF">
        <w:rPr>
          <w:lang w:val="el-GR"/>
        </w:rPr>
        <w:instrText>://</w:instrText>
      </w:r>
      <w:r>
        <w:instrText>ec</w:instrText>
      </w:r>
      <w:r w:rsidRPr="00B91EAF">
        <w:rPr>
          <w:lang w:val="el-GR"/>
        </w:rPr>
        <w:instrText>.</w:instrText>
      </w:r>
      <w:r>
        <w:instrText>europa</w:instrText>
      </w:r>
      <w:r w:rsidRPr="00B91EAF">
        <w:rPr>
          <w:lang w:val="el-GR"/>
        </w:rPr>
        <w:instrText>.</w:instrText>
      </w:r>
      <w:r>
        <w:instrText>eu</w:instrText>
      </w:r>
      <w:r w:rsidRPr="00B91EAF">
        <w:rPr>
          <w:lang w:val="el-GR"/>
        </w:rPr>
        <w:instrText>/</w:instrText>
      </w:r>
      <w:r>
        <w:instrText>info</w:instrText>
      </w:r>
      <w:r w:rsidRPr="00B91EAF">
        <w:rPr>
          <w:lang w:val="el-GR"/>
        </w:rPr>
        <w:instrText>/</w:instrText>
      </w:r>
      <w:r>
        <w:instrText>law</w:instrText>
      </w:r>
      <w:r w:rsidRPr="00B91EAF">
        <w:rPr>
          <w:lang w:val="el-GR"/>
        </w:rPr>
        <w:instrText>/</w:instrText>
      </w:r>
      <w:r>
        <w:instrText>better</w:instrText>
      </w:r>
      <w:r w:rsidRPr="00B91EAF">
        <w:rPr>
          <w:lang w:val="el-GR"/>
        </w:rPr>
        <w:instrText>-</w:instrText>
      </w:r>
      <w:r>
        <w:instrText>regulation</w:instrText>
      </w:r>
      <w:r w:rsidRPr="00B91EAF">
        <w:rPr>
          <w:lang w:val="el-GR"/>
        </w:rPr>
        <w:instrText>/</w:instrText>
      </w:r>
      <w:r>
        <w:instrText>have</w:instrText>
      </w:r>
      <w:r w:rsidRPr="00B91EAF">
        <w:rPr>
          <w:lang w:val="el-GR"/>
        </w:rPr>
        <w:instrText>-</w:instrText>
      </w:r>
      <w:r>
        <w:instrText>your</w:instrText>
      </w:r>
      <w:r w:rsidRPr="00B91EAF">
        <w:rPr>
          <w:lang w:val="el-GR"/>
        </w:rPr>
        <w:instrText>-</w:instrText>
      </w:r>
      <w:r>
        <w:instrText>say</w:instrText>
      </w:r>
      <w:r w:rsidRPr="00B91EAF">
        <w:rPr>
          <w:lang w:val="el-GR"/>
        </w:rPr>
        <w:instrText>/</w:instrText>
      </w:r>
      <w:r>
        <w:instrText>initiatives</w:instrText>
      </w:r>
      <w:r w:rsidRPr="00B91EAF">
        <w:rPr>
          <w:lang w:val="el-GR"/>
        </w:rPr>
        <w:instrText>/14031-</w:instrText>
      </w:r>
      <w:r>
        <w:instrText>Trade</w:instrText>
      </w:r>
      <w:r w:rsidRPr="00B91EAF">
        <w:rPr>
          <w:lang w:val="el-GR"/>
        </w:rPr>
        <w:instrText>-</w:instrText>
      </w:r>
      <w:r>
        <w:instrText>in</w:instrText>
      </w:r>
      <w:r w:rsidRPr="00B91EAF">
        <w:rPr>
          <w:lang w:val="el-GR"/>
        </w:rPr>
        <w:instrText>-</w:instrText>
      </w:r>
      <w:r>
        <w:instrText>seal</w:instrText>
      </w:r>
      <w:r w:rsidRPr="00B91EAF">
        <w:rPr>
          <w:lang w:val="el-GR"/>
        </w:rPr>
        <w:instrText>-</w:instrText>
      </w:r>
      <w:r>
        <w:instrText>products</w:instrText>
      </w:r>
      <w:r w:rsidRPr="00B91EAF">
        <w:rPr>
          <w:lang w:val="el-GR"/>
        </w:rPr>
        <w:instrText>-</w:instrText>
      </w:r>
      <w:r>
        <w:instrText>fitness</w:instrText>
      </w:r>
      <w:r w:rsidRPr="00B91EAF">
        <w:rPr>
          <w:lang w:val="el-GR"/>
        </w:rPr>
        <w:instrText>-</w:instrText>
      </w:r>
      <w:r>
        <w:instrText>check</w:instrText>
      </w:r>
      <w:r w:rsidRPr="00B91EAF">
        <w:rPr>
          <w:lang w:val="el-GR"/>
        </w:rPr>
        <w:instrText>-</w:instrText>
      </w:r>
      <w:r>
        <w:instrText>of</w:instrText>
      </w:r>
      <w:r w:rsidRPr="00B91EAF">
        <w:rPr>
          <w:lang w:val="el-GR"/>
        </w:rPr>
        <w:instrText>-</w:instrText>
      </w:r>
      <w:r>
        <w:instrText>EU</w:instrText>
      </w:r>
      <w:r w:rsidRPr="00B91EAF">
        <w:rPr>
          <w:lang w:val="el-GR"/>
        </w:rPr>
        <w:instrText>-</w:instrText>
      </w:r>
      <w:r>
        <w:instrText>rules</w:instrText>
      </w:r>
      <w:r w:rsidRPr="00B91EAF">
        <w:rPr>
          <w:lang w:val="el-GR"/>
        </w:rPr>
        <w:instrText>/</w:instrText>
      </w:r>
      <w:r>
        <w:instrText>public</w:instrText>
      </w:r>
      <w:r w:rsidRPr="00B91EAF">
        <w:rPr>
          <w:lang w:val="el-GR"/>
        </w:rPr>
        <w:instrText>-</w:instrText>
      </w:r>
      <w:r>
        <w:instrText>consultation</w:instrText>
      </w:r>
      <w:r w:rsidRPr="00B91EAF">
        <w:rPr>
          <w:lang w:val="el-GR"/>
        </w:rPr>
        <w:instrText>_</w:instrText>
      </w:r>
      <w:r>
        <w:instrText>el</w:instrText>
      </w:r>
      <w:r w:rsidRPr="00B91EAF">
        <w:rPr>
          <w:lang w:val="el-GR"/>
        </w:rPr>
        <w:instrText>"</w:instrText>
      </w:r>
      <w:r>
        <w:fldChar w:fldCharType="separate"/>
      </w:r>
      <w:r w:rsidRPr="000842DB">
        <w:rPr>
          <w:rStyle w:val="Hyperlink"/>
          <w:sz w:val="24"/>
          <w:lang w:val="el-GR"/>
        </w:rPr>
        <w:t>https://ec.europa.eu/info/law/better-regulation/have-your-say/initiatives/14031-Trade-in-seal-products-fitness-check-of-EU-rules/public-consultation_el</w:t>
      </w:r>
      <w:r>
        <w:fldChar w:fldCharType="end"/>
      </w:r>
      <w:r w:rsidRPr="000842DB">
        <w:rPr>
          <w:sz w:val="24"/>
          <w:lang w:val="el-GR"/>
        </w:rPr>
        <w:t>.</w:t>
      </w:r>
    </w:p>
  </w:footnote>
  <w:footnote w:id="22">
    <w:p w14:paraId="52CDE055" w14:textId="5D9C0FF9"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rsidR="00715E7A">
        <w:fldChar w:fldCharType="begin"/>
      </w:r>
      <w:r w:rsidR="00715E7A">
        <w:instrText>HYPERLINK</w:instrText>
      </w:r>
      <w:r w:rsidR="00715E7A" w:rsidRPr="00B91EAF">
        <w:rPr>
          <w:lang w:val="el-GR"/>
        </w:rPr>
        <w:instrText xml:space="preserve"> "</w:instrText>
      </w:r>
      <w:r w:rsidR="00715E7A">
        <w:instrText>https</w:instrText>
      </w:r>
      <w:r w:rsidR="00715E7A" w:rsidRPr="00B91EAF">
        <w:rPr>
          <w:lang w:val="el-GR"/>
        </w:rPr>
        <w:instrText>://</w:instrText>
      </w:r>
      <w:r w:rsidR="00715E7A">
        <w:instrText>www</w:instrText>
      </w:r>
      <w:r w:rsidR="00715E7A" w:rsidRPr="00B91EAF">
        <w:rPr>
          <w:lang w:val="el-GR"/>
        </w:rPr>
        <w:instrText>.</w:instrText>
      </w:r>
      <w:r w:rsidR="00715E7A">
        <w:instrText>fao</w:instrText>
      </w:r>
      <w:r w:rsidR="00715E7A" w:rsidRPr="00B91EAF">
        <w:rPr>
          <w:lang w:val="el-GR"/>
        </w:rPr>
        <w:instrText>.</w:instrText>
      </w:r>
      <w:r w:rsidR="00715E7A">
        <w:instrText>org</w:instrText>
      </w:r>
      <w:r w:rsidR="00715E7A" w:rsidRPr="00B91EAF">
        <w:rPr>
          <w:lang w:val="el-GR"/>
        </w:rPr>
        <w:instrText>/</w:instrText>
      </w:r>
      <w:r w:rsidR="00715E7A">
        <w:instrText>fishery</w:instrText>
      </w:r>
      <w:r w:rsidR="00715E7A" w:rsidRPr="00B91EAF">
        <w:rPr>
          <w:lang w:val="el-GR"/>
        </w:rPr>
        <w:instrText>/</w:instrText>
      </w:r>
      <w:r w:rsidR="00715E7A">
        <w:instrText>services</w:instrText>
      </w:r>
      <w:r w:rsidR="00715E7A" w:rsidRPr="00B91EAF">
        <w:rPr>
          <w:lang w:val="el-GR"/>
        </w:rPr>
        <w:instrText>/</w:instrText>
      </w:r>
      <w:r w:rsidR="00715E7A">
        <w:instrText>storage</w:instrText>
      </w:r>
      <w:r w:rsidR="00715E7A" w:rsidRPr="00B91EAF">
        <w:rPr>
          <w:lang w:val="el-GR"/>
        </w:rPr>
        <w:instrText>/</w:instrText>
      </w:r>
      <w:r w:rsidR="00715E7A">
        <w:instrText>fs</w:instrText>
      </w:r>
      <w:r w:rsidR="00715E7A" w:rsidRPr="00B91EAF">
        <w:rPr>
          <w:lang w:val="el-GR"/>
        </w:rPr>
        <w:instrText>/</w:instrText>
      </w:r>
      <w:r w:rsidR="00715E7A">
        <w:instrText>fishery</w:instrText>
      </w:r>
      <w:r w:rsidR="00715E7A" w:rsidRPr="00B91EAF">
        <w:rPr>
          <w:lang w:val="el-GR"/>
        </w:rPr>
        <w:instrText>/</w:instrText>
      </w:r>
      <w:r w:rsidR="00715E7A">
        <w:instrText>documents</w:instrText>
      </w:r>
      <w:r w:rsidR="00715E7A" w:rsidRPr="00B91EAF">
        <w:rPr>
          <w:lang w:val="el-GR"/>
        </w:rPr>
        <w:instrText>/</w:instrText>
      </w:r>
      <w:r w:rsidR="00715E7A">
        <w:instrText>EIFAAC</w:instrText>
      </w:r>
      <w:r w:rsidR="00715E7A" w:rsidRPr="00B91EAF">
        <w:rPr>
          <w:lang w:val="el-GR"/>
        </w:rPr>
        <w:instrText>/</w:instrText>
      </w:r>
      <w:r w:rsidR="00715E7A">
        <w:instrText>cormorantsplan</w:instrText>
      </w:r>
      <w:r w:rsidR="00715E7A" w:rsidRPr="00B91EAF">
        <w:rPr>
          <w:lang w:val="el-GR"/>
        </w:rPr>
        <w:instrText>/</w:instrText>
      </w:r>
      <w:r w:rsidR="00715E7A">
        <w:instrText>EuropeanManagementPlanforCormorants</w:instrText>
      </w:r>
      <w:r w:rsidR="00715E7A" w:rsidRPr="00B91EAF">
        <w:rPr>
          <w:lang w:val="el-GR"/>
        </w:rPr>
        <w:instrText>-</w:instrText>
      </w:r>
      <w:r w:rsidR="00715E7A">
        <w:instrText>April</w:instrText>
      </w:r>
      <w:r w:rsidR="00715E7A" w:rsidRPr="00B91EAF">
        <w:rPr>
          <w:lang w:val="el-GR"/>
        </w:rPr>
        <w:instrText>2025.</w:instrText>
      </w:r>
      <w:r w:rsidR="00715E7A">
        <w:instrText>pdf</w:instrText>
      </w:r>
      <w:r w:rsidR="00715E7A" w:rsidRPr="00B91EAF">
        <w:rPr>
          <w:lang w:val="el-GR"/>
        </w:rPr>
        <w:instrText>"</w:instrText>
      </w:r>
      <w:r w:rsidR="00715E7A">
        <w:fldChar w:fldCharType="separate"/>
      </w:r>
      <w:r w:rsidR="00715E7A" w:rsidRPr="00D83021">
        <w:rPr>
          <w:rStyle w:val="Hyperlink"/>
          <w:sz w:val="24"/>
          <w:lang w:val="el-GR"/>
        </w:rPr>
        <w:t>https://www.fao.org/fishery/services/storage/fs/fishery/documents/EIFAAC/</w:t>
      </w:r>
      <w:r w:rsidR="00715E7A" w:rsidRPr="00715E7A">
        <w:rPr>
          <w:rStyle w:val="Hyperlink"/>
          <w:sz w:val="24"/>
          <w:lang w:val="el-GR"/>
        </w:rPr>
        <w:br/>
      </w:r>
      <w:r w:rsidR="00715E7A" w:rsidRPr="00D83021">
        <w:rPr>
          <w:rStyle w:val="Hyperlink"/>
          <w:sz w:val="24"/>
          <w:lang w:val="el-GR"/>
        </w:rPr>
        <w:t>cormorantsplan/EuropeanManagementPlanforCormorants-April2025.pdf</w:t>
      </w:r>
      <w:r w:rsidR="00715E7A">
        <w:fldChar w:fldCharType="end"/>
      </w:r>
      <w:r w:rsidRPr="000842DB">
        <w:rPr>
          <w:sz w:val="24"/>
          <w:lang w:val="el-GR"/>
        </w:rPr>
        <w:t>.</w:t>
      </w:r>
    </w:p>
  </w:footnote>
  <w:footnote w:id="23">
    <w:p w14:paraId="3F23ED0D" w14:textId="16E2530B" w:rsidR="00992C22" w:rsidRPr="000842DB" w:rsidRDefault="00992C22" w:rsidP="00D93445">
      <w:pPr>
        <w:pStyle w:val="FootnoteText"/>
        <w:spacing w:line="240" w:lineRule="auto"/>
        <w:ind w:left="567" w:hanging="567"/>
        <w:rPr>
          <w:sz w:val="24"/>
          <w:lang w:val="el-GR"/>
        </w:rPr>
      </w:pPr>
      <w:r w:rsidRPr="000842DB">
        <w:rPr>
          <w:rStyle w:val="FootnoteReference"/>
          <w:sz w:val="24"/>
          <w:lang w:val="el-GR"/>
        </w:rPr>
        <w:footnoteRef/>
      </w:r>
      <w:r w:rsidR="000842DB" w:rsidRPr="000842DB">
        <w:rPr>
          <w:sz w:val="24"/>
          <w:lang w:val="el-GR"/>
        </w:rPr>
        <w:t xml:space="preserve"> </w:t>
      </w:r>
      <w:r w:rsidR="000842DB" w:rsidRPr="000842DB">
        <w:rPr>
          <w:sz w:val="24"/>
          <w:lang w:val="el-GR"/>
        </w:rPr>
        <w:tab/>
      </w:r>
      <w:r>
        <w:fldChar w:fldCharType="begin"/>
      </w:r>
      <w:r>
        <w:instrText>HYPERLINK</w:instrText>
      </w:r>
      <w:r w:rsidRPr="00B91EAF">
        <w:rPr>
          <w:lang w:val="el-GR"/>
        </w:rPr>
        <w:instrText xml:space="preserve"> "</w:instrText>
      </w:r>
      <w:r>
        <w:instrText>https</w:instrText>
      </w:r>
      <w:r w:rsidRPr="00B91EAF">
        <w:rPr>
          <w:lang w:val="el-GR"/>
        </w:rPr>
        <w:instrText>://</w:instrText>
      </w:r>
      <w:r>
        <w:instrText>www</w:instrText>
      </w:r>
      <w:r w:rsidRPr="00B91EAF">
        <w:rPr>
          <w:lang w:val="el-GR"/>
        </w:rPr>
        <w:instrText>.</w:instrText>
      </w:r>
      <w:r>
        <w:instrText>ceh</w:instrText>
      </w:r>
      <w:r w:rsidRPr="00B91EAF">
        <w:rPr>
          <w:lang w:val="el-GR"/>
        </w:rPr>
        <w:instrText>.</w:instrText>
      </w:r>
      <w:r>
        <w:instrText>ac</w:instrText>
      </w:r>
      <w:r w:rsidRPr="00B91EAF">
        <w:rPr>
          <w:lang w:val="el-GR"/>
        </w:rPr>
        <w:instrText>.</w:instrText>
      </w:r>
      <w:r>
        <w:instrText>uk</w:instrText>
      </w:r>
      <w:r w:rsidRPr="00B91EAF">
        <w:rPr>
          <w:lang w:val="el-GR"/>
        </w:rPr>
        <w:instrText>/</w:instrText>
      </w:r>
      <w:r>
        <w:instrText>our</w:instrText>
      </w:r>
      <w:r w:rsidRPr="00B91EAF">
        <w:rPr>
          <w:lang w:val="el-GR"/>
        </w:rPr>
        <w:instrText>-</w:instrText>
      </w:r>
      <w:r>
        <w:instrText>science</w:instrText>
      </w:r>
      <w:r w:rsidRPr="00B91EAF">
        <w:rPr>
          <w:lang w:val="el-GR"/>
        </w:rPr>
        <w:instrText>/</w:instrText>
      </w:r>
      <w:r>
        <w:instrText>projects</w:instrText>
      </w:r>
      <w:r w:rsidRPr="00B91EAF">
        <w:rPr>
          <w:lang w:val="el-GR"/>
        </w:rPr>
        <w:instrText>/</w:instrText>
      </w:r>
      <w:r>
        <w:instrText>intercafe</w:instrText>
      </w:r>
      <w:r w:rsidRPr="00B91EAF">
        <w:rPr>
          <w:lang w:val="el-GR"/>
        </w:rPr>
        <w:instrText>"</w:instrText>
      </w:r>
      <w:r>
        <w:fldChar w:fldCharType="separate"/>
      </w:r>
      <w:r w:rsidRPr="000842DB">
        <w:rPr>
          <w:rStyle w:val="Hyperlink"/>
          <w:sz w:val="24"/>
          <w:lang w:val="el-GR"/>
        </w:rPr>
        <w:t>https://www.ceh.ac.uk/our-science/projects/intercafe</w:t>
      </w:r>
      <w:r>
        <w:fldChar w:fldCharType="end"/>
      </w:r>
      <w:r w:rsidRPr="000842DB">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CA9DC" w14:textId="77777777" w:rsidR="00064002" w:rsidRPr="000842D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ADE6C" w14:textId="77777777" w:rsidR="00064002" w:rsidRPr="000842D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4CEB0" w14:textId="77777777" w:rsidR="00064002" w:rsidRPr="000842D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D80F1C"/>
    <w:multiLevelType w:val="hybridMultilevel"/>
    <w:tmpl w:val="8A00B6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8F37BC"/>
    <w:multiLevelType w:val="hybridMultilevel"/>
    <w:tmpl w:val="EF6A5046"/>
    <w:lvl w:ilvl="0" w:tplc="7B363E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5952F8"/>
    <w:multiLevelType w:val="hybridMultilevel"/>
    <w:tmpl w:val="6FBE339A"/>
    <w:lvl w:ilvl="0" w:tplc="7B363EA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8235548">
    <w:abstractNumId w:val="9"/>
  </w:num>
  <w:num w:numId="2" w16cid:durableId="1051612122">
    <w:abstractNumId w:val="9"/>
  </w:num>
  <w:num w:numId="3" w16cid:durableId="1322468234">
    <w:abstractNumId w:val="7"/>
  </w:num>
  <w:num w:numId="4" w16cid:durableId="1426220542">
    <w:abstractNumId w:val="7"/>
  </w:num>
  <w:num w:numId="5" w16cid:durableId="247928976">
    <w:abstractNumId w:val="6"/>
  </w:num>
  <w:num w:numId="6" w16cid:durableId="2081975894">
    <w:abstractNumId w:val="6"/>
  </w:num>
  <w:num w:numId="7" w16cid:durableId="1996567124">
    <w:abstractNumId w:val="5"/>
  </w:num>
  <w:num w:numId="8" w16cid:durableId="402334898">
    <w:abstractNumId w:val="5"/>
  </w:num>
  <w:num w:numId="9" w16cid:durableId="801195495">
    <w:abstractNumId w:val="4"/>
  </w:num>
  <w:num w:numId="10" w16cid:durableId="742720508">
    <w:abstractNumId w:val="4"/>
  </w:num>
  <w:num w:numId="11" w16cid:durableId="1825853019">
    <w:abstractNumId w:val="8"/>
  </w:num>
  <w:num w:numId="12" w16cid:durableId="1438989619">
    <w:abstractNumId w:val="8"/>
  </w:num>
  <w:num w:numId="13" w16cid:durableId="2098015476">
    <w:abstractNumId w:val="3"/>
  </w:num>
  <w:num w:numId="14" w16cid:durableId="1512798410">
    <w:abstractNumId w:val="3"/>
  </w:num>
  <w:num w:numId="15" w16cid:durableId="771510918">
    <w:abstractNumId w:val="2"/>
  </w:num>
  <w:num w:numId="16" w16cid:durableId="892666513">
    <w:abstractNumId w:val="2"/>
  </w:num>
  <w:num w:numId="17" w16cid:durableId="2012634215">
    <w:abstractNumId w:val="1"/>
  </w:num>
  <w:num w:numId="18" w16cid:durableId="1046832223">
    <w:abstractNumId w:val="1"/>
  </w:num>
  <w:num w:numId="19" w16cid:durableId="1508443477">
    <w:abstractNumId w:val="0"/>
  </w:num>
  <w:num w:numId="20" w16cid:durableId="2062629757">
    <w:abstractNumId w:val="0"/>
  </w:num>
  <w:num w:numId="21" w16cid:durableId="2133593576">
    <w:abstractNumId w:val="9"/>
  </w:num>
  <w:num w:numId="22" w16cid:durableId="1167480647">
    <w:abstractNumId w:val="7"/>
  </w:num>
  <w:num w:numId="23" w16cid:durableId="1065837561">
    <w:abstractNumId w:val="6"/>
  </w:num>
  <w:num w:numId="24" w16cid:durableId="1075277340">
    <w:abstractNumId w:val="5"/>
  </w:num>
  <w:num w:numId="25" w16cid:durableId="1889101946">
    <w:abstractNumId w:val="4"/>
  </w:num>
  <w:num w:numId="26" w16cid:durableId="1549799208">
    <w:abstractNumId w:val="8"/>
  </w:num>
  <w:num w:numId="27" w16cid:durableId="1068839629">
    <w:abstractNumId w:val="3"/>
  </w:num>
  <w:num w:numId="28" w16cid:durableId="665940350">
    <w:abstractNumId w:val="2"/>
  </w:num>
  <w:num w:numId="29" w16cid:durableId="1434209716">
    <w:abstractNumId w:val="1"/>
  </w:num>
  <w:num w:numId="30" w16cid:durableId="1696271710">
    <w:abstractNumId w:val="0"/>
  </w:num>
  <w:num w:numId="31" w16cid:durableId="1223755444">
    <w:abstractNumId w:val="9"/>
  </w:num>
  <w:num w:numId="32" w16cid:durableId="253056573">
    <w:abstractNumId w:val="7"/>
  </w:num>
  <w:num w:numId="33" w16cid:durableId="86536893">
    <w:abstractNumId w:val="6"/>
  </w:num>
  <w:num w:numId="34" w16cid:durableId="1306397207">
    <w:abstractNumId w:val="5"/>
  </w:num>
  <w:num w:numId="35" w16cid:durableId="1012072498">
    <w:abstractNumId w:val="4"/>
  </w:num>
  <w:num w:numId="36" w16cid:durableId="1380859654">
    <w:abstractNumId w:val="8"/>
  </w:num>
  <w:num w:numId="37" w16cid:durableId="186213239">
    <w:abstractNumId w:val="3"/>
  </w:num>
  <w:num w:numId="38" w16cid:durableId="1117026693">
    <w:abstractNumId w:val="2"/>
  </w:num>
  <w:num w:numId="39" w16cid:durableId="808323624">
    <w:abstractNumId w:val="1"/>
  </w:num>
  <w:num w:numId="40" w16cid:durableId="618806564">
    <w:abstractNumId w:val="0"/>
  </w:num>
  <w:num w:numId="41" w16cid:durableId="1925918854">
    <w:abstractNumId w:val="10"/>
  </w:num>
  <w:num w:numId="42" w16cid:durableId="1332374742">
    <w:abstractNumId w:val="10"/>
  </w:num>
  <w:num w:numId="43" w16cid:durableId="1869488480">
    <w:abstractNumId w:val="10"/>
  </w:num>
  <w:num w:numId="44" w16cid:durableId="1307052974">
    <w:abstractNumId w:val="14"/>
  </w:num>
  <w:num w:numId="45" w16cid:durableId="1296525966">
    <w:abstractNumId w:val="11"/>
  </w:num>
  <w:num w:numId="46" w16cid:durableId="596058705">
    <w:abstractNumId w:val="12"/>
  </w:num>
  <w:num w:numId="47" w16cid:durableId="254166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EL"/>
    <w:docVar w:name="dvnumam" w:val="0"/>
    <w:docVar w:name="dvpe" w:val="778.399"/>
    <w:docVar w:name="dvrapporteur" w:val="Εισηγήτρια: "/>
    <w:docVar w:name="dvtitre" w:val="Ψήφισμα του Ευρωπαϊκού Κοινοβουλίου της ... 2026 σχετικά με το πολυετές σχέδιο για τη Βαλτική Θάλασσα και τη μελλοντική πορεία(2024/2127(INI))"/>
  </w:docVars>
  <w:rsids>
    <w:rsidRoot w:val="00EE1029"/>
    <w:rsid w:val="00002272"/>
    <w:rsid w:val="00032A27"/>
    <w:rsid w:val="00064002"/>
    <w:rsid w:val="000677B9"/>
    <w:rsid w:val="000831BA"/>
    <w:rsid w:val="000842DB"/>
    <w:rsid w:val="000A42CC"/>
    <w:rsid w:val="000E7DD9"/>
    <w:rsid w:val="0010095E"/>
    <w:rsid w:val="00125B37"/>
    <w:rsid w:val="00187494"/>
    <w:rsid w:val="001F32AE"/>
    <w:rsid w:val="00267DF0"/>
    <w:rsid w:val="002767FF"/>
    <w:rsid w:val="002B18FE"/>
    <w:rsid w:val="002B5493"/>
    <w:rsid w:val="00343214"/>
    <w:rsid w:val="00361C00"/>
    <w:rsid w:val="00395FA1"/>
    <w:rsid w:val="003E15D4"/>
    <w:rsid w:val="00411CCE"/>
    <w:rsid w:val="0041666E"/>
    <w:rsid w:val="0042097E"/>
    <w:rsid w:val="00421060"/>
    <w:rsid w:val="00471C19"/>
    <w:rsid w:val="004867E3"/>
    <w:rsid w:val="0049219E"/>
    <w:rsid w:val="00494A28"/>
    <w:rsid w:val="004C0004"/>
    <w:rsid w:val="004C5D52"/>
    <w:rsid w:val="0050519A"/>
    <w:rsid w:val="005072A1"/>
    <w:rsid w:val="00514517"/>
    <w:rsid w:val="00545827"/>
    <w:rsid w:val="00560270"/>
    <w:rsid w:val="005C2568"/>
    <w:rsid w:val="005F1B17"/>
    <w:rsid w:val="006037C0"/>
    <w:rsid w:val="006374AD"/>
    <w:rsid w:val="006631B6"/>
    <w:rsid w:val="00680577"/>
    <w:rsid w:val="006B3A4F"/>
    <w:rsid w:val="006F74FA"/>
    <w:rsid w:val="00715E7A"/>
    <w:rsid w:val="00731ADD"/>
    <w:rsid w:val="00734777"/>
    <w:rsid w:val="00747932"/>
    <w:rsid w:val="00751A4A"/>
    <w:rsid w:val="00756632"/>
    <w:rsid w:val="00762C74"/>
    <w:rsid w:val="00786EC0"/>
    <w:rsid w:val="007D1690"/>
    <w:rsid w:val="007D2A27"/>
    <w:rsid w:val="007E22AD"/>
    <w:rsid w:val="00817416"/>
    <w:rsid w:val="00821C91"/>
    <w:rsid w:val="00842779"/>
    <w:rsid w:val="00865F67"/>
    <w:rsid w:val="00881A7B"/>
    <w:rsid w:val="008840E5"/>
    <w:rsid w:val="00887B3E"/>
    <w:rsid w:val="00895D30"/>
    <w:rsid w:val="008C2AC6"/>
    <w:rsid w:val="009307E1"/>
    <w:rsid w:val="00930C23"/>
    <w:rsid w:val="0093193B"/>
    <w:rsid w:val="009509D8"/>
    <w:rsid w:val="00950B64"/>
    <w:rsid w:val="00981893"/>
    <w:rsid w:val="00992C22"/>
    <w:rsid w:val="00A1687D"/>
    <w:rsid w:val="00A40514"/>
    <w:rsid w:val="00A43E52"/>
    <w:rsid w:val="00A4678D"/>
    <w:rsid w:val="00A778C7"/>
    <w:rsid w:val="00AB1338"/>
    <w:rsid w:val="00AB441E"/>
    <w:rsid w:val="00AB6293"/>
    <w:rsid w:val="00AE0928"/>
    <w:rsid w:val="00AF3B82"/>
    <w:rsid w:val="00B12E95"/>
    <w:rsid w:val="00B14730"/>
    <w:rsid w:val="00B22876"/>
    <w:rsid w:val="00B558F0"/>
    <w:rsid w:val="00B91EA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445"/>
    <w:rsid w:val="00DA7FCD"/>
    <w:rsid w:val="00E365E1"/>
    <w:rsid w:val="00E607D9"/>
    <w:rsid w:val="00E820A4"/>
    <w:rsid w:val="00E85C71"/>
    <w:rsid w:val="00EB006A"/>
    <w:rsid w:val="00EB4772"/>
    <w:rsid w:val="00ED169E"/>
    <w:rsid w:val="00ED4235"/>
    <w:rsid w:val="00EE1029"/>
    <w:rsid w:val="00F04346"/>
    <w:rsid w:val="00F075DC"/>
    <w:rsid w:val="00F149E9"/>
    <w:rsid w:val="00F5134D"/>
    <w:rsid w:val="00F74202"/>
    <w:rsid w:val="00F86F0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0DD25"/>
  <w15:chartTrackingRefBased/>
  <w15:docId w15:val="{A441821E-9003-4266-9560-2C83A316F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992C22"/>
    <w:rPr>
      <w:b/>
    </w:rPr>
  </w:style>
  <w:style w:type="paragraph" w:customStyle="1" w:styleId="NormalHanging12a">
    <w:name w:val="NormalHanging12a"/>
    <w:basedOn w:val="Normal"/>
    <w:rsid w:val="00992C22"/>
    <w:pPr>
      <w:spacing w:after="240"/>
      <w:ind w:left="567" w:hanging="567"/>
    </w:pPr>
  </w:style>
  <w:style w:type="paragraph" w:customStyle="1" w:styleId="EPComma">
    <w:name w:val="EPComma"/>
    <w:basedOn w:val="Normal"/>
    <w:rsid w:val="00992C22"/>
    <w:pPr>
      <w:spacing w:before="480" w:after="240"/>
    </w:pPr>
  </w:style>
  <w:style w:type="character" w:styleId="Hyperlink">
    <w:name w:val="Hyperlink"/>
    <w:basedOn w:val="DefaultParagraphFont"/>
    <w:rsid w:val="00992C22"/>
    <w:rPr>
      <w:color w:val="0563C1" w:themeColor="hyperlink"/>
      <w:u w:val="single"/>
    </w:rPr>
  </w:style>
  <w:style w:type="character" w:styleId="UnresolvedMention">
    <w:name w:val="Unresolved Mention"/>
    <w:basedOn w:val="DefaultParagraphFont"/>
    <w:uiPriority w:val="99"/>
    <w:semiHidden/>
    <w:unhideWhenUsed/>
    <w:rsid w:val="00D93445"/>
    <w:rPr>
      <w:color w:val="605E5C"/>
      <w:shd w:val="clear" w:color="auto" w:fill="E1DFDD"/>
    </w:rPr>
  </w:style>
  <w:style w:type="paragraph" w:styleId="Revision">
    <w:name w:val="Revision"/>
    <w:hidden/>
    <w:uiPriority w:val="99"/>
    <w:semiHidden/>
    <w:rsid w:val="00D93445"/>
    <w:rPr>
      <w:sz w:val="24"/>
      <w:lang w:val="el-GR"/>
    </w:rPr>
  </w:style>
  <w:style w:type="character" w:styleId="FollowedHyperlink">
    <w:name w:val="FollowedHyperlink"/>
    <w:basedOn w:val="DefaultParagraphFont"/>
    <w:rsid w:val="00D934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25</Pages>
  <Words>10025</Words>
  <Characters>61874</Characters>
  <Application>Microsoft Office Word</Application>
  <DocSecurity>0</DocSecurity>
  <Lines>515</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TZANIDI Anastasia</cp:lastModifiedBy>
  <cp:revision>2</cp:revision>
  <cp:lastPrinted>2004-11-19T15:42:00Z</cp:lastPrinted>
  <dcterms:created xsi:type="dcterms:W3CDTF">2026-06-29T07:33:00Z</dcterms:created>
  <dcterms:modified xsi:type="dcterms:W3CDTF">2026-06-29T07:33:00Z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A10-0121/2026</vt:lpwstr>
  </property>
  <property fmtid="{D5CDD505-2E9C-101B-9397-08002B2CF9AE}" pid="4" name="&lt;Type&gt;">
    <vt:lpwstr>RR</vt:lpwstr>
  </property>
</Properties>
</file>