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009D" w14:paraId="1BB831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7E04A2" w14:textId="77777777" w:rsidR="00751A4A" w:rsidRPr="0087009D" w:rsidRDefault="00F63577" w:rsidP="0010095E">
            <w:pPr>
              <w:pStyle w:val="EPName"/>
            </w:pPr>
            <w:r w:rsidRPr="0087009D">
              <w:t>Parlamento Europeu</w:t>
            </w:r>
          </w:p>
          <w:p w14:paraId="7384AD44" w14:textId="77777777" w:rsidR="00751A4A" w:rsidRPr="008700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009D">
              <w:t>2024</w:t>
            </w:r>
            <w:r w:rsidR="00817416" w:rsidRPr="0087009D">
              <w:t>-202</w:t>
            </w:r>
            <w:r w:rsidRPr="0087009D">
              <w:t>9</w:t>
            </w:r>
          </w:p>
        </w:tc>
        <w:tc>
          <w:tcPr>
            <w:tcW w:w="2268" w:type="dxa"/>
            <w:shd w:val="clear" w:color="auto" w:fill="auto"/>
          </w:tcPr>
          <w:p w14:paraId="43F7FD2B" w14:textId="77777777" w:rsidR="00751A4A" w:rsidRPr="0087009D" w:rsidRDefault="00187494" w:rsidP="0010095E">
            <w:pPr>
              <w:pStyle w:val="EPLogo"/>
            </w:pPr>
            <w:r w:rsidRPr="0087009D">
              <w:rPr>
                <w:noProof/>
                <w:lang w:eastAsia="ja-JP"/>
              </w:rPr>
              <w:drawing>
                <wp:inline distT="0" distB="0" distL="0" distR="0" wp14:anchorId="3BD54D7E" wp14:editId="010AA2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D2A7E" w14:textId="77777777" w:rsidR="00D058B8" w:rsidRPr="0087009D" w:rsidRDefault="00D058B8" w:rsidP="004C5D52">
      <w:pPr>
        <w:pStyle w:val="LineTop"/>
      </w:pPr>
    </w:p>
    <w:p w14:paraId="3993D48D" w14:textId="77777777" w:rsidR="00680577" w:rsidRPr="0087009D" w:rsidRDefault="00F63577" w:rsidP="00680577">
      <w:pPr>
        <w:pStyle w:val="EPBodyTA1"/>
      </w:pPr>
      <w:r w:rsidRPr="0087009D">
        <w:t>TEXTOS APROVADOS</w:t>
      </w:r>
    </w:p>
    <w:p w14:paraId="774E0893" w14:textId="77777777" w:rsidR="00D058B8" w:rsidRPr="0087009D" w:rsidRDefault="00D058B8" w:rsidP="00D058B8">
      <w:pPr>
        <w:pStyle w:val="LineBottom"/>
      </w:pPr>
    </w:p>
    <w:p w14:paraId="07ABEA10" w14:textId="48F8B6B3" w:rsidR="00F63577" w:rsidRPr="0087009D" w:rsidRDefault="00F63577" w:rsidP="00F63577">
      <w:pPr>
        <w:pStyle w:val="ATHeading1"/>
      </w:pPr>
      <w:bookmarkStart w:id="0" w:name="TANumber"/>
      <w:r w:rsidRPr="0087009D">
        <w:t>P10_TA(2026)</w:t>
      </w:r>
      <w:bookmarkEnd w:id="0"/>
      <w:r w:rsidR="0056035F" w:rsidRPr="0087009D">
        <w:t>0189</w:t>
      </w:r>
    </w:p>
    <w:p w14:paraId="693F28A0" w14:textId="77777777" w:rsidR="00F63577" w:rsidRPr="0087009D" w:rsidRDefault="00F63577" w:rsidP="00F63577">
      <w:pPr>
        <w:pStyle w:val="ATHeading2"/>
      </w:pPr>
      <w:bookmarkStart w:id="1" w:name="title"/>
      <w:r w:rsidRPr="0087009D">
        <w:t>O plano plurianual para o mar Báltico e próximas etapas</w:t>
      </w:r>
      <w:bookmarkEnd w:id="1"/>
    </w:p>
    <w:p w14:paraId="37066089" w14:textId="77777777" w:rsidR="00F63577" w:rsidRPr="0087009D" w:rsidRDefault="00F63577" w:rsidP="00F63577">
      <w:pPr>
        <w:rPr>
          <w:i/>
          <w:vanish/>
        </w:rPr>
      </w:pPr>
      <w:r w:rsidRPr="0087009D">
        <w:rPr>
          <w:i/>
        </w:rPr>
        <w:fldChar w:fldCharType="begin"/>
      </w:r>
      <w:r w:rsidRPr="0087009D">
        <w:rPr>
          <w:i/>
        </w:rPr>
        <w:instrText xml:space="preserve"> TC"(</w:instrText>
      </w:r>
      <w:bookmarkStart w:id="2" w:name="DocNumber"/>
      <w:r w:rsidRPr="0087009D">
        <w:rPr>
          <w:i/>
        </w:rPr>
        <w:instrText>A10-0121/2026</w:instrText>
      </w:r>
      <w:bookmarkEnd w:id="2"/>
      <w:r w:rsidRPr="0087009D">
        <w:rPr>
          <w:i/>
        </w:rPr>
        <w:instrText xml:space="preserve"> - Relatora: Isabella Lövin)"\l3 \n&gt; \* MERGEFORMAT </w:instrText>
      </w:r>
      <w:r w:rsidRPr="0087009D">
        <w:rPr>
          <w:i/>
        </w:rPr>
        <w:fldChar w:fldCharType="end"/>
      </w:r>
    </w:p>
    <w:p w14:paraId="0AB23C84" w14:textId="77777777" w:rsidR="00F63577" w:rsidRPr="0087009D" w:rsidRDefault="00F63577" w:rsidP="00F63577">
      <w:pPr>
        <w:rPr>
          <w:vanish/>
        </w:rPr>
      </w:pPr>
      <w:bookmarkStart w:id="3" w:name="Commission"/>
      <w:r w:rsidRPr="0087009D">
        <w:rPr>
          <w:vanish/>
        </w:rPr>
        <w:t>Comissão das Pescas</w:t>
      </w:r>
      <w:bookmarkEnd w:id="3"/>
    </w:p>
    <w:p w14:paraId="72C85823" w14:textId="77777777" w:rsidR="00F63577" w:rsidRPr="0087009D" w:rsidRDefault="00F63577" w:rsidP="00F63577">
      <w:pPr>
        <w:rPr>
          <w:vanish/>
        </w:rPr>
      </w:pPr>
      <w:bookmarkStart w:id="4" w:name="PE"/>
      <w:r w:rsidRPr="0087009D">
        <w:rPr>
          <w:vanish/>
        </w:rPr>
        <w:t>PE778.399</w:t>
      </w:r>
      <w:bookmarkEnd w:id="4"/>
    </w:p>
    <w:p w14:paraId="523915EF" w14:textId="11A76299" w:rsidR="00F63577" w:rsidRPr="0087009D" w:rsidRDefault="00F63577" w:rsidP="00F63577">
      <w:pPr>
        <w:pStyle w:val="ATHeading3"/>
      </w:pPr>
      <w:bookmarkStart w:id="5" w:name="Sujet"/>
      <w:r w:rsidRPr="0087009D">
        <w:t xml:space="preserve">Resolução do Parlamento Europeu, de </w:t>
      </w:r>
      <w:r w:rsidR="0056035F" w:rsidRPr="0087009D">
        <w:t xml:space="preserve">21 </w:t>
      </w:r>
      <w:r w:rsidRPr="0087009D">
        <w:t xml:space="preserve">de </w:t>
      </w:r>
      <w:r w:rsidR="0056035F" w:rsidRPr="0087009D">
        <w:t xml:space="preserve">maio </w:t>
      </w:r>
      <w:r w:rsidRPr="0087009D">
        <w:t>de 2026, sobre o plano plurianual para o mar Báltico e próximas etapas</w:t>
      </w:r>
      <w:bookmarkEnd w:id="5"/>
      <w:r w:rsidRPr="0087009D">
        <w:t xml:space="preserve"> </w:t>
      </w:r>
      <w:bookmarkStart w:id="6" w:name="References"/>
      <w:r w:rsidRPr="0087009D">
        <w:t>(2024/2127(INI))</w:t>
      </w:r>
      <w:bookmarkEnd w:id="6"/>
    </w:p>
    <w:p w14:paraId="63F43E9B" w14:textId="77777777" w:rsidR="000E46FE" w:rsidRPr="0087009D" w:rsidRDefault="000E46FE" w:rsidP="000E46FE">
      <w:pPr>
        <w:pStyle w:val="EPComma"/>
      </w:pPr>
      <w:r w:rsidRPr="0087009D">
        <w:rPr>
          <w:i/>
        </w:rPr>
        <w:t>O Parlamento Europeu</w:t>
      </w:r>
      <w:r w:rsidRPr="0087009D">
        <w:t>,</w:t>
      </w:r>
    </w:p>
    <w:p w14:paraId="2C12B160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o artigo 3.º, n.º 3, do Tratado da União Europeia (TUE), o artigo 4.º, o artigo 43.º, n.º 3, e o artigo 191.º do Tratado sobre o Funcionamento da União Europeia (TFUE) e o artigo 37.º da Carta dos Direitos Fundamentais da União Europeia,</w:t>
      </w:r>
    </w:p>
    <w:p w14:paraId="642B8D62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Regulamento (UE) n.º 1380/2013 do Parlamento Europeu e do Conselho, de 11 de dezembro de 2013, relativo à política comum das pescas, que altera os Regulamentos (CE) n.º 1954/2003 e (CE) n.º 1224/2009 do Conselho e revoga os Regulamentos (CE) n.º 2371/2002 e (CE) n.º 639/2004 do Conselho e a Decisão 2004/585/CE do Conselho</w:t>
      </w:r>
      <w:r w:rsidRPr="0087009D">
        <w:rPr>
          <w:rStyle w:val="FootnoteReference"/>
        </w:rPr>
        <w:footnoteReference w:id="1"/>
      </w:r>
      <w:r w:rsidRPr="0087009D">
        <w:t>,</w:t>
      </w:r>
    </w:p>
    <w:p w14:paraId="75DBDCD0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Regulamento (UE) 2016/1139 do Parlamento Europeu e do Conselho, de 6 de julho de 2016, que estabelece um plano plurianual para as unidades populacionais de bacalhau, de arenque e de espadilha do mar Báltico e para as pescarias que exploram essas unidades populacionais, que altera o Regulamento (CE) n.º 2187/2005 do Conselho e que revoga o Regulamento (CE) n.º 1098/2007 do Conselho</w:t>
      </w:r>
      <w:r w:rsidRPr="0087009D">
        <w:rPr>
          <w:rStyle w:val="FootnoteReference"/>
        </w:rPr>
        <w:footnoteReference w:id="2"/>
      </w:r>
      <w:r w:rsidRPr="0087009D">
        <w:t xml:space="preserve"> (Regulamento relativo ao plano plurianual para o mar Báltico),</w:t>
      </w:r>
    </w:p>
    <w:p w14:paraId="0EB30D34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o Regulamento (UE) 2020/1781 do Parlamento Europeu e do Conselho, de 25 de novembro de 2020, que altera o Regulamento (UE) 2016/1139 no que respeita à redução da capacidade de pesca no mar Báltico e o Regulamento (UE) n.º 508/2014 no que respeita à cessação definitiva das atividades de pesca das frotas que pescam bacalhau do Báltico Oriental, bacalhau do Báltico Ocidental e arenque do Báltico Ocidental</w:t>
      </w:r>
      <w:r w:rsidRPr="0087009D">
        <w:rPr>
          <w:rStyle w:val="FootnoteReference"/>
          <w:bCs/>
          <w:iCs/>
        </w:rPr>
        <w:footnoteReference w:id="3"/>
      </w:r>
      <w:r w:rsidRPr="0087009D">
        <w:t>,</w:t>
      </w:r>
    </w:p>
    <w:p w14:paraId="060E3E43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a Diretiva 2008/56/CE do Parlamento Europeu e do Conselho, de 17 de junho de 2008, que estabelece um quadro de ação comunitária no domínio da política para o meio marinho (Diretiva</w:t>
      </w:r>
      <w:r w:rsidRPr="0087009D">
        <w:noBreakHyphen/>
        <w:t>Quadro Estratégia Marinha)</w:t>
      </w:r>
      <w:r w:rsidRPr="0087009D">
        <w:rPr>
          <w:rStyle w:val="FootnoteReference"/>
        </w:rPr>
        <w:footnoteReference w:id="4"/>
      </w:r>
      <w:r w:rsidRPr="0087009D">
        <w:t>,</w:t>
      </w:r>
    </w:p>
    <w:p w14:paraId="6B7756EC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a Diretiva 92/43/CEE do Conselho, de 21 de maio de 1992, relativa à </w:t>
      </w:r>
      <w:r w:rsidRPr="0087009D">
        <w:lastRenderedPageBreak/>
        <w:t>preservação dos habitats naturais e da fauna e da flora selvagens</w:t>
      </w:r>
      <w:r w:rsidRPr="0087009D">
        <w:rPr>
          <w:rStyle w:val="FootnoteReference"/>
        </w:rPr>
        <w:footnoteReference w:id="5"/>
      </w:r>
      <w:r w:rsidRPr="0087009D">
        <w:t>,</w:t>
      </w:r>
    </w:p>
    <w:p w14:paraId="5C4E799E" w14:textId="07B4E972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Regulamento (CEE) n</w:t>
      </w:r>
      <w:r w:rsidR="00580317">
        <w:t>.</w:t>
      </w:r>
      <w:r w:rsidRPr="0087009D">
        <w:t xml:space="preserve">º 2115/77 do Conselho, de 27 de setembro </w:t>
      </w:r>
      <w:r w:rsidR="0056035F" w:rsidRPr="0087009D">
        <w:t>de </w:t>
      </w:r>
      <w:r w:rsidRPr="0087009D">
        <w:t>1977, que proíbe a pesca direta, bem como o desembarque do arenque destinado a fins industriais que não seja para consumo humano</w:t>
      </w:r>
      <w:r w:rsidRPr="0087009D">
        <w:rPr>
          <w:rStyle w:val="FootnoteReference"/>
        </w:rPr>
        <w:footnoteReference w:id="6"/>
      </w:r>
      <w:r w:rsidRPr="0087009D">
        <w:t>,</w:t>
      </w:r>
    </w:p>
    <w:p w14:paraId="499C932A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a Diretiva 2009/147/CE do Parlamento Europeu e do Conselho, de 30 de novembro de 2009, relativa à conservação das aves selvagens</w:t>
      </w:r>
      <w:r w:rsidRPr="0087009D">
        <w:rPr>
          <w:rStyle w:val="FootnoteReference"/>
        </w:rPr>
        <w:footnoteReference w:id="7"/>
      </w:r>
      <w:r w:rsidRPr="0087009D">
        <w:t>,</w:t>
      </w:r>
    </w:p>
    <w:p w14:paraId="16C69A43" w14:textId="0A7258A5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a sua Resolução, de 27 de abril de 2021, sobre os resíduos químicos no mar Báltico, com base nas petições n.</w:t>
      </w:r>
      <w:r w:rsidR="00580317">
        <w:t>º</w:t>
      </w:r>
      <w:r w:rsidRPr="0087009D">
        <w:t xml:space="preserve"> 1328/2019 e 0406/2020</w:t>
      </w:r>
      <w:r w:rsidRPr="0087009D">
        <w:rPr>
          <w:rStyle w:val="FootnoteReference"/>
          <w:bCs/>
          <w:iCs/>
        </w:rPr>
        <w:footnoteReference w:id="8"/>
      </w:r>
      <w:r w:rsidRPr="0087009D">
        <w:t>,</w:t>
      </w:r>
    </w:p>
    <w:p w14:paraId="5C18B44F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a sua Resolução, de 18 de janeiro de 2024, sobre o plano de ação da UE: proteger e restaurar os ecossistemas marinhos para uma pesca sustentável e resiliente</w:t>
      </w:r>
      <w:r w:rsidRPr="0087009D">
        <w:rPr>
          <w:rStyle w:val="FootnoteReference"/>
          <w:bCs/>
          <w:iCs/>
        </w:rPr>
        <w:footnoteReference w:id="9"/>
      </w:r>
      <w:r w:rsidRPr="0087009D">
        <w:t>,</w:t>
      </w:r>
    </w:p>
    <w:p w14:paraId="3ACA2ED7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rPr>
          <w:b/>
          <w:i/>
        </w:rPr>
        <w:t>–</w:t>
      </w:r>
      <w:r w:rsidRPr="0087009D">
        <w:rPr>
          <w:b/>
          <w:i/>
        </w:rPr>
        <w:tab/>
      </w:r>
      <w:r w:rsidRPr="0087009D">
        <w:t>Tendo em conta a Resolução do Parlamento Europeu, de 4 de dezembro de 2008, sobre a elaboração de um plano comunitário de gestão das unidades populacionais para corvos</w:t>
      </w:r>
      <w:r w:rsidRPr="0087009D">
        <w:noBreakHyphen/>
        <w:t>marinhos com vista à diminuição da cada vez maior incidência dos seus efeitos sobre os recursos de pesca, a pesca e a aquicultura</w:t>
      </w:r>
      <w:r w:rsidRPr="0087009D">
        <w:rPr>
          <w:rStyle w:val="FootnoteReference"/>
          <w:bCs/>
          <w:iCs/>
        </w:rPr>
        <w:footnoteReference w:id="10"/>
      </w:r>
      <w:r w:rsidRPr="0087009D">
        <w:t>,</w:t>
      </w:r>
    </w:p>
    <w:p w14:paraId="7973B668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rPr>
          <w:b/>
          <w:i/>
        </w:rPr>
        <w:tab/>
      </w:r>
      <w:r w:rsidRPr="0087009D">
        <w:t>Tendo em conta a Resolução, de 14 de novembro de 2024, sobre as ações da UE contra a frota</w:t>
      </w:r>
      <w:r w:rsidRPr="0087009D">
        <w:noBreakHyphen/>
        <w:t>fantasma russa e a garantia de uma aplicação integral das sanções contra a Rússia (2024/2885(RSP))</w:t>
      </w:r>
      <w:r w:rsidRPr="0087009D">
        <w:rPr>
          <w:rStyle w:val="FootnoteReference"/>
          <w:bCs/>
          <w:iCs/>
        </w:rPr>
        <w:footnoteReference w:id="11"/>
      </w:r>
      <w:r w:rsidRPr="0087009D">
        <w:t>,</w:t>
      </w:r>
    </w:p>
    <w:p w14:paraId="6729BED9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a Estratégia de Biodiversidade da UE para 2030, definida na Comunicação da Comissão, de 20 de maio de 2020, intitulada «Estratégia de Biodiversidade da UE para 2030 – Trazer a natureza de volta às nossas vidas» (COM(2020)0380),</w:t>
      </w:r>
    </w:p>
    <w:p w14:paraId="478B6977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a Comunicação da Comissão, de 5 de junho de 2025, intitulada «Pacto Europeu dos Oceanos» (COM(2025)0281),</w:t>
      </w:r>
    </w:p>
    <w:p w14:paraId="4A59E3E1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a Comunicação da Comissão de 21 de fevereiro de 2023, intitulada «Plano de ação da UE: Proteger e Restaurar os Ecossistemas Marinhos para uma Pesca Sustentável e Resiliente (COM(2023)0102),</w:t>
      </w:r>
    </w:p>
    <w:p w14:paraId="75880CEC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a Comunicação da Comissão, de 6 de junho de 2025, intitulada «Pesca sustentável na UE: ponto da situação e orientações para 2026» (COM(2025)0296),</w:t>
      </w:r>
    </w:p>
    <w:p w14:paraId="7F649FEF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a Comunicação da Comissão, de 29 de janeiro de 2025, intitulada «Uma Bússola para a Competitividade da UE» (COM(2025)0030),</w:t>
      </w:r>
    </w:p>
    <w:p w14:paraId="52588ABC" w14:textId="5DC5918F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a Convenção para a Proteção do Meio Marinho na Zona do Mar Báltico, de 1992 (Convenção de Helsínquia), que entrou em vigor em 17 de janeiro </w:t>
      </w:r>
      <w:r w:rsidR="0056035F" w:rsidRPr="0087009D">
        <w:lastRenderedPageBreak/>
        <w:t>de </w:t>
      </w:r>
      <w:r w:rsidRPr="0087009D">
        <w:t>2000, e a Comissão para a proteção do meio marinho do mar Báltico, também conhecida por Comissão de Helsínquia (HELCOM),</w:t>
      </w:r>
    </w:p>
    <w:p w14:paraId="29CF3254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Plano de Ação do Báltico e as conclusões da HELCOM sobre munições químicas despejadas no mar,</w:t>
      </w:r>
    </w:p>
    <w:p w14:paraId="0CCA86CD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o acórdão do Tribunal de Justiça, de 11 de janeiro de 2024, no processo C</w:t>
      </w:r>
      <w:r w:rsidRPr="0087009D">
        <w:noBreakHyphen/>
        <w:t xml:space="preserve">330/22, </w:t>
      </w:r>
      <w:proofErr w:type="spellStart"/>
      <w:r w:rsidRPr="0087009D">
        <w:t>Friends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Irish</w:t>
      </w:r>
      <w:proofErr w:type="spellEnd"/>
      <w:r w:rsidRPr="0087009D">
        <w:t xml:space="preserve"> </w:t>
      </w:r>
      <w:proofErr w:type="spellStart"/>
      <w:r w:rsidRPr="0087009D">
        <w:t>Environment</w:t>
      </w:r>
      <w:proofErr w:type="spellEnd"/>
      <w:r w:rsidRPr="0087009D">
        <w:t xml:space="preserve"> CLG/</w:t>
      </w:r>
      <w:proofErr w:type="spellStart"/>
      <w:r w:rsidRPr="0087009D">
        <w:t>Minister</w:t>
      </w:r>
      <w:proofErr w:type="spellEnd"/>
      <w:r w:rsidRPr="0087009D">
        <w:t xml:space="preserve"> for </w:t>
      </w:r>
      <w:proofErr w:type="spellStart"/>
      <w:r w:rsidRPr="0087009D">
        <w:t>Agriculture</w:t>
      </w:r>
      <w:proofErr w:type="spellEnd"/>
      <w:r w:rsidRPr="0087009D">
        <w:t xml:space="preserve">, Food and </w:t>
      </w:r>
      <w:proofErr w:type="spellStart"/>
      <w:r w:rsidRPr="0087009D">
        <w:t>the</w:t>
      </w:r>
      <w:proofErr w:type="spellEnd"/>
      <w:r w:rsidRPr="0087009D">
        <w:t xml:space="preserve"> Marine, Irlanda</w:t>
      </w:r>
      <w:r w:rsidRPr="0087009D">
        <w:rPr>
          <w:rStyle w:val="FootnoteReference"/>
          <w:bCs/>
          <w:iCs/>
        </w:rPr>
        <w:footnoteReference w:id="12"/>
      </w:r>
      <w:r w:rsidRPr="0087009D">
        <w:t>,</w:t>
      </w:r>
    </w:p>
    <w:p w14:paraId="50A2287C" w14:textId="3D3442ED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a análise contextual solicitada pela Comissão das Pescas do Parlamento Europeu, intitulada ««The </w:t>
      </w:r>
      <w:proofErr w:type="spellStart"/>
      <w:r w:rsidRPr="0087009D">
        <w:t>multiannual</w:t>
      </w:r>
      <w:proofErr w:type="spellEnd"/>
      <w:r w:rsidRPr="0087009D">
        <w:t xml:space="preserve"> </w:t>
      </w:r>
      <w:proofErr w:type="spellStart"/>
      <w:r w:rsidRPr="0087009D">
        <w:t>plan</w:t>
      </w:r>
      <w:proofErr w:type="spellEnd"/>
      <w:r w:rsidRPr="0087009D">
        <w:t xml:space="preserve"> for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Baltic</w:t>
      </w:r>
      <w:proofErr w:type="spellEnd"/>
      <w:r w:rsidRPr="0087009D">
        <w:t xml:space="preserve"> </w:t>
      </w:r>
      <w:proofErr w:type="spellStart"/>
      <w:r w:rsidRPr="0087009D">
        <w:t>Sea</w:t>
      </w:r>
      <w:proofErr w:type="spellEnd"/>
      <w:r w:rsidRPr="0087009D">
        <w:t xml:space="preserve"> </w:t>
      </w:r>
      <w:r w:rsidR="0056035F" w:rsidRPr="0087009D">
        <w:t xml:space="preserve">– </w:t>
      </w:r>
      <w:r w:rsidRPr="0087009D">
        <w:t xml:space="preserve">A </w:t>
      </w:r>
      <w:proofErr w:type="spellStart"/>
      <w:r w:rsidRPr="0087009D">
        <w:t>change</w:t>
      </w:r>
      <w:proofErr w:type="spellEnd"/>
      <w:r w:rsidRPr="0087009D">
        <w:t xml:space="preserve"> in management </w:t>
      </w:r>
      <w:proofErr w:type="spellStart"/>
      <w:r w:rsidRPr="0087009D">
        <w:t>needed</w:t>
      </w:r>
      <w:proofErr w:type="spellEnd"/>
      <w:r w:rsidRPr="0087009D">
        <w:t xml:space="preserve">» [Plano plurianual para o mar Báltico </w:t>
      </w:r>
      <w:r w:rsidR="0056035F" w:rsidRPr="0087009D">
        <w:t xml:space="preserve">– </w:t>
      </w:r>
      <w:r w:rsidRPr="0087009D">
        <w:t>É necessária uma mudança na gestão], publicada pela Direção</w:t>
      </w:r>
      <w:r w:rsidRPr="0087009D">
        <w:noBreakHyphen/>
        <w:t>Geral da Coesão, da Agricultura e das Políticas Sociais em agosto de 2025</w:t>
      </w:r>
      <w:r w:rsidRPr="0087009D">
        <w:rPr>
          <w:rStyle w:val="FootnoteReference"/>
        </w:rPr>
        <w:footnoteReference w:id="13"/>
      </w:r>
      <w:r w:rsidRPr="0087009D">
        <w:t>,</w:t>
      </w:r>
    </w:p>
    <w:p w14:paraId="77F7F7DB" w14:textId="18F8660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estudo publicado em setembro de 2025 pelo Serviço de Estudos do Parlamento Europeu, intitulado «</w:t>
      </w:r>
      <w:proofErr w:type="spellStart"/>
      <w:r w:rsidRPr="0087009D">
        <w:t>Evaluation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Baltic</w:t>
      </w:r>
      <w:proofErr w:type="spellEnd"/>
      <w:r w:rsidRPr="0087009D">
        <w:t xml:space="preserve"> </w:t>
      </w:r>
      <w:proofErr w:type="spellStart"/>
      <w:r w:rsidRPr="0087009D">
        <w:t>Sea</w:t>
      </w:r>
      <w:proofErr w:type="spellEnd"/>
      <w:r w:rsidRPr="0087009D">
        <w:t xml:space="preserve"> </w:t>
      </w:r>
      <w:proofErr w:type="spellStart"/>
      <w:r w:rsidRPr="0087009D">
        <w:t>Multiannual</w:t>
      </w:r>
      <w:proofErr w:type="spellEnd"/>
      <w:r w:rsidRPr="0087009D">
        <w:t xml:space="preserve"> </w:t>
      </w:r>
      <w:proofErr w:type="spellStart"/>
      <w:r w:rsidRPr="0087009D">
        <w:t>Plan</w:t>
      </w:r>
      <w:proofErr w:type="spellEnd"/>
      <w:r w:rsidRPr="0087009D">
        <w:t xml:space="preserve"> </w:t>
      </w:r>
      <w:proofErr w:type="spellStart"/>
      <w:r w:rsidRPr="0087009D">
        <w:t>Regulation</w:t>
      </w:r>
      <w:proofErr w:type="spellEnd"/>
      <w:r w:rsidRPr="0087009D">
        <w:t xml:space="preserve"> – </w:t>
      </w:r>
      <w:proofErr w:type="spellStart"/>
      <w:r w:rsidRPr="0087009D">
        <w:t>European</w:t>
      </w:r>
      <w:proofErr w:type="spellEnd"/>
      <w:r w:rsidRPr="0087009D">
        <w:t xml:space="preserve"> </w:t>
      </w:r>
      <w:proofErr w:type="spellStart"/>
      <w:r w:rsidRPr="0087009D">
        <w:t>Implementation</w:t>
      </w:r>
      <w:proofErr w:type="spellEnd"/>
      <w:r w:rsidRPr="0087009D">
        <w:t xml:space="preserve"> </w:t>
      </w:r>
      <w:proofErr w:type="spellStart"/>
      <w:r w:rsidRPr="0087009D">
        <w:t>Assessment</w:t>
      </w:r>
      <w:proofErr w:type="spellEnd"/>
      <w:r w:rsidRPr="0087009D">
        <w:t xml:space="preserve">» [Avaliação do Regulamento Plano Plurianual para o Mar Báltico </w:t>
      </w:r>
      <w:r w:rsidR="0056035F" w:rsidRPr="0087009D">
        <w:t xml:space="preserve">– </w:t>
      </w:r>
      <w:r w:rsidRPr="0087009D">
        <w:t>Avaliação de execução europeia],</w:t>
      </w:r>
    </w:p>
    <w:p w14:paraId="7EEC9274" w14:textId="0C6ECB8D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o relatório da Agência Europeia do Ambiente, de 29 de setembro </w:t>
      </w:r>
      <w:r w:rsidR="0056035F" w:rsidRPr="0087009D">
        <w:t>de </w:t>
      </w:r>
      <w:r w:rsidRPr="0087009D">
        <w:t>2025, intitulado «</w:t>
      </w:r>
      <w:proofErr w:type="spellStart"/>
      <w:r w:rsidRPr="0087009D">
        <w:t>Europe’s</w:t>
      </w:r>
      <w:proofErr w:type="spellEnd"/>
      <w:r w:rsidRPr="0087009D">
        <w:t xml:space="preserve"> </w:t>
      </w:r>
      <w:proofErr w:type="spellStart"/>
      <w:r w:rsidRPr="0087009D">
        <w:t>environment</w:t>
      </w:r>
      <w:proofErr w:type="spellEnd"/>
      <w:r w:rsidRPr="0087009D">
        <w:t xml:space="preserve"> and </w:t>
      </w:r>
      <w:proofErr w:type="spellStart"/>
      <w:r w:rsidRPr="0087009D">
        <w:t>climate</w:t>
      </w:r>
      <w:proofErr w:type="spellEnd"/>
      <w:r w:rsidRPr="0087009D">
        <w:t xml:space="preserve">: </w:t>
      </w:r>
      <w:proofErr w:type="spellStart"/>
      <w:r w:rsidRPr="0087009D">
        <w:t>knowledge</w:t>
      </w:r>
      <w:proofErr w:type="spellEnd"/>
      <w:r w:rsidRPr="0087009D">
        <w:t xml:space="preserve"> for </w:t>
      </w:r>
      <w:proofErr w:type="spellStart"/>
      <w:r w:rsidRPr="0087009D">
        <w:t>resilience</w:t>
      </w:r>
      <w:proofErr w:type="spellEnd"/>
      <w:r w:rsidRPr="0087009D">
        <w:t xml:space="preserve">, </w:t>
      </w:r>
      <w:proofErr w:type="spellStart"/>
      <w:r w:rsidRPr="0087009D">
        <w:t>prosperity</w:t>
      </w:r>
      <w:proofErr w:type="spellEnd"/>
      <w:r w:rsidRPr="0087009D">
        <w:t xml:space="preserve"> and </w:t>
      </w:r>
      <w:proofErr w:type="spellStart"/>
      <w:r w:rsidRPr="0087009D">
        <w:t>sustainability</w:t>
      </w:r>
      <w:proofErr w:type="spellEnd"/>
      <w:r w:rsidRPr="0087009D">
        <w:t>» [Clima e ambiente na Europa: o conhecimento ao serviço da resiliência, da prosperidade e da sustentabilidade],</w:t>
      </w:r>
    </w:p>
    <w:p w14:paraId="54BB5CC2" w14:textId="11838BC2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 da HELCOM, de 31 de outubro de 2023, intitulado «</w:t>
      </w:r>
      <w:proofErr w:type="spellStart"/>
      <w:r w:rsidRPr="0087009D">
        <w:t>State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Baltic</w:t>
      </w:r>
      <w:proofErr w:type="spellEnd"/>
      <w:r w:rsidRPr="0087009D">
        <w:t xml:space="preserve"> </w:t>
      </w:r>
      <w:proofErr w:type="spellStart"/>
      <w:r w:rsidRPr="0087009D">
        <w:t>Sea</w:t>
      </w:r>
      <w:proofErr w:type="spellEnd"/>
      <w:r w:rsidRPr="0087009D">
        <w:t xml:space="preserve"> 2023 – </w:t>
      </w:r>
      <w:proofErr w:type="spellStart"/>
      <w:r w:rsidRPr="0087009D">
        <w:t>Third</w:t>
      </w:r>
      <w:proofErr w:type="spellEnd"/>
      <w:r w:rsidRPr="0087009D">
        <w:t xml:space="preserve"> HELCOM </w:t>
      </w:r>
      <w:proofErr w:type="spellStart"/>
      <w:r w:rsidRPr="0087009D">
        <w:t>holistic</w:t>
      </w:r>
      <w:proofErr w:type="spellEnd"/>
      <w:r w:rsidRPr="0087009D">
        <w:t xml:space="preserve"> </w:t>
      </w:r>
      <w:proofErr w:type="spellStart"/>
      <w:r w:rsidRPr="0087009D">
        <w:t>assessment</w:t>
      </w:r>
      <w:proofErr w:type="spellEnd"/>
      <w:r w:rsidRPr="0087009D">
        <w:t xml:space="preserve"> 2016</w:t>
      </w:r>
      <w:r w:rsidRPr="0087009D">
        <w:noBreakHyphen/>
        <w:t xml:space="preserve">2021» [Estado do Mar Báltico 2023 </w:t>
      </w:r>
      <w:r w:rsidR="0056035F" w:rsidRPr="0087009D">
        <w:t xml:space="preserve">– </w:t>
      </w:r>
      <w:r w:rsidRPr="0087009D">
        <w:t>Terceira avaliação holística da HELCOM 2016</w:t>
      </w:r>
      <w:r w:rsidRPr="0087009D">
        <w:noBreakHyphen/>
        <w:t>2021],</w:t>
      </w:r>
    </w:p>
    <w:p w14:paraId="32E2589E" w14:textId="7E95596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os compromissos assumidos pelos Estados no âmbito dos Objetivos de Desenvolvimento Sustentável (ODS) das Nações Unidas, nomeadamente os ODS 3, 6 </w:t>
      </w:r>
      <w:r w:rsidR="0056035F" w:rsidRPr="0087009D">
        <w:t>e </w:t>
      </w:r>
      <w:r w:rsidRPr="0087009D">
        <w:t>14,</w:t>
      </w:r>
    </w:p>
    <w:p w14:paraId="306E6C95" w14:textId="4293D302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 do Conselho Internacional de Exploração do Mar (CIEM), de 26 de novembro de 2024, intitulado «</w:t>
      </w:r>
      <w:proofErr w:type="spellStart"/>
      <w:r w:rsidRPr="0087009D">
        <w:t>Baltic</w:t>
      </w:r>
      <w:proofErr w:type="spellEnd"/>
      <w:r w:rsidRPr="0087009D">
        <w:t xml:space="preserve"> </w:t>
      </w:r>
      <w:proofErr w:type="spellStart"/>
      <w:r w:rsidRPr="0087009D">
        <w:t>Sea</w:t>
      </w:r>
      <w:proofErr w:type="spellEnd"/>
      <w:r w:rsidRPr="0087009D">
        <w:t xml:space="preserve"> </w:t>
      </w:r>
      <w:proofErr w:type="spellStart"/>
      <w:r w:rsidRPr="0087009D">
        <w:t>ecoregion</w:t>
      </w:r>
      <w:proofErr w:type="spellEnd"/>
      <w:r w:rsidRPr="0087009D">
        <w:t xml:space="preserve"> – </w:t>
      </w:r>
      <w:proofErr w:type="spellStart"/>
      <w:r w:rsidRPr="0087009D">
        <w:t>Ecosystem</w:t>
      </w:r>
      <w:proofErr w:type="spellEnd"/>
      <w:r w:rsidRPr="0087009D">
        <w:t xml:space="preserve"> </w:t>
      </w:r>
      <w:proofErr w:type="spellStart"/>
      <w:r w:rsidRPr="0087009D">
        <w:t>Overview</w:t>
      </w:r>
      <w:proofErr w:type="spellEnd"/>
      <w:r w:rsidRPr="0087009D">
        <w:t xml:space="preserve">» [Ecorregião do mar Báltico </w:t>
      </w:r>
      <w:r w:rsidR="0056035F" w:rsidRPr="0087009D">
        <w:t xml:space="preserve">– </w:t>
      </w:r>
      <w:r w:rsidRPr="0087009D">
        <w:t>Panorâmica do ecossistema], Parecer do CIEM 2024, secção 7.1,</w:t>
      </w:r>
    </w:p>
    <w:p w14:paraId="17485909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</w:r>
      <w:bookmarkStart w:id="7" w:name="_Hlk212108900"/>
      <w:r w:rsidRPr="0087009D">
        <w:t xml:space="preserve">Tendo em conta o relatório de 2022 do CIEM, intitulado «Workshop </w:t>
      </w:r>
      <w:proofErr w:type="spellStart"/>
      <w:r w:rsidRPr="0087009D">
        <w:t>on</w:t>
      </w:r>
      <w:proofErr w:type="spellEnd"/>
      <w:r w:rsidRPr="0087009D">
        <w:t xml:space="preserve"> ICES </w:t>
      </w:r>
      <w:proofErr w:type="spellStart"/>
      <w:r w:rsidRPr="0087009D">
        <w:t>reference</w:t>
      </w:r>
      <w:proofErr w:type="spellEnd"/>
      <w:r w:rsidRPr="0087009D">
        <w:t xml:space="preserve"> </w:t>
      </w:r>
      <w:proofErr w:type="spellStart"/>
      <w:r w:rsidRPr="0087009D">
        <w:t>points</w:t>
      </w:r>
      <w:proofErr w:type="spellEnd"/>
      <w:r w:rsidRPr="0087009D">
        <w:t xml:space="preserve"> (WKREF1)</w:t>
      </w:r>
      <w:bookmarkEnd w:id="7"/>
      <w:r w:rsidRPr="0087009D">
        <w:t>» [Seminário sobre os pontos de referência CIEM (WKREF1)], Relatórios científicos do CIEM</w:t>
      </w:r>
      <w:r w:rsidRPr="0087009D">
        <w:rPr>
          <w:rStyle w:val="FootnoteReference"/>
        </w:rPr>
        <w:footnoteReference w:id="14"/>
      </w:r>
      <w:r w:rsidRPr="0087009D">
        <w:t>,</w:t>
      </w:r>
    </w:p>
    <w:p w14:paraId="4D8C7DFE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o relatório de 2022 do CIEM, intitulado «Workshop </w:t>
      </w:r>
      <w:proofErr w:type="spellStart"/>
      <w:r w:rsidRPr="0087009D">
        <w:t>on</w:t>
      </w:r>
      <w:proofErr w:type="spellEnd"/>
      <w:r w:rsidRPr="0087009D">
        <w:t xml:space="preserve"> ICES </w:t>
      </w:r>
      <w:proofErr w:type="spellStart"/>
      <w:r w:rsidRPr="0087009D">
        <w:t>reference</w:t>
      </w:r>
      <w:proofErr w:type="spellEnd"/>
      <w:r w:rsidRPr="0087009D">
        <w:t xml:space="preserve"> </w:t>
      </w:r>
      <w:proofErr w:type="spellStart"/>
      <w:r w:rsidRPr="0087009D">
        <w:t>points</w:t>
      </w:r>
      <w:proofErr w:type="spellEnd"/>
      <w:r w:rsidRPr="0087009D">
        <w:t xml:space="preserve"> (WKREF2)» [Seminário sobre os pontos de referência CIEM (WKREF2)], </w:t>
      </w:r>
      <w:r w:rsidRPr="0087009D">
        <w:lastRenderedPageBreak/>
        <w:t>Relatórios científicos do CIEM</w:t>
      </w:r>
      <w:r w:rsidRPr="0087009D">
        <w:rPr>
          <w:rStyle w:val="FootnoteReference"/>
        </w:rPr>
        <w:footnoteReference w:id="15"/>
      </w:r>
      <w:r w:rsidRPr="0087009D">
        <w:t>,</w:t>
      </w:r>
    </w:p>
    <w:p w14:paraId="21CA5D4E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o relatório de 2023 do CIEM, intitulado «Workshop </w:t>
      </w:r>
      <w:proofErr w:type="spellStart"/>
      <w:r w:rsidRPr="0087009D">
        <w:t>on</w:t>
      </w:r>
      <w:proofErr w:type="spellEnd"/>
      <w:r w:rsidRPr="0087009D">
        <w:t xml:space="preserve"> </w:t>
      </w:r>
      <w:proofErr w:type="spellStart"/>
      <w:r w:rsidRPr="0087009D">
        <w:t>guidelines</w:t>
      </w:r>
      <w:proofErr w:type="spellEnd"/>
      <w:r w:rsidRPr="0087009D">
        <w:t xml:space="preserve"> and </w:t>
      </w:r>
      <w:proofErr w:type="spellStart"/>
      <w:r w:rsidRPr="0087009D">
        <w:t>methods</w:t>
      </w:r>
      <w:proofErr w:type="spellEnd"/>
      <w:r w:rsidRPr="0087009D">
        <w:t xml:space="preserve"> for </w:t>
      </w:r>
      <w:proofErr w:type="spellStart"/>
      <w:r w:rsidRPr="0087009D">
        <w:t>the</w:t>
      </w:r>
      <w:proofErr w:type="spellEnd"/>
      <w:r w:rsidRPr="0087009D">
        <w:t xml:space="preserve"> design and </w:t>
      </w:r>
      <w:proofErr w:type="spellStart"/>
      <w:r w:rsidRPr="0087009D">
        <w:t>evaluation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rebuilding</w:t>
      </w:r>
      <w:proofErr w:type="spellEnd"/>
      <w:r w:rsidRPr="0087009D">
        <w:t xml:space="preserve"> </w:t>
      </w:r>
      <w:proofErr w:type="spellStart"/>
      <w:r w:rsidRPr="0087009D">
        <w:t>plans</w:t>
      </w:r>
      <w:proofErr w:type="spellEnd"/>
      <w:r w:rsidRPr="0087009D">
        <w:t xml:space="preserve"> for </w:t>
      </w:r>
      <w:proofErr w:type="spellStart"/>
      <w:r w:rsidRPr="0087009D">
        <w:t>category</w:t>
      </w:r>
      <w:proofErr w:type="spellEnd"/>
      <w:r w:rsidRPr="0087009D">
        <w:t xml:space="preserve"> 1</w:t>
      </w:r>
      <w:r w:rsidRPr="0087009D">
        <w:noBreakHyphen/>
        <w:t>2 stocks (WKREBUILD2)» [Seminário sobre orientações e métodos para a conceção e avaliação de planos de reconstrução para unidades populacionais da categoria 1</w:t>
      </w:r>
      <w:r w:rsidRPr="0087009D">
        <w:noBreakHyphen/>
        <w:t>2 (WKREBUILD2)], Relatórios científicos do CIEM</w:t>
      </w:r>
      <w:r w:rsidRPr="0087009D">
        <w:rPr>
          <w:rStyle w:val="FootnoteReference"/>
        </w:rPr>
        <w:footnoteReference w:id="16"/>
      </w:r>
      <w:r w:rsidRPr="0087009D">
        <w:t>,</w:t>
      </w:r>
    </w:p>
    <w:p w14:paraId="6B6A3F9E" w14:textId="3C12C0AE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 do Centro Comum de Investigação da Comissão, de novembro de 2025, intitulado «</w:t>
      </w:r>
      <w:proofErr w:type="spellStart"/>
      <w:r w:rsidRPr="0087009D">
        <w:t>Scientific</w:t>
      </w:r>
      <w:proofErr w:type="spellEnd"/>
      <w:r w:rsidRPr="0087009D">
        <w:t xml:space="preserve"> </w:t>
      </w:r>
      <w:proofErr w:type="spellStart"/>
      <w:r w:rsidRPr="0087009D">
        <w:t>Technical</w:t>
      </w:r>
      <w:proofErr w:type="spellEnd"/>
      <w:r w:rsidRPr="0087009D">
        <w:t xml:space="preserve"> and </w:t>
      </w:r>
      <w:proofErr w:type="spellStart"/>
      <w:r w:rsidRPr="0087009D">
        <w:t>Economic</w:t>
      </w:r>
      <w:proofErr w:type="spellEnd"/>
      <w:r w:rsidRPr="0087009D">
        <w:t xml:space="preserve"> </w:t>
      </w:r>
      <w:proofErr w:type="spellStart"/>
      <w:r w:rsidRPr="0087009D">
        <w:t>Committee</w:t>
      </w:r>
      <w:proofErr w:type="spellEnd"/>
      <w:r w:rsidRPr="0087009D">
        <w:t xml:space="preserve"> for </w:t>
      </w:r>
      <w:proofErr w:type="spellStart"/>
      <w:r w:rsidRPr="0087009D">
        <w:t>Fisheries</w:t>
      </w:r>
      <w:proofErr w:type="spellEnd"/>
      <w:r w:rsidRPr="0087009D">
        <w:t xml:space="preserve"> (STECF) – The 2025 </w:t>
      </w:r>
      <w:proofErr w:type="spellStart"/>
      <w:r w:rsidRPr="0087009D">
        <w:t>Annual</w:t>
      </w:r>
      <w:proofErr w:type="spellEnd"/>
      <w:r w:rsidRPr="0087009D">
        <w:t xml:space="preserve"> </w:t>
      </w:r>
      <w:proofErr w:type="spellStart"/>
      <w:r w:rsidRPr="0087009D">
        <w:t>Economic</w:t>
      </w:r>
      <w:proofErr w:type="spellEnd"/>
      <w:r w:rsidRPr="0087009D">
        <w:t xml:space="preserve"> </w:t>
      </w:r>
      <w:proofErr w:type="spellStart"/>
      <w:r w:rsidRPr="0087009D">
        <w:t>Report</w:t>
      </w:r>
      <w:proofErr w:type="spellEnd"/>
      <w:r w:rsidRPr="0087009D">
        <w:t xml:space="preserve"> </w:t>
      </w:r>
      <w:proofErr w:type="spellStart"/>
      <w:r w:rsidRPr="0087009D">
        <w:t>on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EU </w:t>
      </w:r>
      <w:proofErr w:type="spellStart"/>
      <w:r w:rsidRPr="0087009D">
        <w:t>Fishing</w:t>
      </w:r>
      <w:proofErr w:type="spellEnd"/>
      <w:r w:rsidRPr="0087009D">
        <w:t xml:space="preserve"> </w:t>
      </w:r>
      <w:proofErr w:type="spellStart"/>
      <w:r w:rsidRPr="0087009D">
        <w:t>Fleet</w:t>
      </w:r>
      <w:proofErr w:type="spellEnd"/>
      <w:r w:rsidRPr="0087009D">
        <w:t xml:space="preserve"> (STECF</w:t>
      </w:r>
      <w:r w:rsidRPr="0087009D">
        <w:noBreakHyphen/>
        <w:t>25</w:t>
      </w:r>
      <w:r w:rsidRPr="0087009D">
        <w:noBreakHyphen/>
        <w:t>03 &amp; STECF</w:t>
      </w:r>
      <w:r w:rsidRPr="0087009D">
        <w:noBreakHyphen/>
        <w:t>25</w:t>
      </w:r>
      <w:r w:rsidRPr="0087009D">
        <w:noBreakHyphen/>
        <w:t xml:space="preserve">07)» [Comité Científico, Técnico e Económico das Pescas (CCTEP) </w:t>
      </w:r>
      <w:r w:rsidR="00C1199E" w:rsidRPr="0087009D">
        <w:t xml:space="preserve">– </w:t>
      </w:r>
      <w:r w:rsidRPr="0087009D">
        <w:t>Relatório económico anual de 2025 sobre a frota de pesca da UE (STECF</w:t>
      </w:r>
      <w:r w:rsidRPr="0087009D">
        <w:noBreakHyphen/>
        <w:t>25</w:t>
      </w:r>
      <w:r w:rsidRPr="0087009D">
        <w:noBreakHyphen/>
        <w:t>03 &amp; STECF</w:t>
      </w:r>
      <w:r w:rsidRPr="0087009D">
        <w:noBreakHyphen/>
        <w:t>25</w:t>
      </w:r>
      <w:r w:rsidRPr="0087009D">
        <w:noBreakHyphen/>
        <w:t>07)],</w:t>
      </w:r>
    </w:p>
    <w:p w14:paraId="661778C6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 Especial do Painel Intergovernamental sobre as Alterações Climáticas (PIAC), de setembro de 2019, intitulado «</w:t>
      </w:r>
      <w:proofErr w:type="spellStart"/>
      <w:r w:rsidRPr="0087009D">
        <w:t>Special</w:t>
      </w:r>
      <w:proofErr w:type="spellEnd"/>
      <w:r w:rsidRPr="0087009D">
        <w:t xml:space="preserve"> </w:t>
      </w:r>
      <w:proofErr w:type="spellStart"/>
      <w:r w:rsidRPr="0087009D">
        <w:t>Report</w:t>
      </w:r>
      <w:proofErr w:type="spellEnd"/>
      <w:r w:rsidRPr="0087009D">
        <w:t xml:space="preserve"> </w:t>
      </w:r>
      <w:proofErr w:type="spellStart"/>
      <w:r w:rsidRPr="0087009D">
        <w:t>on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Ocean</w:t>
      </w:r>
      <w:proofErr w:type="spellEnd"/>
      <w:r w:rsidRPr="0087009D">
        <w:t xml:space="preserve"> and </w:t>
      </w:r>
      <w:proofErr w:type="spellStart"/>
      <w:r w:rsidRPr="0087009D">
        <w:t>Cryosphere</w:t>
      </w:r>
      <w:proofErr w:type="spellEnd"/>
      <w:r w:rsidRPr="0087009D">
        <w:t xml:space="preserve"> in a </w:t>
      </w:r>
      <w:proofErr w:type="spellStart"/>
      <w:r w:rsidRPr="0087009D">
        <w:t>Changing</w:t>
      </w:r>
      <w:proofErr w:type="spellEnd"/>
      <w:r w:rsidRPr="0087009D">
        <w:t xml:space="preserve"> </w:t>
      </w:r>
      <w:proofErr w:type="spellStart"/>
      <w:r w:rsidRPr="0087009D">
        <w:t>Climate</w:t>
      </w:r>
      <w:proofErr w:type="spellEnd"/>
      <w:r w:rsidRPr="0087009D">
        <w:t>» [Relatório especial sobre a oceano e a criosfera num clima em mudança],</w:t>
      </w:r>
    </w:p>
    <w:p w14:paraId="2D811ED2" w14:textId="708F51AF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 xml:space="preserve">Tendo em conta o relatório do serviço de monitorização do meio marinho </w:t>
      </w:r>
      <w:proofErr w:type="spellStart"/>
      <w:r w:rsidRPr="0087009D">
        <w:t>Copernicus</w:t>
      </w:r>
      <w:proofErr w:type="spellEnd"/>
      <w:r w:rsidRPr="0087009D">
        <w:t xml:space="preserve">, de setembro de 2025, intitulado «9th </w:t>
      </w:r>
      <w:proofErr w:type="spellStart"/>
      <w:r w:rsidRPr="0087009D">
        <w:t>edition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Copernicus</w:t>
      </w:r>
      <w:proofErr w:type="spellEnd"/>
      <w:r w:rsidRPr="0087009D">
        <w:t xml:space="preserve"> </w:t>
      </w:r>
      <w:proofErr w:type="spellStart"/>
      <w:r w:rsidRPr="0087009D">
        <w:t>Ocean</w:t>
      </w:r>
      <w:proofErr w:type="spellEnd"/>
      <w:r w:rsidRPr="0087009D">
        <w:t xml:space="preserve"> </w:t>
      </w:r>
      <w:proofErr w:type="spellStart"/>
      <w:r w:rsidRPr="0087009D">
        <w:t>State</w:t>
      </w:r>
      <w:proofErr w:type="spellEnd"/>
      <w:r w:rsidRPr="0087009D">
        <w:t xml:space="preserve"> </w:t>
      </w:r>
      <w:proofErr w:type="spellStart"/>
      <w:r w:rsidRPr="0087009D">
        <w:t>Report</w:t>
      </w:r>
      <w:proofErr w:type="spellEnd"/>
      <w:r w:rsidRPr="0087009D">
        <w:t>» [9.ª</w:t>
      </w:r>
      <w:r w:rsidR="00C1199E" w:rsidRPr="0087009D">
        <w:t> </w:t>
      </w:r>
      <w:r w:rsidRPr="0087009D">
        <w:t xml:space="preserve">edição do relatório </w:t>
      </w:r>
      <w:proofErr w:type="spellStart"/>
      <w:r w:rsidRPr="0087009D">
        <w:t>Copernicus</w:t>
      </w:r>
      <w:proofErr w:type="spellEnd"/>
      <w:r w:rsidRPr="0087009D">
        <w:t xml:space="preserve"> sobre o estado dos oceanos],</w:t>
      </w:r>
    </w:p>
    <w:p w14:paraId="4D881E6D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relatório, de 24 de setembro de 2025, do Instituto de Potsdam para a Investigação sobre o Impacto Climático, intitulado «</w:t>
      </w:r>
      <w:proofErr w:type="spellStart"/>
      <w:r w:rsidRPr="0087009D">
        <w:t>Planetary</w:t>
      </w:r>
      <w:proofErr w:type="spellEnd"/>
      <w:r w:rsidRPr="0087009D">
        <w:t xml:space="preserve"> </w:t>
      </w:r>
      <w:proofErr w:type="spellStart"/>
      <w:r w:rsidRPr="0087009D">
        <w:t>Health</w:t>
      </w:r>
      <w:proofErr w:type="spellEnd"/>
      <w:r w:rsidRPr="0087009D">
        <w:t xml:space="preserve"> </w:t>
      </w:r>
      <w:proofErr w:type="spellStart"/>
      <w:r w:rsidRPr="0087009D">
        <w:t>Check</w:t>
      </w:r>
      <w:proofErr w:type="spellEnd"/>
      <w:r w:rsidRPr="0087009D">
        <w:t xml:space="preserve"> 2025: A </w:t>
      </w:r>
      <w:proofErr w:type="spellStart"/>
      <w:r w:rsidRPr="0087009D">
        <w:t>Scientific</w:t>
      </w:r>
      <w:proofErr w:type="spellEnd"/>
      <w:r w:rsidRPr="0087009D">
        <w:t xml:space="preserve"> </w:t>
      </w:r>
      <w:proofErr w:type="spellStart"/>
      <w:r w:rsidRPr="0087009D">
        <w:t>Assessment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State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Planet</w:t>
      </w:r>
      <w:proofErr w:type="spellEnd"/>
      <w:r w:rsidRPr="0087009D">
        <w:t>» [Avaliação da saúde planetária 2025: Avaliação científica do estado do planeta],</w:t>
      </w:r>
    </w:p>
    <w:p w14:paraId="7A042804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t>–</w:t>
      </w:r>
      <w:r w:rsidRPr="0087009D">
        <w:tab/>
        <w:t>Tendo em conta o relatório do Programa das Nações Unidas para o Ambiente (PNUA) de 2016 intitulado «</w:t>
      </w:r>
      <w:proofErr w:type="spellStart"/>
      <w:r w:rsidRPr="0087009D">
        <w:t>Options</w:t>
      </w:r>
      <w:proofErr w:type="spellEnd"/>
      <w:r w:rsidRPr="0087009D">
        <w:t xml:space="preserve"> for </w:t>
      </w:r>
      <w:proofErr w:type="spellStart"/>
      <w:r w:rsidRPr="0087009D">
        <w:t>Ecosystem</w:t>
      </w:r>
      <w:r w:rsidRPr="0087009D">
        <w:noBreakHyphen/>
        <w:t>based</w:t>
      </w:r>
      <w:proofErr w:type="spellEnd"/>
      <w:r w:rsidRPr="0087009D">
        <w:t xml:space="preserve"> </w:t>
      </w:r>
      <w:proofErr w:type="spellStart"/>
      <w:r w:rsidRPr="0087009D">
        <w:t>Adaptation</w:t>
      </w:r>
      <w:proofErr w:type="spellEnd"/>
      <w:r w:rsidRPr="0087009D">
        <w:t xml:space="preserve"> (EBA) in </w:t>
      </w:r>
      <w:proofErr w:type="spellStart"/>
      <w:r w:rsidRPr="0087009D">
        <w:t>Coastal</w:t>
      </w:r>
      <w:proofErr w:type="spellEnd"/>
      <w:r w:rsidRPr="0087009D">
        <w:t xml:space="preserve"> </w:t>
      </w:r>
      <w:proofErr w:type="spellStart"/>
      <w:r w:rsidRPr="0087009D">
        <w:t>Environments</w:t>
      </w:r>
      <w:proofErr w:type="spellEnd"/>
      <w:r w:rsidRPr="0087009D">
        <w:t xml:space="preserve">: A Guide for </w:t>
      </w:r>
      <w:proofErr w:type="spellStart"/>
      <w:r w:rsidRPr="0087009D">
        <w:t>environmental</w:t>
      </w:r>
      <w:proofErr w:type="spellEnd"/>
      <w:r w:rsidRPr="0087009D">
        <w:t xml:space="preserve"> managers and </w:t>
      </w:r>
      <w:proofErr w:type="spellStart"/>
      <w:r w:rsidRPr="0087009D">
        <w:t>planners</w:t>
      </w:r>
      <w:proofErr w:type="spellEnd"/>
      <w:r w:rsidRPr="0087009D">
        <w:t xml:space="preserve">» [Opções para a adaptação </w:t>
      </w:r>
      <w:proofErr w:type="spellStart"/>
      <w:r w:rsidRPr="0087009D">
        <w:t>ecossistémica</w:t>
      </w:r>
      <w:proofErr w:type="spellEnd"/>
      <w:r w:rsidRPr="0087009D">
        <w:t xml:space="preserve"> em ambientes costeiros: um guia para gestores e responsáveis pelo planeamento ambiental],</w:t>
      </w:r>
    </w:p>
    <w:p w14:paraId="0C801B4A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a resolução 1612(2008) da Assembleia Parlamentar do Conselho da Europa sobre as munições químicas enterradas no mar Báltico e o relatório que a acompanha, de 28 de abril de 2008,</w:t>
      </w:r>
    </w:p>
    <w:p w14:paraId="29A3A6D9" w14:textId="77777777" w:rsidR="000E46FE" w:rsidRPr="0087009D" w:rsidRDefault="000E46FE" w:rsidP="000E46FE">
      <w:pPr>
        <w:pStyle w:val="NormalHanging12a"/>
      </w:pPr>
      <w:r w:rsidRPr="0087009D">
        <w:rPr>
          <w:b/>
        </w:rPr>
        <w:t>–</w:t>
      </w:r>
      <w:r w:rsidRPr="0087009D">
        <w:tab/>
        <w:t>Tendo em conta a declaração conjunta da Direção</w:t>
      </w:r>
      <w:r w:rsidRPr="0087009D">
        <w:noBreakHyphen/>
        <w:t>Geral dos Assuntos Marítimos e das Pescas da Comissão e do CIEM, de 18 de setembro de 2025, intitulada «</w:t>
      </w:r>
      <w:proofErr w:type="spellStart"/>
      <w:r w:rsidRPr="0087009D">
        <w:t>Adaptive</w:t>
      </w:r>
      <w:proofErr w:type="spellEnd"/>
      <w:r w:rsidRPr="0087009D">
        <w:t xml:space="preserve"> </w:t>
      </w:r>
      <w:proofErr w:type="spellStart"/>
      <w:r w:rsidRPr="0087009D">
        <w:t>science</w:t>
      </w:r>
      <w:proofErr w:type="spellEnd"/>
      <w:r w:rsidRPr="0087009D">
        <w:t xml:space="preserve"> and </w:t>
      </w:r>
      <w:proofErr w:type="spellStart"/>
      <w:r w:rsidRPr="0087009D">
        <w:t>coordinated</w:t>
      </w:r>
      <w:proofErr w:type="spellEnd"/>
      <w:r w:rsidRPr="0087009D">
        <w:t xml:space="preserve"> </w:t>
      </w:r>
      <w:proofErr w:type="spellStart"/>
      <w:r w:rsidRPr="0087009D">
        <w:t>governance</w:t>
      </w:r>
      <w:proofErr w:type="spellEnd"/>
      <w:r w:rsidRPr="0087009D">
        <w:t xml:space="preserve"> for cross</w:t>
      </w:r>
      <w:r w:rsidRPr="0087009D">
        <w:noBreakHyphen/>
        <w:t xml:space="preserve">sector </w:t>
      </w:r>
      <w:proofErr w:type="spellStart"/>
      <w:r w:rsidRPr="0087009D">
        <w:t>action</w:t>
      </w:r>
      <w:proofErr w:type="spellEnd"/>
      <w:r w:rsidRPr="0087009D">
        <w:t xml:space="preserve"> towards </w:t>
      </w:r>
      <w:proofErr w:type="spellStart"/>
      <w:r w:rsidRPr="0087009D">
        <w:t>Baltic</w:t>
      </w:r>
      <w:proofErr w:type="spellEnd"/>
      <w:r w:rsidRPr="0087009D">
        <w:t xml:space="preserve"> </w:t>
      </w:r>
      <w:proofErr w:type="spellStart"/>
      <w:r w:rsidRPr="0087009D">
        <w:t>Sea</w:t>
      </w:r>
      <w:proofErr w:type="spellEnd"/>
      <w:r w:rsidRPr="0087009D">
        <w:t xml:space="preserve"> </w:t>
      </w:r>
      <w:proofErr w:type="spellStart"/>
      <w:r w:rsidRPr="0087009D">
        <w:t>recovery</w:t>
      </w:r>
      <w:proofErr w:type="spellEnd"/>
      <w:r w:rsidRPr="0087009D">
        <w:t>» [Ciência adaptativa e governação coordenada para uma ação intersetorial em prol da recuperação do mar Báltico],</w:t>
      </w:r>
    </w:p>
    <w:p w14:paraId="064498D2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 da Comissão das Pescas, de 28 de abril de 2025, intitulado «</w:t>
      </w:r>
      <w:proofErr w:type="spellStart"/>
      <w:r w:rsidRPr="0087009D">
        <w:t>Working</w:t>
      </w:r>
      <w:proofErr w:type="spellEnd"/>
      <w:r w:rsidRPr="0087009D">
        <w:t xml:space="preserve"> </w:t>
      </w:r>
      <w:proofErr w:type="spellStart"/>
      <w:r w:rsidRPr="0087009D">
        <w:t>document</w:t>
      </w:r>
      <w:proofErr w:type="spellEnd"/>
      <w:r w:rsidRPr="0087009D">
        <w:t xml:space="preserve"> </w:t>
      </w:r>
      <w:proofErr w:type="spellStart"/>
      <w:r w:rsidRPr="0087009D">
        <w:t>on</w:t>
      </w:r>
      <w:proofErr w:type="spellEnd"/>
      <w:r w:rsidRPr="0087009D">
        <w:t xml:space="preserve"> </w:t>
      </w:r>
      <w:proofErr w:type="spellStart"/>
      <w:r w:rsidRPr="0087009D">
        <w:t>the</w:t>
      </w:r>
      <w:proofErr w:type="spellEnd"/>
      <w:r w:rsidRPr="0087009D">
        <w:t xml:space="preserve"> </w:t>
      </w:r>
      <w:proofErr w:type="spellStart"/>
      <w:r w:rsidRPr="0087009D">
        <w:t>implementation</w:t>
      </w:r>
      <w:proofErr w:type="spellEnd"/>
      <w:r w:rsidRPr="0087009D">
        <w:t xml:space="preserve"> </w:t>
      </w:r>
      <w:proofErr w:type="spellStart"/>
      <w:r w:rsidRPr="0087009D">
        <w:t>of</w:t>
      </w:r>
      <w:proofErr w:type="spellEnd"/>
      <w:r w:rsidRPr="0087009D">
        <w:t xml:space="preserve"> </w:t>
      </w:r>
      <w:proofErr w:type="spellStart"/>
      <w:r w:rsidRPr="0087009D">
        <w:t>Regulation</w:t>
      </w:r>
      <w:proofErr w:type="spellEnd"/>
      <w:r w:rsidRPr="0087009D">
        <w:t xml:space="preserve"> (EU) 2016/1139 ("</w:t>
      </w:r>
      <w:proofErr w:type="spellStart"/>
      <w:r w:rsidRPr="0087009D">
        <w:t>Baltic</w:t>
      </w:r>
      <w:proofErr w:type="spellEnd"/>
      <w:r w:rsidRPr="0087009D">
        <w:t xml:space="preserve"> MAP")» [Documento de trabalho sobre a aplicação do Regulamento (UE) 2016/1139 ("Plano plurianual para o mar Báltico")],</w:t>
      </w:r>
    </w:p>
    <w:p w14:paraId="10A7566E" w14:textId="77777777" w:rsidR="000E46FE" w:rsidRPr="0087009D" w:rsidRDefault="000E46FE" w:rsidP="000E46FE">
      <w:pPr>
        <w:pStyle w:val="NormalHanging12a"/>
        <w:rPr>
          <w:bCs/>
          <w:iCs/>
        </w:rPr>
      </w:pPr>
      <w:r w:rsidRPr="0087009D">
        <w:lastRenderedPageBreak/>
        <w:t>–</w:t>
      </w:r>
      <w:r w:rsidRPr="0087009D">
        <w:tab/>
        <w:t>Tendo em conta o quadro para um plano europeu de gestão do corvo</w:t>
      </w:r>
      <w:r w:rsidRPr="0087009D">
        <w:noBreakHyphen/>
        <w:t>marinho</w:t>
      </w:r>
      <w:r w:rsidRPr="0087009D">
        <w:noBreakHyphen/>
        <w:t>de</w:t>
      </w:r>
      <w:r w:rsidRPr="0087009D">
        <w:noBreakHyphen/>
        <w:t>faces</w:t>
      </w:r>
      <w:r w:rsidRPr="0087009D">
        <w:noBreakHyphen/>
        <w:t>brancas da Comissão Consultiva Europeia sobre a Pesca Interior (CECPI), da Organização das Nações Unidas para a Alimentação e a Agricultura, de abril de 2025,</w:t>
      </w:r>
    </w:p>
    <w:p w14:paraId="7EAB7EE4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artigo 55.º do seu Regimento,</w:t>
      </w:r>
    </w:p>
    <w:p w14:paraId="142FF53B" w14:textId="77777777" w:rsidR="000E46FE" w:rsidRPr="0087009D" w:rsidRDefault="000E46FE" w:rsidP="000E46FE">
      <w:pPr>
        <w:pStyle w:val="NormalHanging12a"/>
      </w:pPr>
      <w:r w:rsidRPr="0087009D">
        <w:t>–</w:t>
      </w:r>
      <w:r w:rsidRPr="0087009D">
        <w:tab/>
        <w:t>Tendo em conta o relatório da Comissão das Pescas (A10</w:t>
      </w:r>
      <w:r w:rsidRPr="0087009D">
        <w:noBreakHyphen/>
        <w:t>0121/2026),</w:t>
      </w:r>
    </w:p>
    <w:p w14:paraId="0EDF8A6A" w14:textId="41A6D9C5" w:rsidR="000E46FE" w:rsidRPr="0087009D" w:rsidRDefault="000E46FE" w:rsidP="000E46FE">
      <w:pPr>
        <w:pStyle w:val="NormalHanging12a"/>
      </w:pPr>
      <w:r w:rsidRPr="0087009D">
        <w:t>A.</w:t>
      </w:r>
      <w:r w:rsidRPr="0087009D">
        <w:tab/>
      </w:r>
      <w:bookmarkStart w:id="8" w:name="_Hlk227154998"/>
      <w:r w:rsidR="007A3FB3" w:rsidRPr="0087009D">
        <w:t xml:space="preserve">Considerando que o plano plurianual da UE para as pescas no mar Báltico (Regulamento relativo ao plano plurianual para o mar Báltico) contribuiu para manter a pressão de pesca alinhada com os níveis de rendimento máximo sustentável (RMS), num contexto de pressões ambientais crescentes sobre o ecossistema do mar Báltico; considerando que, apesar das reduções significativas do esforço de pesca nos últimos anos, algumas unidades populacionais de peixes diminuíram devido a uma combinação de pressões para além da atividade de pesca, nomeadamente a eutrofização, a energia ao largo, o impacto dos predadores, a poluição, a degradação dos habitats e as alterações </w:t>
      </w:r>
      <w:proofErr w:type="spellStart"/>
      <w:r w:rsidR="007A3FB3" w:rsidRPr="0087009D">
        <w:t>ecossistémicas</w:t>
      </w:r>
      <w:proofErr w:type="spellEnd"/>
      <w:r w:rsidR="007A3FB3" w:rsidRPr="0087009D">
        <w:t xml:space="preserve"> provocadas pelas alterações climáticas, o que teve consequências socioeconómicas significativas para o setor das pescas;</w:t>
      </w:r>
      <w:bookmarkEnd w:id="8"/>
    </w:p>
    <w:p w14:paraId="30CDBDE7" w14:textId="6F9383C3" w:rsidR="000E46FE" w:rsidRPr="0087009D" w:rsidRDefault="000E46FE" w:rsidP="000E46FE">
      <w:pPr>
        <w:pStyle w:val="NormalHanging12a"/>
      </w:pPr>
      <w:r w:rsidRPr="0087009D">
        <w:t>B.</w:t>
      </w:r>
      <w:r w:rsidRPr="0087009D">
        <w:tab/>
        <w:t>Considerando que, em 2023, as ecorregiões do mar Báltico, do mar Céltico e do Grande Mar do Norte reduziram a pressão média da pesca para níveis inferiores aos níveis de RMS, com uma mortalidade por pesca 54 %, 48 % e 23 % abaixo dos objetivos de RMS, respetivamente, em comparação com níveis acima dos objetivos em 2003</w:t>
      </w:r>
      <w:r w:rsidR="00C1199E" w:rsidRPr="0087009D">
        <w:t>; considerando que</w:t>
      </w:r>
      <w:r w:rsidRPr="0087009D">
        <w:t xml:space="preserve"> as frotas da UE no mar Báltico pescaram durante 267 000 dias </w:t>
      </w:r>
      <w:r w:rsidR="00C1199E" w:rsidRPr="0087009D">
        <w:t>em </w:t>
      </w:r>
      <w:r w:rsidRPr="0087009D">
        <w:t xml:space="preserve">2022, uma diminuição de 8 % em comparação com 2021 e o nível mais baixo </w:t>
      </w:r>
      <w:r w:rsidR="00C1199E" w:rsidRPr="0087009D">
        <w:t>desde </w:t>
      </w:r>
      <w:r w:rsidRPr="0087009D">
        <w:t>2013;</w:t>
      </w:r>
    </w:p>
    <w:p w14:paraId="5FFB2600" w14:textId="7D8C45EE" w:rsidR="000E46FE" w:rsidRPr="0087009D" w:rsidRDefault="000E46FE" w:rsidP="000E46FE">
      <w:pPr>
        <w:pStyle w:val="NormalHanging12a"/>
      </w:pPr>
      <w:r w:rsidRPr="0087009D">
        <w:t>C.</w:t>
      </w:r>
      <w:r w:rsidRPr="0087009D">
        <w:tab/>
        <w:t>Considerando que as unidades populacionais de bacalhau do Báltico continuam num estado extremamente precário, sem melhorias previstas a curto prazo, apesar de a pesca dirigida estar encerrada desde 2019</w:t>
      </w:r>
      <w:r w:rsidR="00C1199E" w:rsidRPr="0087009D">
        <w:t>; considerando que</w:t>
      </w:r>
      <w:r w:rsidRPr="0087009D">
        <w:t xml:space="preserve"> o CIEM estima que as unidades populacionais de bacalhau do Báltico continuarão a desenvolver</w:t>
      </w:r>
      <w:r w:rsidRPr="0087009D">
        <w:noBreakHyphen/>
        <w:t>se lentamente, apresentando uma tendência descendente em relação aos anos anteriores, inclusive por motivos relacionados com condições ambientais adversas</w:t>
      </w:r>
      <w:r w:rsidR="00C1199E" w:rsidRPr="0087009D">
        <w:t>; considerando que</w:t>
      </w:r>
      <w:r w:rsidRPr="0087009D">
        <w:t xml:space="preserve"> o bacalhau continua a ser apanhado enquanto «captura acessória»;</w:t>
      </w:r>
    </w:p>
    <w:p w14:paraId="40EDBB19" w14:textId="5037B08B" w:rsidR="000E46FE" w:rsidRPr="0087009D" w:rsidRDefault="000E46FE" w:rsidP="000E46FE">
      <w:pPr>
        <w:pStyle w:val="NormalHanging12a"/>
      </w:pPr>
      <w:r w:rsidRPr="0087009D">
        <w:t>D.</w:t>
      </w:r>
      <w:r w:rsidRPr="0087009D">
        <w:tab/>
        <w:t>Considerando que as unidades populacionais de salmão e de truta não são abrangidas pelo Regulamento relativo ao plano plurianual para o mar Báltico</w:t>
      </w:r>
      <w:r w:rsidR="00C1199E" w:rsidRPr="0087009D">
        <w:t>; considerando que</w:t>
      </w:r>
      <w:r w:rsidRPr="0087009D">
        <w:t xml:space="preserve"> existem interligações importantes entre as unidades populacionais de salmão e truta e as unidades populacionais de arenque, especialmente tendo em conta os ecossistemas alimentares</w:t>
      </w:r>
      <w:r w:rsidR="00C1199E" w:rsidRPr="0087009D">
        <w:t>; considerando que</w:t>
      </w:r>
      <w:r w:rsidRPr="0087009D">
        <w:t xml:space="preserve"> o CIEM recomenda, desde 2022, suspender todas as capturas comerciais e recreativas de salmão na bacia principal devido à pesca mista e ao facto de as capturas de salmão afetarem várias unidades populacionais fluviais, incluindo unidades populacionais ameaçadas;</w:t>
      </w:r>
    </w:p>
    <w:p w14:paraId="7B2F738A" w14:textId="037CAC0D" w:rsidR="000E46FE" w:rsidRPr="0087009D" w:rsidRDefault="000E46FE" w:rsidP="000E46FE">
      <w:pPr>
        <w:pStyle w:val="NormalHanging12a"/>
      </w:pPr>
      <w:r w:rsidRPr="0087009D">
        <w:t>E.</w:t>
      </w:r>
      <w:r w:rsidRPr="0087009D">
        <w:tab/>
        <w:t>Considerando que 92 % dos navios que operam no mar Báltico se dedicam à pesca costeira de pequena escala, capturando 7 % do peso total mas correspondendo 22 % do valor das capturas desembarcadas, proporcionando assim benefícios económicos e sociais significativos às comunidades costeiras devido ao valor acrescentado superior à média deste segmento da frota</w:t>
      </w:r>
      <w:r w:rsidR="00C1199E" w:rsidRPr="0087009D">
        <w:t>; considerando que</w:t>
      </w:r>
      <w:r w:rsidRPr="0087009D">
        <w:t xml:space="preserve"> a pesca depende fortemente da disponibilidade de uma grande biomassa de peixes em conformidade com a PCP e de unidades populacionais geridas de forma sustentável, que são fundamentais para a </w:t>
      </w:r>
      <w:r w:rsidRPr="0087009D">
        <w:lastRenderedPageBreak/>
        <w:t>viabilidade económica do setor;</w:t>
      </w:r>
    </w:p>
    <w:p w14:paraId="66705D95" w14:textId="77777777" w:rsidR="000E46FE" w:rsidRPr="0087009D" w:rsidRDefault="000E46FE" w:rsidP="000E46FE">
      <w:pPr>
        <w:pStyle w:val="NormalHanging12a"/>
      </w:pPr>
      <w:r w:rsidRPr="0087009D">
        <w:t>F.</w:t>
      </w:r>
      <w:r w:rsidRPr="0087009D">
        <w:tab/>
      </w:r>
      <w:bookmarkStart w:id="9" w:name="_Hlk223340939"/>
      <w:r w:rsidRPr="0087009D">
        <w:t>Considerando que a frota de pesca costeira de pequena escala do Báltico tem acesso a quotas de pesca mais limitadas em comparação com os operadores de maior dimensão, o que conduz à marginalização dos segmentos da pesca de pequena escala e das suas empresas de pesca;</w:t>
      </w:r>
      <w:bookmarkEnd w:id="9"/>
    </w:p>
    <w:p w14:paraId="7FC2FF0E" w14:textId="77777777" w:rsidR="000E46FE" w:rsidRPr="0087009D" w:rsidRDefault="000E46FE" w:rsidP="000E46FE">
      <w:pPr>
        <w:pStyle w:val="NormalHanging12a"/>
      </w:pPr>
      <w:r w:rsidRPr="0087009D">
        <w:t>G.</w:t>
      </w:r>
      <w:r w:rsidRPr="0087009D">
        <w:tab/>
        <w:t>Considerando que, nos termos do artigo 17.º da PCP, os Estados</w:t>
      </w:r>
      <w:r w:rsidRPr="0087009D">
        <w:noBreakHyphen/>
        <w:t>Membros utilizam critérios transparentes e objetivos, incluindo critérios ambientais, sociais e económicos, na repartição das possibilidades de pesca que lhes foram atribuídas;</w:t>
      </w:r>
    </w:p>
    <w:p w14:paraId="76BFCBCC" w14:textId="38120E64" w:rsidR="000E46FE" w:rsidRPr="0087009D" w:rsidRDefault="000E46FE" w:rsidP="000E46FE">
      <w:pPr>
        <w:pStyle w:val="NormalHanging12a"/>
      </w:pPr>
      <w:r w:rsidRPr="0087009D">
        <w:t>H.</w:t>
      </w:r>
      <w:r w:rsidRPr="0087009D">
        <w:tab/>
        <w:t>Considerando que, de acordo com as estimativas do Comité Científico, Técnico e Económico das Pescas (CCTEP) da Comissão, após a adoção do regulamento relativo ao plano plurianual para o mar Báltico o valor acrescentado bruto dos pescadores de pequena escala na região do mar Báltico diminuiu drasticamente, situação que ameaça a segurança alimentar e agrava a dependência da UE em relação às importações</w:t>
      </w:r>
      <w:r w:rsidR="00C1199E" w:rsidRPr="0087009D">
        <w:t>; considerando que</w:t>
      </w:r>
      <w:r w:rsidRPr="0087009D">
        <w:t xml:space="preserve"> a perda de uma fonte de abastecimento de peixe proveniente da UE aumenta a dependência de importações de países terceiros e enfraquece a resiliência do mercado</w:t>
      </w:r>
      <w:r w:rsidR="00C1199E" w:rsidRPr="0087009D">
        <w:t>; considerando que</w:t>
      </w:r>
      <w:r w:rsidRPr="0087009D">
        <w:t xml:space="preserve"> se tem verificado uma diminuição contínua do número de navios de pesca ativos no mar Báltico;</w:t>
      </w:r>
    </w:p>
    <w:p w14:paraId="36FA39EF" w14:textId="77777777" w:rsidR="000E46FE" w:rsidRPr="0087009D" w:rsidRDefault="000E46FE" w:rsidP="000E46FE">
      <w:pPr>
        <w:pStyle w:val="NormalHanging12a"/>
      </w:pPr>
      <w:r w:rsidRPr="0087009D">
        <w:t>I.</w:t>
      </w:r>
      <w:r w:rsidRPr="0087009D">
        <w:tab/>
        <w:t>Considerando que o reforço das comunidades costeiras bálticas e o apoio à pesca local, em particular a pesca de pequena escala, também são essenciais para reduzir esta dependência e assegurar a sustentabilidade económica e social do litoral báltico;</w:t>
      </w:r>
    </w:p>
    <w:p w14:paraId="388D6429" w14:textId="518F8680" w:rsidR="000E46FE" w:rsidRPr="0087009D" w:rsidRDefault="000E46FE" w:rsidP="000E46FE">
      <w:pPr>
        <w:pStyle w:val="NormalHanging12a"/>
      </w:pPr>
      <w:r w:rsidRPr="0087009D">
        <w:t>J.</w:t>
      </w:r>
      <w:r w:rsidRPr="0087009D">
        <w:tab/>
        <w:t>Considerando que atualizações regulares sobre capturas e o valor acrescentado bruto do setor da pesca recreativa, incluindo a pesca recreativa no mar, estão previstas no quadro da atual aplicação do Regulamento Controlo das Pescas</w:t>
      </w:r>
      <w:r w:rsidRPr="0087009D">
        <w:rPr>
          <w:rStyle w:val="FootnoteReference"/>
        </w:rPr>
        <w:footnoteReference w:id="17"/>
      </w:r>
      <w:r w:rsidR="00C1199E" w:rsidRPr="0087009D">
        <w:t>; considerando que</w:t>
      </w:r>
      <w:r w:rsidRPr="0087009D">
        <w:t xml:space="preserve"> a pesca recreativa tem um valor social e económico considerável, que vai além dos termos monetários, e que os pescadores contribuem para os esforços de restauração e proteção da natureza</w:t>
      </w:r>
      <w:r w:rsidR="00C1199E" w:rsidRPr="0087009D">
        <w:t>; considerando que</w:t>
      </w:r>
      <w:r w:rsidRPr="0087009D">
        <w:t xml:space="preserve"> a pesca recreativa pode ter um impacto significativo nos recursos haliêuticos e que os Estados</w:t>
      </w:r>
      <w:r w:rsidRPr="0087009D">
        <w:noBreakHyphen/>
        <w:t>Membros devem, por conseguinte, assegurar que a sua prática seja consentânea com os objetivos da política comum das pescas</w:t>
      </w:r>
      <w:r w:rsidR="00C1199E" w:rsidRPr="0087009D">
        <w:t>; considerando que</w:t>
      </w:r>
      <w:r w:rsidRPr="0087009D">
        <w:t xml:space="preserve"> os pescadores recreativos são também utilizadores legítimos dos recursos biológicos marinhos;</w:t>
      </w:r>
    </w:p>
    <w:p w14:paraId="234846AC" w14:textId="313A5164" w:rsidR="000E46FE" w:rsidRPr="0087009D" w:rsidRDefault="000E46FE" w:rsidP="000E46FE">
      <w:pPr>
        <w:pStyle w:val="NormalHanging12a"/>
      </w:pPr>
      <w:r w:rsidRPr="0087009D">
        <w:t>K.</w:t>
      </w:r>
      <w:r w:rsidRPr="0087009D">
        <w:tab/>
        <w:t>Considerando que a mais recente avaliação à escala da UE do valor socioeconómico do setor da pesca recreativa no mar data de 2017 e que as suas recomendações ainda não foram aplicadas para explorar plenamente o potencial desta atividade de baixo impacto enquanto componente reconhecida da estratégia da UE para a economia azul</w:t>
      </w:r>
      <w:r w:rsidR="00C1199E" w:rsidRPr="0087009D">
        <w:t>; considerando que</w:t>
      </w:r>
      <w:r w:rsidRPr="0087009D">
        <w:t xml:space="preserve"> os dados disponíveis indicam que entre 8 e 10 milhões de cidadãos da UE estão envolvidos no setor da pesca recreativa</w:t>
      </w:r>
      <w:r w:rsidR="00C1199E" w:rsidRPr="0087009D">
        <w:t>; considerando que</w:t>
      </w:r>
      <w:r w:rsidRPr="0087009D">
        <w:t>, na região do mar Báltico, esta é uma atividade socioeconómica importante, que gera uma contribuição económica de cerca de 1,5 mil milhões de EUR e sustenta a criação de mais de 14 000 postos de trabalho equivalentes a tempo inteiro (ETC);</w:t>
      </w:r>
    </w:p>
    <w:p w14:paraId="26CBFCCB" w14:textId="364BDFAB" w:rsidR="000E46FE" w:rsidRPr="0087009D" w:rsidRDefault="000E46FE" w:rsidP="000E46FE">
      <w:pPr>
        <w:pStyle w:val="NormalHanging12a"/>
      </w:pPr>
      <w:r w:rsidRPr="0087009D">
        <w:lastRenderedPageBreak/>
        <w:t>L.</w:t>
      </w:r>
      <w:r w:rsidRPr="0087009D">
        <w:tab/>
        <w:t>Considerando que o mar Báltico é a base da subsistência e da identidade cultural de milhares de famílias</w:t>
      </w:r>
      <w:r w:rsidR="00C1199E" w:rsidRPr="0087009D">
        <w:t>; considerando que</w:t>
      </w:r>
      <w:r w:rsidRPr="0087009D">
        <w:t xml:space="preserve"> a pesca faz parte do património social, cultural e económico com séculos de história da região</w:t>
      </w:r>
      <w:r w:rsidR="00C1199E" w:rsidRPr="0087009D">
        <w:t>; considerando que</w:t>
      </w:r>
      <w:r w:rsidRPr="0087009D">
        <w:t xml:space="preserve"> as restrições à pesca devem ser aplicadas de forma a não tornar impossível a gestão de uma empresa costeira local que forneça peixe fresco aos consumidores de modo a garantir a segurança alimentar e evitar o desaparecimento, em última instância, de profissões relacionadas com a pesca, o que, por conseguinte, leva a que os habitantes abandonem as zonas costeiras;</w:t>
      </w:r>
    </w:p>
    <w:p w14:paraId="7AADB615" w14:textId="50FF502A" w:rsidR="000E46FE" w:rsidRPr="0087009D" w:rsidRDefault="000E46FE" w:rsidP="000E46FE">
      <w:pPr>
        <w:pStyle w:val="NormalHanging12a"/>
      </w:pPr>
      <w:r w:rsidRPr="0087009D">
        <w:t>M.</w:t>
      </w:r>
      <w:r w:rsidRPr="0087009D">
        <w:tab/>
        <w:t>Considerando que o mar Báltico é afetado por múltiplas pressões antropogénicas, incluindo o aquecimento global, a poluição residual, as munições químicas, a eutrofização, a alteração das condições ambientais e a degradação a longo prazo, e que é especialmente vulnerável devido à sua bacia marítima batimetricamente pouco profunda, com espécies geneticamente únicas adaptadas para viver em água salobra com níveis naturalmente baixos de salinidade e oxigénio, bem como à sua limitada troca de água com o mar do Norte e a uma forte estratificação vertical</w:t>
      </w:r>
      <w:r w:rsidR="00C1199E" w:rsidRPr="0087009D">
        <w:t>; considerando que</w:t>
      </w:r>
      <w:r w:rsidRPr="0087009D">
        <w:t xml:space="preserve"> estas condições específicas exigem abordagens de gestão adaptadas às especificidades regionais</w:t>
      </w:r>
      <w:r w:rsidR="00C1199E" w:rsidRPr="0087009D">
        <w:t>; considerando que</w:t>
      </w:r>
      <w:r w:rsidRPr="0087009D">
        <w:t xml:space="preserve"> as unidades populacionais de peixes continuaram a diminuir no mar Báltico também devido a estas pressões (incluindo desequilíbrios no que respeita aos predadores), o que afetou os recrutamentos, enquanto se registaram reduções significativas do esforço de pesca nos últimos anos</w:t>
      </w:r>
      <w:r w:rsidR="00C1199E" w:rsidRPr="0087009D">
        <w:t>; considerando que</w:t>
      </w:r>
      <w:r w:rsidRPr="0087009D">
        <w:t xml:space="preserve"> a Comissão reconhece a necessidade de abordar estes desafios ambientais adicionais para apoiar a recuperação e a sustentabilidade a longo prazo;</w:t>
      </w:r>
    </w:p>
    <w:p w14:paraId="752F48A0" w14:textId="5BCA0A54" w:rsidR="000E46FE" w:rsidRPr="0087009D" w:rsidRDefault="000E46FE" w:rsidP="000E46FE">
      <w:pPr>
        <w:pStyle w:val="NormalHanging12a"/>
      </w:pPr>
      <w:r w:rsidRPr="0087009D">
        <w:t>N.</w:t>
      </w:r>
      <w:r w:rsidRPr="0087009D">
        <w:tab/>
      </w:r>
      <w:bookmarkStart w:id="10" w:name="_Hlk223346187"/>
      <w:r w:rsidR="004F047A" w:rsidRPr="0087009D">
        <w:t xml:space="preserve">Considerando que a acumulação de múltiplas pressões, designadamente a atividade de pesca, a agricultura, o escoamento florestal, a eutrofização, a diminuição do teor de oxigénio, a poluição química e o aumento das populações de predadores marinhos, juntamente com as descargas de águas residuais não tratadas, exerce pressões significativas sobre o ecossistema através do enriquecimento em nutrientes e em matéria orgânica e da perturbação da rede trófica; considerando que esta situação afeta a pesca em toda a ecorregião do mar Báltico; </w:t>
      </w:r>
      <w:r w:rsidR="00342102" w:rsidRPr="0087009D">
        <w:t xml:space="preserve">considerando </w:t>
      </w:r>
      <w:r w:rsidR="004F047A" w:rsidRPr="0087009D">
        <w:t>que foram alcançados progressos na redução das descargas de nutrientes e de substâncias perigosas, mas que a influência combinada continua a afetar as unidades populacionais de peixes, a sobrevivência das larvas e dos peixes juvenis, sendo necessários mais esforços a este respeito em todos os setores que para tal contribuem;</w:t>
      </w:r>
      <w:bookmarkEnd w:id="10"/>
    </w:p>
    <w:p w14:paraId="32020BDA" w14:textId="4819D966" w:rsidR="000E46FE" w:rsidRPr="0087009D" w:rsidRDefault="000E46FE" w:rsidP="000E46FE">
      <w:pPr>
        <w:pStyle w:val="NormalHanging12a"/>
      </w:pPr>
      <w:r w:rsidRPr="0087009D">
        <w:t>O.</w:t>
      </w:r>
      <w:r w:rsidRPr="0087009D">
        <w:tab/>
        <w:t>Considerando que os parques eólicos marítimos estão entre as indústrias que apresentam um crescimento mais rápido no mar, apontando as previsões para um aumento substancial da capacidade</w:t>
      </w:r>
      <w:r w:rsidR="00C1199E" w:rsidRPr="0087009D">
        <w:t>; considerando que</w:t>
      </w:r>
      <w:r w:rsidRPr="0087009D">
        <w:t xml:space="preserve"> os parques eólicos marítimos tanto proporcionam benefícios, por exemplo abrigos para espécies piscícolas, como acarretam riscos para a biodiversidade, dependendo da fase de desenvolvimento, da localização e da conceção;</w:t>
      </w:r>
    </w:p>
    <w:p w14:paraId="138D6910" w14:textId="77777777" w:rsidR="000E46FE" w:rsidRPr="0087009D" w:rsidRDefault="000E46FE" w:rsidP="000E46FE">
      <w:pPr>
        <w:pStyle w:val="NormalHanging12a"/>
      </w:pPr>
      <w:r w:rsidRPr="0087009D">
        <w:t>P.</w:t>
      </w:r>
      <w:r w:rsidRPr="0087009D">
        <w:tab/>
      </w:r>
      <w:bookmarkStart w:id="11" w:name="_Hlk223339722"/>
      <w:r w:rsidRPr="0087009D">
        <w:t>Considerando que a legislação da UE em vigor demonstrou inicialmente ser bem</w:t>
      </w:r>
      <w:r w:rsidRPr="0087009D">
        <w:noBreakHyphen/>
        <w:t>sucedida na redução dos níveis de azoto nas águas da UE e contribuir para a consecução dos objetivos da Diretiva</w:t>
      </w:r>
      <w:r w:rsidRPr="0087009D">
        <w:noBreakHyphen/>
        <w:t>Quadro Estratégia Marinha (DQEM), que incluem a minimização da eutrofização antropogénica, em particular, e dos seus efeitos adversos;</w:t>
      </w:r>
      <w:bookmarkEnd w:id="11"/>
    </w:p>
    <w:p w14:paraId="33044D80" w14:textId="77777777" w:rsidR="000E46FE" w:rsidRPr="0087009D" w:rsidRDefault="000E46FE" w:rsidP="000E46FE">
      <w:pPr>
        <w:pStyle w:val="NormalHanging12a"/>
      </w:pPr>
      <w:r w:rsidRPr="0087009D">
        <w:t>Q.</w:t>
      </w:r>
      <w:r w:rsidRPr="0087009D">
        <w:tab/>
        <w:t xml:space="preserve">Considerando que os efeitos do aquecimento das águas do mar provocados pelas alterações climáticas globais e exacerbados por atividades terrestres se fazem sentir de forma particularmente rápida no mar Báltico, cujas águas aquecem a um ritmo duas </w:t>
      </w:r>
      <w:r w:rsidRPr="0087009D">
        <w:lastRenderedPageBreak/>
        <w:t>vezes superior à média dos oceanos à escala mundial, e que se prevê que tenham consequências ainda mais vastas e, em grande parte, desconhecidas, incluindo a diminuição do teor de oxigénio e perturbações contínuas do futuro ciclo reprodutivo das populações de peixes e da sua distribuição;</w:t>
      </w:r>
    </w:p>
    <w:p w14:paraId="471DF44D" w14:textId="77777777" w:rsidR="000E46FE" w:rsidRPr="0087009D" w:rsidRDefault="000E46FE" w:rsidP="000E46FE">
      <w:pPr>
        <w:pStyle w:val="NormalHanging12a"/>
      </w:pPr>
      <w:r w:rsidRPr="0087009D">
        <w:t>R.</w:t>
      </w:r>
      <w:r w:rsidRPr="0087009D">
        <w:tab/>
        <w:t>Considerando que é importante que a Comissão e os Estados</w:t>
      </w:r>
      <w:r w:rsidRPr="0087009D">
        <w:noBreakHyphen/>
        <w:t>Membros apliquem plenamente toda a legislação pertinente da UE no mar Báltico e melhorem a aplicação do plano de ação da convenção marítima regional HELCOM, a fim de abordar com sucesso os problemas do ecossistema do mar Báltico;</w:t>
      </w:r>
    </w:p>
    <w:p w14:paraId="63320EC7" w14:textId="4FCFA668" w:rsidR="000E46FE" w:rsidRPr="0087009D" w:rsidRDefault="000E46FE" w:rsidP="000E46FE">
      <w:pPr>
        <w:pStyle w:val="NormalHanging12a"/>
      </w:pPr>
      <w:r w:rsidRPr="0087009D">
        <w:t>S.</w:t>
      </w:r>
      <w:r w:rsidRPr="0087009D">
        <w:tab/>
      </w:r>
      <w:r w:rsidR="00342102" w:rsidRPr="0087009D">
        <w:t>Considerando que, ao fixarem os totais admissíveis de capturas (TAC) para 2026, os Estados</w:t>
      </w:r>
      <w:r w:rsidR="00342102" w:rsidRPr="0087009D">
        <w:noBreakHyphen/>
        <w:t xml:space="preserve">Membros estabeleceram um equilíbrio entre a sustentabilidade ambiental e a sustentabilidade socioeconómica que permite manter um nível mínimo de atividade e, ao mesmo tempo, continuar a apoiar a recuperação das unidades populacionais de peixes; </w:t>
      </w:r>
      <w:r w:rsidR="00A45836" w:rsidRPr="0087009D">
        <w:t xml:space="preserve">considerando </w:t>
      </w:r>
      <w:r w:rsidR="00342102" w:rsidRPr="0087009D">
        <w:t xml:space="preserve">que algumas unidades populacionais de peixes do Báltico estão a diminuir apesar das reduções consideráveis do esforço de pesca; </w:t>
      </w:r>
      <w:r w:rsidR="00A45836" w:rsidRPr="0087009D">
        <w:t xml:space="preserve">considerando </w:t>
      </w:r>
      <w:r w:rsidR="00342102" w:rsidRPr="0087009D">
        <w:t>que a Diretiva</w:t>
      </w:r>
      <w:r w:rsidR="00342102" w:rsidRPr="0087009D">
        <w:noBreakHyphen/>
        <w:t>Quadro Estratégia Marinha exige que os Estados</w:t>
      </w:r>
      <w:r w:rsidR="00342102" w:rsidRPr="0087009D">
        <w:noBreakHyphen/>
        <w:t>Membros alcancem um bom estado ambiental através de cadeias alimentares equilibradas e unidades populacionais saudáveis e que combatam os problemas dos contaminantes, da eutrofização, das espécies invasoras, do lixo marinho, da poluição gerada pela produção de energia, incluindo o ruído submarino, e das alterações climáticas;</w:t>
      </w:r>
    </w:p>
    <w:p w14:paraId="126DDC36" w14:textId="6B3205A2" w:rsidR="000E46FE" w:rsidRPr="0087009D" w:rsidRDefault="000E46FE" w:rsidP="000E46FE">
      <w:pPr>
        <w:pStyle w:val="NormalHanging12a"/>
        <w:rPr>
          <w:szCs w:val="24"/>
        </w:rPr>
      </w:pPr>
      <w:r w:rsidRPr="0087009D">
        <w:t>T.</w:t>
      </w:r>
      <w:r w:rsidRPr="0087009D">
        <w:tab/>
        <w:t xml:space="preserve">Considerando que, no que respeita ao mar Báltico, a Comissão, tendo solicitado o parecer do CIEM, propõe </w:t>
      </w:r>
      <w:r w:rsidR="00C1199E" w:rsidRPr="0087009D">
        <w:t xml:space="preserve">– </w:t>
      </w:r>
      <w:r w:rsidRPr="0087009D">
        <w:t>e os Estados</w:t>
      </w:r>
      <w:r w:rsidRPr="0087009D">
        <w:noBreakHyphen/>
        <w:t xml:space="preserve">Membros estão a proceder à respetiva definição </w:t>
      </w:r>
      <w:r w:rsidR="00C1199E" w:rsidRPr="0087009D">
        <w:t xml:space="preserve">– </w:t>
      </w:r>
      <w:r w:rsidRPr="0087009D">
        <w:t>quotas para as capturas acessórias, embora o CIEM recomende «capturas nulas»;</w:t>
      </w:r>
    </w:p>
    <w:p w14:paraId="1BA5B705" w14:textId="50D8DCE7" w:rsidR="000E46FE" w:rsidRPr="0087009D" w:rsidRDefault="000E46FE" w:rsidP="000E46FE">
      <w:pPr>
        <w:pStyle w:val="NormalHanging12a"/>
        <w:rPr>
          <w:szCs w:val="24"/>
        </w:rPr>
      </w:pPr>
      <w:r w:rsidRPr="0087009D">
        <w:t>U.</w:t>
      </w:r>
      <w:r w:rsidRPr="0087009D">
        <w:tab/>
      </w:r>
      <w:bookmarkStart w:id="12" w:name="_Hlk227157190"/>
      <w:r w:rsidRPr="0087009D">
        <w:t xml:space="preserve">Considerando que as regras em vigor em matéria de flexibilidade </w:t>
      </w:r>
      <w:proofErr w:type="spellStart"/>
      <w:r w:rsidRPr="0087009D">
        <w:t>interanual</w:t>
      </w:r>
      <w:proofErr w:type="spellEnd"/>
      <w:r w:rsidRPr="0087009D">
        <w:t>, tal como consagradas na PCP, comprometem a gestão sustentável das quotas</w:t>
      </w:r>
      <w:r w:rsidR="00C1199E" w:rsidRPr="0087009D">
        <w:t>; considerando que</w:t>
      </w:r>
      <w:r w:rsidRPr="0087009D">
        <w:t>, em alguns casos, o Conselho decidiu não recorrer a esta opção devido à situação crítica das unidades populacionais</w:t>
      </w:r>
      <w:r w:rsidR="00C1199E" w:rsidRPr="0087009D">
        <w:t>; considerando que</w:t>
      </w:r>
      <w:r w:rsidRPr="0087009D">
        <w:t xml:space="preserve"> são necessárias orientações para o mar Báltico, em particular para os casos das unidades populacionais em estado crítico;</w:t>
      </w:r>
    </w:p>
    <w:bookmarkEnd w:id="12"/>
    <w:p w14:paraId="3F6B0585" w14:textId="77777777" w:rsidR="000E46FE" w:rsidRPr="0087009D" w:rsidRDefault="000E46FE" w:rsidP="000E46FE">
      <w:pPr>
        <w:pStyle w:val="NormalHanging12a"/>
        <w:rPr>
          <w:szCs w:val="24"/>
        </w:rPr>
      </w:pPr>
      <w:r w:rsidRPr="0087009D">
        <w:t>V.</w:t>
      </w:r>
      <w:r w:rsidRPr="0087009D">
        <w:tab/>
        <w:t>Considerando que as declarações incorretas ou o incumprimento das regras são problemas atuais no que toca às pescas no mar Báltico e que devem ser abordados devidamente através da aplicação do Regulamento Controlo das Pescas revisto;</w:t>
      </w:r>
    </w:p>
    <w:p w14:paraId="07BF9CD5" w14:textId="6843F24D" w:rsidR="000E46FE" w:rsidRPr="0087009D" w:rsidRDefault="000E46FE" w:rsidP="000E46FE">
      <w:pPr>
        <w:pStyle w:val="NormalHanging12a"/>
        <w:rPr>
          <w:szCs w:val="24"/>
        </w:rPr>
      </w:pPr>
      <w:r w:rsidRPr="0087009D">
        <w:t>W.</w:t>
      </w:r>
      <w:r w:rsidRPr="0087009D">
        <w:tab/>
        <w:t>Considerando que desafios práticos continuam a afetar a aplicação efetiva da obrigação de desembarque no mar Báltico</w:t>
      </w:r>
      <w:r w:rsidR="00C1199E" w:rsidRPr="0087009D">
        <w:t>; considerando que</w:t>
      </w:r>
      <w:r w:rsidRPr="0087009D">
        <w:t xml:space="preserve"> os Estados</w:t>
      </w:r>
      <w:r w:rsidRPr="0087009D">
        <w:noBreakHyphen/>
        <w:t>Membros devem agir em conformidade com as disposições da PCP e do Regulamento Controlo das Pescas, incluindo as suas disposições em matéria de monitorização eletrónica à distância (REM);</w:t>
      </w:r>
    </w:p>
    <w:p w14:paraId="5CF03EDD" w14:textId="11B355D5" w:rsidR="000E46FE" w:rsidRPr="0087009D" w:rsidRDefault="000E46FE" w:rsidP="000E46FE">
      <w:pPr>
        <w:pStyle w:val="NormalHanging12a"/>
        <w:rPr>
          <w:szCs w:val="24"/>
        </w:rPr>
      </w:pPr>
      <w:r w:rsidRPr="0087009D">
        <w:t>X.</w:t>
      </w:r>
      <w:r w:rsidRPr="0087009D">
        <w:tab/>
      </w:r>
      <w:bookmarkStart w:id="13" w:name="_Hlk227157331"/>
      <w:r w:rsidRPr="0087009D">
        <w:t>Considerando que a fixação de quotas de pesca por apenas um ano dificulta o planeamento económico, do investimento e do emprego no setor das pescas</w:t>
      </w:r>
      <w:r w:rsidR="00C1199E" w:rsidRPr="0087009D">
        <w:t>; considerando que</w:t>
      </w:r>
      <w:r w:rsidRPr="0087009D">
        <w:t xml:space="preserve"> um quadro plurianual de tomada de decisões baseado nos melhores pareceres científicos disponíveis permitiria uma gestão mais estável;</w:t>
      </w:r>
      <w:bookmarkEnd w:id="13"/>
    </w:p>
    <w:p w14:paraId="07A899ED" w14:textId="5BA17B91" w:rsidR="000E46FE" w:rsidRPr="0087009D" w:rsidRDefault="000E46FE" w:rsidP="000E46FE">
      <w:pPr>
        <w:pStyle w:val="NormalHanging12a"/>
        <w:rPr>
          <w:szCs w:val="24"/>
        </w:rPr>
      </w:pPr>
      <w:r w:rsidRPr="0087009D">
        <w:t>Y.</w:t>
      </w:r>
      <w:r w:rsidRPr="0087009D">
        <w:tab/>
      </w:r>
      <w:bookmarkStart w:id="14" w:name="_Hlk227157374"/>
      <w:r w:rsidRPr="0087009D">
        <w:t>Considerando que o boto do mar Báltico está em vias de extinção e que já só existem algumas centenas destes animais no Báltico Central</w:t>
      </w:r>
      <w:r w:rsidRPr="0087009D">
        <w:rPr>
          <w:rStyle w:val="FootnoteReference"/>
          <w:szCs w:val="24"/>
        </w:rPr>
        <w:footnoteReference w:id="18"/>
      </w:r>
      <w:r w:rsidR="00C1199E" w:rsidRPr="0087009D">
        <w:t>; considerando que</w:t>
      </w:r>
      <w:r w:rsidRPr="0087009D">
        <w:t xml:space="preserve"> esta espécie </w:t>
      </w:r>
      <w:r w:rsidRPr="0087009D">
        <w:lastRenderedPageBreak/>
        <w:t>está sob ameaça constante de ser capturada como «captura acessória», de exposição a contaminantes ambientais, da escassez de presas e das perturbações causadas pelo ruído subaquático;</w:t>
      </w:r>
      <w:bookmarkEnd w:id="14"/>
    </w:p>
    <w:p w14:paraId="6A25D351" w14:textId="77777777" w:rsidR="000E46FE" w:rsidRPr="0087009D" w:rsidRDefault="000E46FE" w:rsidP="000E46FE">
      <w:pPr>
        <w:pStyle w:val="NormalHanging12a"/>
      </w:pPr>
      <w:r w:rsidRPr="0087009D">
        <w:t>Z.</w:t>
      </w:r>
      <w:r w:rsidRPr="0087009D">
        <w:tab/>
        <w:t>Considerando que os peixes forrageiros desempenham um papel vital nas cadeias alimentares marinhas e nos ecossistemas do mar Báltico;</w:t>
      </w:r>
    </w:p>
    <w:p w14:paraId="4828A96F" w14:textId="77777777" w:rsidR="000E46FE" w:rsidRPr="0087009D" w:rsidRDefault="000E46FE" w:rsidP="000E46FE">
      <w:pPr>
        <w:pStyle w:val="NormalHanging12a"/>
      </w:pPr>
      <w:r w:rsidRPr="0087009D">
        <w:t>AA.</w:t>
      </w:r>
      <w:r w:rsidRPr="0087009D">
        <w:tab/>
        <w:t>Considerando que a pesca para a produção de farinha e óleo de peixe foi autorizada na região do mar Báltico em 1995, quando inicialmente só eram permitidas exceções «desde que essa pesca não [implicasse] riscos de danos ecológicos irreversíveis», tal como previsto no Tratado entre os Estados</w:t>
      </w:r>
      <w:r w:rsidRPr="0087009D">
        <w:noBreakHyphen/>
        <w:t>Membros da União Europeia e o Reino da Noruega, a República da Áustria, a República da Finlândia e o Reino da Suécia, relativo à adesão do Reino da Noruega, da República da Áustria, da República da Finlândia e do Reino da Suécia à União Europeia</w:t>
      </w:r>
      <w:r w:rsidRPr="0087009D">
        <w:rPr>
          <w:rStyle w:val="FootnoteReference"/>
        </w:rPr>
        <w:footnoteReference w:id="19"/>
      </w:r>
      <w:r w:rsidRPr="0087009D">
        <w:t>;</w:t>
      </w:r>
    </w:p>
    <w:p w14:paraId="5AF8ED73" w14:textId="7393553A" w:rsidR="000E46FE" w:rsidRPr="0087009D" w:rsidRDefault="000E46FE" w:rsidP="000E46FE">
      <w:pPr>
        <w:pStyle w:val="NormalHanging12a"/>
      </w:pPr>
      <w:r w:rsidRPr="0087009D">
        <w:t>AB.</w:t>
      </w:r>
      <w:r w:rsidRPr="0087009D">
        <w:tab/>
        <w:t>Considerando que muitos Estados</w:t>
      </w:r>
      <w:r w:rsidRPr="0087009D">
        <w:noBreakHyphen/>
        <w:t>Membros do mar Báltico introduziram sistemas de quotas individuais transferíveis, disponíveis no âmbito da PCP</w:t>
      </w:r>
      <w:r w:rsidR="00C1199E" w:rsidRPr="0087009D">
        <w:t>; considerando que</w:t>
      </w:r>
      <w:r w:rsidRPr="0087009D">
        <w:t xml:space="preserve"> esta situação favoreceu os grandes operadores</w:t>
      </w:r>
      <w:r w:rsidR="00C1199E" w:rsidRPr="0087009D">
        <w:t>; considerando que</w:t>
      </w:r>
      <w:r w:rsidRPr="0087009D">
        <w:t xml:space="preserve"> o impacto na estrutura das unidades populacionais é determinado principalmente pelas artes e técnicas de pesca utilizadas;</w:t>
      </w:r>
    </w:p>
    <w:p w14:paraId="1ABA44B9" w14:textId="5B398B98" w:rsidR="000E46FE" w:rsidRPr="0087009D" w:rsidRDefault="000E46FE" w:rsidP="000E46FE">
      <w:pPr>
        <w:pStyle w:val="NormalHanging12a"/>
      </w:pPr>
      <w:r w:rsidRPr="0087009D">
        <w:t>AC.</w:t>
      </w:r>
      <w:r w:rsidRPr="0087009D">
        <w:tab/>
        <w:t>Considerando que a eficácia do Regulamento relativo ao plano plurianual para o mar Báltico na consecução dos seus objetivos ecológicos e socioeconómicos globais foi muito limitada</w:t>
      </w:r>
      <w:r w:rsidR="00C1199E" w:rsidRPr="0087009D">
        <w:t>; considerando que</w:t>
      </w:r>
      <w:r w:rsidRPr="0087009D">
        <w:t xml:space="preserve"> a incapacidade de restaurar as unidades populacionais de peixes acima dos níveis de referência, a fraca integração das considerações </w:t>
      </w:r>
      <w:proofErr w:type="spellStart"/>
      <w:r w:rsidRPr="0087009D">
        <w:t>ecossistémicas</w:t>
      </w:r>
      <w:proofErr w:type="spellEnd"/>
      <w:r w:rsidRPr="0087009D">
        <w:t xml:space="preserve"> e a abordagem de precaução no contexto da fixação de quotas afetaram os progressos</w:t>
      </w:r>
      <w:r w:rsidR="00C1199E" w:rsidRPr="0087009D">
        <w:t>; considerando que</w:t>
      </w:r>
      <w:r w:rsidRPr="0087009D">
        <w:t xml:space="preserve"> a falta de abordagens políticas holísticas complicou ainda mais o trabalho para evitar uma maior degradação e prestar apoio a um mar Báltico mais resiliente</w:t>
      </w:r>
      <w:r w:rsidR="00C1199E" w:rsidRPr="0087009D">
        <w:t>; considerando que</w:t>
      </w:r>
      <w:r w:rsidRPr="0087009D">
        <w:t xml:space="preserve"> o valor acrescentado em termos de cooperação regional foi fraco, que foi dado início à aplicação de poucas recomendações conjuntas pelos Estados</w:t>
      </w:r>
      <w:r w:rsidRPr="0087009D">
        <w:noBreakHyphen/>
        <w:t>Membros e que as disposições de regionalização das regras da UE em matéria de pescas não estão a ser utilizadas para adaptar as medidas de gestão às especificidades do mar Báltico</w:t>
      </w:r>
      <w:r w:rsidR="00C1199E" w:rsidRPr="0087009D">
        <w:t>; considerando que</w:t>
      </w:r>
      <w:r w:rsidRPr="0087009D">
        <w:t xml:space="preserve"> o envolvimento e a cooperação com todas as partes interessadas pertinentes têm sido insuficientes;</w:t>
      </w:r>
    </w:p>
    <w:p w14:paraId="76EB2EEB" w14:textId="77777777" w:rsidR="000E46FE" w:rsidRPr="0087009D" w:rsidRDefault="000E46FE" w:rsidP="000E46FE">
      <w:pPr>
        <w:pStyle w:val="NormalHanging12a"/>
      </w:pPr>
      <w:r w:rsidRPr="0087009D">
        <w:t>AD.</w:t>
      </w:r>
      <w:r w:rsidRPr="0087009D">
        <w:tab/>
        <w:t>Considerando que, no contexto das condições ambientais específicas do mar Báltico e em rápida evolução, as avaliações relativas a determinadas espécies e os pareceres científicos resultaram numa sobreavaliação estrutural da capacidade de reprodução e da dimensão total das unidades populacionais, afetando seriamente os recursos e a capacidade operacional e de gestão da indústria da pesca do Báltico, revelando a necessidade de abordagens mais específicas para cada bacia marítima;</w:t>
      </w:r>
    </w:p>
    <w:p w14:paraId="3773D2AD" w14:textId="49AD36B0" w:rsidR="000E46FE" w:rsidRPr="0087009D" w:rsidRDefault="000E46FE" w:rsidP="000E46FE">
      <w:pPr>
        <w:pStyle w:val="NormalHanging12a"/>
      </w:pPr>
      <w:r w:rsidRPr="0087009D">
        <w:t>AE.</w:t>
      </w:r>
      <w:r w:rsidRPr="0087009D">
        <w:tab/>
        <w:t>Considerando que, até à data, os pedidos de parecer do CIEM sobre o mar Báltico apresentados pela Comissão não solicitaram que fossem tidos em conta fatores ambientais, incluindo défices de oxigénio ou disponibilidade de alimentos, que podem afetar o estado das unidades populacionais, nem incluíram na devida medida a necessidade de destacar considerações relacionadas com o risco</w:t>
      </w:r>
      <w:r w:rsidR="00C1199E" w:rsidRPr="0087009D">
        <w:t>; considerando que</w:t>
      </w:r>
      <w:r w:rsidRPr="0087009D">
        <w:t xml:space="preserve"> os pedidos devem ser continuamente melhorados, inclusive no atinente a uma melhor comunicação da incerteza dos dados pelo CIEM, a fim de refletir melhor a qualidade </w:t>
      </w:r>
      <w:r w:rsidRPr="0087009D">
        <w:lastRenderedPageBreak/>
        <w:t>das avaliações;</w:t>
      </w:r>
    </w:p>
    <w:p w14:paraId="71660080" w14:textId="77777777" w:rsidR="000E46FE" w:rsidRPr="0087009D" w:rsidRDefault="000E46FE" w:rsidP="000E46FE">
      <w:pPr>
        <w:pStyle w:val="NormalHanging12a"/>
      </w:pPr>
      <w:r w:rsidRPr="0087009D">
        <w:t>AF.</w:t>
      </w:r>
      <w:r w:rsidRPr="0087009D">
        <w:tab/>
        <w:t>Considerando que a estrutura genética das populações e subpopulações de unidades populacionais exploradas comercialmente não é totalmente conhecida e deve ser investigada de forma mais aprofundada pelo CIEM, nomeadamente solicitando aos Estados</w:t>
      </w:r>
      <w:r w:rsidRPr="0087009D">
        <w:noBreakHyphen/>
        <w:t>Membros do mar Báltico que forneçam dados para melhorar a base de conhecimentos sobre as estruturas populacionais relevantes na região;</w:t>
      </w:r>
    </w:p>
    <w:p w14:paraId="712E1D8B" w14:textId="77777777" w:rsidR="000E46FE" w:rsidRPr="0087009D" w:rsidRDefault="000E46FE" w:rsidP="000E46FE">
      <w:pPr>
        <w:pStyle w:val="NormalHanging12a"/>
        <w:rPr>
          <w:iCs/>
        </w:rPr>
      </w:pPr>
      <w:r w:rsidRPr="0087009D">
        <w:t>AG.</w:t>
      </w:r>
      <w:r w:rsidRPr="0087009D">
        <w:tab/>
        <w:t>Considerando que, em setembro de 2025, o CIEM, juntamente com a Direção</w:t>
      </w:r>
      <w:r w:rsidRPr="0087009D">
        <w:noBreakHyphen/>
        <w:t>Geral dos Assuntos Marítimos e das Pescas da Comissão, concluiu que, no que diz respeito às espécies do mar Báltico, a gestão tradicional harmonizada de espécies individuais já não é suficiente para dar resposta às dificuldades constatadas;</w:t>
      </w:r>
    </w:p>
    <w:p w14:paraId="11303ED5" w14:textId="77777777" w:rsidR="000E46FE" w:rsidRPr="0087009D" w:rsidRDefault="000E46FE" w:rsidP="000E46FE">
      <w:pPr>
        <w:pStyle w:val="NormalHanging12a"/>
        <w:rPr>
          <w:iCs/>
        </w:rPr>
      </w:pPr>
      <w:r w:rsidRPr="0087009D">
        <w:t>AH.</w:t>
      </w:r>
      <w:r w:rsidRPr="0087009D">
        <w:tab/>
        <w:t>Considerando que a HELCOM está a desenvolver mapas de risco ambiental que abrangem zonas particularmente vulneráveis à eutrofização, à anoxia e aos sedimentos tóxicos no fundo do mar, mapas estes que devem proporcionar informações para definir locais onde dar prioridade ao estabelecimento de zonas protegidas e definir eventuais períodos de defeso da pesca;</w:t>
      </w:r>
    </w:p>
    <w:p w14:paraId="02E7230F" w14:textId="77777777" w:rsidR="000E46FE" w:rsidRPr="0087009D" w:rsidRDefault="000E46FE" w:rsidP="000E46FE">
      <w:pPr>
        <w:pStyle w:val="NormalHanging12a"/>
        <w:rPr>
          <w:iCs/>
        </w:rPr>
      </w:pPr>
      <w:r w:rsidRPr="0087009D">
        <w:t>AI.</w:t>
      </w:r>
      <w:r w:rsidRPr="0087009D">
        <w:tab/>
        <w:t>Considerando que o aconselhamento científico deve ser melhorado para evitar uma sobreavaliação da dimensão e da produtividade das unidades populacionais, limites de captura indevidos e incerteza para as empresas;</w:t>
      </w:r>
    </w:p>
    <w:p w14:paraId="7838BA55" w14:textId="453EB434" w:rsidR="000E46FE" w:rsidRPr="0087009D" w:rsidRDefault="000E46FE" w:rsidP="000E46FE">
      <w:pPr>
        <w:pStyle w:val="NormalHanging12a"/>
        <w:rPr>
          <w:iCs/>
        </w:rPr>
      </w:pPr>
      <w:r w:rsidRPr="0087009D">
        <w:t>AJ.</w:t>
      </w:r>
      <w:r w:rsidRPr="0087009D">
        <w:tab/>
        <w:t>Considerando que, nos termos do artigo 43.º, n.º 3, do TFUE, as decisões relativas à fixação dos totais admissíveis de capturas (TAC) e de outras possibilidades de pesca são da competência exclusiva do Conselho e, por conseguinte, dos Estados</w:t>
      </w:r>
      <w:r w:rsidRPr="0087009D">
        <w:noBreakHyphen/>
        <w:t>Membros</w:t>
      </w:r>
      <w:r w:rsidR="00C1199E" w:rsidRPr="0087009D">
        <w:t>; considerando que</w:t>
      </w:r>
      <w:r w:rsidRPr="0087009D">
        <w:t xml:space="preserve"> estas decisões devem ter plenamente em conta os dados científicos mais recentes e a diversidade das condições ambientais na região do mar Báltico</w:t>
      </w:r>
      <w:r w:rsidR="00C1199E" w:rsidRPr="0087009D">
        <w:t>;</w:t>
      </w:r>
    </w:p>
    <w:p w14:paraId="33513E73" w14:textId="77777777" w:rsidR="000E46FE" w:rsidRPr="0087009D" w:rsidRDefault="000E46FE" w:rsidP="000E46FE">
      <w:pPr>
        <w:pStyle w:val="NormalHanging12a"/>
      </w:pPr>
      <w:r w:rsidRPr="0087009D">
        <w:t>AK.</w:t>
      </w:r>
      <w:r w:rsidRPr="0087009D">
        <w:tab/>
        <w:t>Considerando que alguns países terceiros, como o Canadá, a Nova Zelândia e a Austrália, aplicam sistemas diferentes de gestão com base em dados científicos, com graus de precaução que diferem dos aplicados na UE;</w:t>
      </w:r>
    </w:p>
    <w:p w14:paraId="4ED59E03" w14:textId="31AF9562" w:rsidR="000E46FE" w:rsidRPr="0087009D" w:rsidRDefault="000E46FE" w:rsidP="000E46FE">
      <w:pPr>
        <w:pStyle w:val="NormalHanging12a"/>
      </w:pPr>
      <w:r w:rsidRPr="0087009D">
        <w:t>AL.</w:t>
      </w:r>
      <w:r w:rsidRPr="0087009D">
        <w:tab/>
        <w:t>Considerando que as zonas marítimas protegidas bem geridas e com boas ligações são instrumentos importantes para a atenuação dos efeitos das alterações climáticas, bem como para contribuir para objetivos mais amplos, como a biodiversidade, a resiliência e a saúde dos ecossistemas</w:t>
      </w:r>
      <w:r w:rsidR="00C1199E" w:rsidRPr="0087009D">
        <w:t>; considerando que</w:t>
      </w:r>
      <w:r w:rsidRPr="0087009D">
        <w:t xml:space="preserve"> o restauro dos ecossistemas costeiros vegetados, como as terras banhadas pela maré e as pradarias submarinas (ecossistemas costeiros de «carbono azul»), pode contribuir para a atenuação dos efeitos das alterações climáticas através de um aumento do sequestro de carbono;</w:t>
      </w:r>
    </w:p>
    <w:p w14:paraId="741BC9EE" w14:textId="380294A3" w:rsidR="000E46FE" w:rsidRPr="0087009D" w:rsidRDefault="000E46FE" w:rsidP="000E46FE">
      <w:pPr>
        <w:pStyle w:val="NormalHanging12a"/>
      </w:pPr>
      <w:r w:rsidRPr="0087009D">
        <w:t>AM.</w:t>
      </w:r>
      <w:r w:rsidRPr="0087009D">
        <w:tab/>
        <w:t>Considerando que a aplicação do artigo 5.º do plano plurianual para o mar Báltico, relativo às decisões sobre os TAC, às regras técnicas e às medidas corretivas não foi suficiente</w:t>
      </w:r>
      <w:r w:rsidR="00C1199E" w:rsidRPr="0087009D">
        <w:t>; considerando que</w:t>
      </w:r>
      <w:r w:rsidRPr="0087009D">
        <w:t xml:space="preserve"> as ações destinadas a assegurar o retorno rápido da unidade populacional em causa a níveis superiores aos capazes de produzir o RMS não atingiram o seu objetivo;</w:t>
      </w:r>
    </w:p>
    <w:p w14:paraId="691E9E6D" w14:textId="77777777" w:rsidR="000E46FE" w:rsidRPr="0087009D" w:rsidRDefault="000E46FE" w:rsidP="000E46FE">
      <w:pPr>
        <w:pStyle w:val="NormalHanging12a"/>
      </w:pPr>
      <w:r w:rsidRPr="0087009D">
        <w:t>AN.</w:t>
      </w:r>
      <w:r w:rsidRPr="0087009D">
        <w:tab/>
        <w:t>Considerando que, embora o Regulamento relativo ao plano plurianual para o mar Báltico se destine a ser um quadro flexível ajustável no âmbito de uma abordagem regionalizada, as alterações tiveram um êxito limitado, em parte em resultado de uma aplicação limitada da legislação pertinente;</w:t>
      </w:r>
    </w:p>
    <w:p w14:paraId="56B0BC40" w14:textId="77777777" w:rsidR="000E46FE" w:rsidRPr="0087009D" w:rsidRDefault="000E46FE" w:rsidP="000E46FE">
      <w:pPr>
        <w:pStyle w:val="NormalHanging12a"/>
      </w:pPr>
      <w:r w:rsidRPr="0087009D">
        <w:t>AO.</w:t>
      </w:r>
      <w:r w:rsidRPr="0087009D">
        <w:tab/>
        <w:t xml:space="preserve">Considerando que vários regulamentos da UE referidos no Regulamento relativo ao </w:t>
      </w:r>
      <w:r w:rsidRPr="0087009D">
        <w:lastRenderedPageBreak/>
        <w:t xml:space="preserve">plano plurianual para o mar Báltico estabelecem formas de evitar riscos e de analisar unidades populacionais saudáveis e componentes do ecossistema; </w:t>
      </w:r>
    </w:p>
    <w:p w14:paraId="5532B85E" w14:textId="77777777" w:rsidR="000E46FE" w:rsidRPr="0087009D" w:rsidRDefault="000E46FE" w:rsidP="000E46FE">
      <w:pPr>
        <w:pStyle w:val="NormalHanging12a"/>
      </w:pPr>
      <w:r w:rsidRPr="0087009D">
        <w:t>AP.</w:t>
      </w:r>
      <w:r w:rsidRPr="0087009D">
        <w:tab/>
      </w:r>
      <w:bookmarkStart w:id="15" w:name="_Hlk227162156"/>
      <w:r w:rsidRPr="0087009D">
        <w:t>Considerando que a pesca invernal no mar Báltico de espécies pelágicas durante o seu período de crescimento intensivo e de acumulação de reservas de energia antes da desova enfraquece a capacidade de reprodução das unidades populacionais, uma vez que as fêmeas privadas de uma nutrição adequada produzem ovos em menor quantidade e menos desenvolvidos, o que limita o sucesso reprodutivo e dificulta a recuperação da população;</w:t>
      </w:r>
      <w:bookmarkEnd w:id="15"/>
    </w:p>
    <w:p w14:paraId="15D7D52E" w14:textId="77777777" w:rsidR="000E46FE" w:rsidRPr="0087009D" w:rsidRDefault="000E46FE" w:rsidP="000E46FE">
      <w:pPr>
        <w:pStyle w:val="NormalHanging12a"/>
      </w:pPr>
      <w:r w:rsidRPr="0087009D">
        <w:t>AQ.</w:t>
      </w:r>
      <w:r w:rsidRPr="0087009D">
        <w:tab/>
        <w:t>Considerando que, em 2023, o relatório de iniciativa do Parlamento defendeu uma abordagem pragmática e equilibrada no que respeita às áreas marinhas protegidas, reconhecendo a sua diversidade no atinente à dimensão, às espécies e aos objetivos de conservação, sublinhou a necessidade de evitar uma abordagem única e salientou que tais estratégias devem ter cuidadosamente em conta o impacto socioeconómico nas comunidades costeiras, basear</w:t>
      </w:r>
      <w:r w:rsidRPr="0087009D">
        <w:noBreakHyphen/>
        <w:t>se nos melhores dados científicos disponíveis numa base casuística e assegurar a participação ativa dos pescadores na conceção e na gestão das áreas marinhas protegidas;</w:t>
      </w:r>
    </w:p>
    <w:p w14:paraId="1419EFD3" w14:textId="77777777" w:rsidR="000E46FE" w:rsidRPr="0087009D" w:rsidRDefault="000E46FE" w:rsidP="000E46FE">
      <w:pPr>
        <w:pStyle w:val="NormalHanging12a"/>
      </w:pPr>
      <w:r w:rsidRPr="0087009D">
        <w:t>AR.</w:t>
      </w:r>
      <w:r w:rsidRPr="0087009D">
        <w:tab/>
        <w:t>Considerando que o sistema de tomada de decisões da UE em matéria de TAC estabelece atualmente uma distinção entre a gestão das espécies</w:t>
      </w:r>
      <w:r w:rsidRPr="0087009D">
        <w:noBreakHyphen/>
        <w:t>alvo e as necessidades de proteção de outras espécies, visando simultaneamente aplicar uma abordagem de precaução para lograr e manter o estatuto de ecossistema saudável;</w:t>
      </w:r>
    </w:p>
    <w:p w14:paraId="42122846" w14:textId="560D085B" w:rsidR="000E46FE" w:rsidRPr="0087009D" w:rsidRDefault="000E46FE" w:rsidP="000E46FE">
      <w:pPr>
        <w:pStyle w:val="NormalHanging12a"/>
      </w:pPr>
      <w:r w:rsidRPr="0087009D">
        <w:t>AS.</w:t>
      </w:r>
      <w:r w:rsidRPr="0087009D">
        <w:tab/>
        <w:t>Considerando que um ecossistema funcional, como definido na Diretiva</w:t>
      </w:r>
      <w:r w:rsidRPr="0087009D">
        <w:noBreakHyphen/>
        <w:t xml:space="preserve">Quadro Estratégia Marinha (DQEM), exige que todos os elementos das cadeias alimentares marinhas, na medida em que sejam conhecidos, estejam presentes com uma abundância e diversidade normais e em níveis capazes de assegurar a abundância a longo prazo das espécies e a manutenção da sua plena capacidade reprodutiva, como delineado no </w:t>
      </w:r>
      <w:r w:rsidR="00C1199E" w:rsidRPr="0087009D">
        <w:t>anexo </w:t>
      </w:r>
      <w:r w:rsidRPr="0087009D">
        <w:t>I da DQEM;</w:t>
      </w:r>
    </w:p>
    <w:p w14:paraId="4D9FEF3A" w14:textId="77777777" w:rsidR="000E46FE" w:rsidRPr="0087009D" w:rsidRDefault="000E46FE" w:rsidP="000E46FE">
      <w:pPr>
        <w:pStyle w:val="NormalHanging12a"/>
      </w:pPr>
      <w:r w:rsidRPr="0087009D">
        <w:t>AT.</w:t>
      </w:r>
      <w:r w:rsidRPr="0087009D">
        <w:tab/>
        <w:t xml:space="preserve">Considerando que a gestão </w:t>
      </w:r>
      <w:proofErr w:type="spellStart"/>
      <w:r w:rsidRPr="0087009D">
        <w:t>ecossistémica</w:t>
      </w:r>
      <w:proofErr w:type="spellEnd"/>
      <w:r w:rsidRPr="0087009D">
        <w:t xml:space="preserve"> é definida pelo PNUA como a gestão das atividades humanas e dos seus impactos nos ecossistemas e nos recursos naturais com base na consideração de todo o ecossistema;</w:t>
      </w:r>
    </w:p>
    <w:p w14:paraId="0BA97032" w14:textId="0AC6ACCE" w:rsidR="000E46FE" w:rsidRPr="0087009D" w:rsidRDefault="000E46FE" w:rsidP="000E46FE">
      <w:pPr>
        <w:pStyle w:val="NormalHanging12a"/>
      </w:pPr>
      <w:r w:rsidRPr="0087009D">
        <w:t>AU.</w:t>
      </w:r>
      <w:r w:rsidRPr="0087009D">
        <w:tab/>
        <w:t>Considerando que o Fórum das Pescas do Mar Báltico (BALTFISH) realiza debates preparatórios sobre as decisões relativas aos TAC</w:t>
      </w:r>
      <w:r w:rsidR="00C1199E" w:rsidRPr="0087009D">
        <w:t>; considerando que</w:t>
      </w:r>
      <w:r w:rsidRPr="0087009D">
        <w:t xml:space="preserve"> a regionalização permite uma gestão flexível das bacias marítimas da UE</w:t>
      </w:r>
      <w:r w:rsidR="00C1199E" w:rsidRPr="0087009D">
        <w:t>; considerando que</w:t>
      </w:r>
      <w:r w:rsidRPr="0087009D">
        <w:t xml:space="preserve"> o BALTFISH pode apresentar «recomendações conjuntas» relativas a medidas específicas que devem ser simplificadas;</w:t>
      </w:r>
    </w:p>
    <w:p w14:paraId="7E41E5C2" w14:textId="02E01B94" w:rsidR="000E46FE" w:rsidRPr="0087009D" w:rsidRDefault="000E46FE" w:rsidP="000E46FE">
      <w:pPr>
        <w:pStyle w:val="NormalHanging12a"/>
      </w:pPr>
      <w:r w:rsidRPr="0087009D">
        <w:t>AV.</w:t>
      </w:r>
      <w:r w:rsidRPr="0087009D">
        <w:tab/>
        <w:t>Considerando que a sustentabilidade a longo prazo do setor das pescas do mar Báltico depende da integração de objetivos ambientais, económicos e sociais, assegurando que as medidas de gestão salvaguardem o emprego, a coesão regional e o abastecimento alimentar nas zonas costeiras</w:t>
      </w:r>
      <w:r w:rsidR="00C1199E" w:rsidRPr="0087009D">
        <w:t>; considerando que</w:t>
      </w:r>
      <w:r w:rsidRPr="0087009D">
        <w:t xml:space="preserve"> o conhecimento regional e local, incluindo o dos pescadores e das comunidades costeiras, representa uma componente essencial de uma gestão eficaz;</w:t>
      </w:r>
    </w:p>
    <w:p w14:paraId="41183B23" w14:textId="7EB01055" w:rsidR="000E46FE" w:rsidRPr="0087009D" w:rsidRDefault="000E46FE" w:rsidP="000E46FE">
      <w:pPr>
        <w:pStyle w:val="NormalHanging12a"/>
      </w:pPr>
      <w:r w:rsidRPr="0087009D">
        <w:t>AW.</w:t>
      </w:r>
      <w:r w:rsidRPr="0087009D">
        <w:tab/>
        <w:t>Considerando que vários relatórios estratégicos e científicos salientam a necessidade de uma abordagem melhorada e mais coerente da tomada de decisões e da aplicação de uma abordagem totalmente holística</w:t>
      </w:r>
      <w:r w:rsidR="00C1199E" w:rsidRPr="0087009D">
        <w:t>; considerando que</w:t>
      </w:r>
      <w:r w:rsidRPr="0087009D">
        <w:t xml:space="preserve"> a consecução de tal abordagem </w:t>
      </w:r>
      <w:r w:rsidRPr="0087009D">
        <w:lastRenderedPageBreak/>
        <w:t>é o objetivo da declaração ministerial</w:t>
      </w:r>
      <w:r w:rsidRPr="0087009D">
        <w:rPr>
          <w:vertAlign w:val="superscript"/>
        </w:rPr>
        <w:footnoteReference w:id="20"/>
      </w:r>
      <w:r w:rsidRPr="0087009D">
        <w:t xml:space="preserve"> das conferências «O nosso Báltico»</w:t>
      </w:r>
      <w:r w:rsidR="00C1199E" w:rsidRPr="0087009D">
        <w:t>; considerando que</w:t>
      </w:r>
      <w:r w:rsidRPr="0087009D">
        <w:t xml:space="preserve"> os resultados concretos destas conferências e da declaração foram limitados, especialmente em termos de progressos no atinente à aplicação de legislação ambiental; </w:t>
      </w:r>
    </w:p>
    <w:p w14:paraId="59A18AB3" w14:textId="77777777" w:rsidR="000E46FE" w:rsidRPr="0087009D" w:rsidRDefault="000E46FE" w:rsidP="000E46FE">
      <w:pPr>
        <w:pStyle w:val="NormalHanging12a"/>
      </w:pPr>
      <w:r w:rsidRPr="0087009D">
        <w:t>AX.</w:t>
      </w:r>
      <w:r w:rsidRPr="0087009D">
        <w:tab/>
      </w:r>
      <w:bookmarkStart w:id="16" w:name="_Hlk227162595"/>
      <w:r w:rsidRPr="0087009D">
        <w:t>Considerando que o Pacto Europeu dos Oceanos, que anuncia uma futura proposta de ato legislativo sobre os oceanos, tem a ambição de proporcionar um quadro holístico para clarificar as interligações e as prioridades das políticas existentes em matéria de oceanos;</w:t>
      </w:r>
      <w:bookmarkEnd w:id="16"/>
    </w:p>
    <w:p w14:paraId="2552DED4" w14:textId="29A98E9F" w:rsidR="000E46FE" w:rsidRPr="0087009D" w:rsidRDefault="000E46FE" w:rsidP="000E46FE">
      <w:pPr>
        <w:pStyle w:val="NormalHanging12a"/>
      </w:pPr>
      <w:r w:rsidRPr="0087009D">
        <w:t>AY.</w:t>
      </w:r>
      <w:r w:rsidRPr="0087009D">
        <w:tab/>
        <w:t>Considerando que a Comissão e os Estados</w:t>
      </w:r>
      <w:r w:rsidRPr="0087009D">
        <w:noBreakHyphen/>
        <w:t>Membros não tomaram medidas suficientes para proteger os ecossistemas do mar Báltico contra ameaças adicionais como a poluição, a eutrofização e as alterações climáticas e para restaurar os referidos ecossistemas</w:t>
      </w:r>
      <w:r w:rsidR="00C1199E" w:rsidRPr="0087009D">
        <w:t>; considerando que</w:t>
      </w:r>
      <w:r w:rsidRPr="0087009D">
        <w:t xml:space="preserve"> estas pressões são de natureza transfronteiriça e cumulativa e, por conseguinte, exigem uma ação coordenada a nível internacional e da UE</w:t>
      </w:r>
      <w:r w:rsidR="00C1199E" w:rsidRPr="0087009D">
        <w:t>; considerando que</w:t>
      </w:r>
      <w:r w:rsidRPr="0087009D">
        <w:t xml:space="preserve"> a transição para atividades económicas </w:t>
      </w:r>
      <w:proofErr w:type="spellStart"/>
      <w:r w:rsidRPr="0087009D">
        <w:t>hipocarbónicas</w:t>
      </w:r>
      <w:proofErr w:type="spellEnd"/>
      <w:r w:rsidRPr="0087009D">
        <w:t xml:space="preserve"> e de baixo impacto pode contribuir para a atenuação das alterações climáticas e a adaptação às mesmas;</w:t>
      </w:r>
    </w:p>
    <w:p w14:paraId="773B30C5" w14:textId="119412FF" w:rsidR="000E46FE" w:rsidRPr="0087009D" w:rsidRDefault="000E46FE" w:rsidP="000E46FE">
      <w:pPr>
        <w:pStyle w:val="NormalHanging12a"/>
      </w:pPr>
      <w:r w:rsidRPr="0087009D">
        <w:t>AZ.</w:t>
      </w:r>
      <w:r w:rsidRPr="0087009D">
        <w:tab/>
      </w:r>
      <w:bookmarkStart w:id="17" w:name="_Hlk223339901"/>
      <w:r w:rsidRPr="0087009D">
        <w:t>Considerando que a predação natural faz parte do ecossistema báltico</w:t>
      </w:r>
      <w:r w:rsidR="00C1199E" w:rsidRPr="0087009D">
        <w:t>; considerando que</w:t>
      </w:r>
      <w:r w:rsidRPr="0087009D">
        <w:t xml:space="preserve"> existe uma população cada vez maior de determinadas espécies protegidas no mar Báltico, como as focas</w:t>
      </w:r>
      <w:r w:rsidRPr="0087009D">
        <w:noBreakHyphen/>
        <w:t>cinzentas (</w:t>
      </w:r>
      <w:proofErr w:type="spellStart"/>
      <w:r w:rsidRPr="0087009D">
        <w:rPr>
          <w:i/>
          <w:iCs/>
        </w:rPr>
        <w:t>Halichoerus</w:t>
      </w:r>
      <w:proofErr w:type="spellEnd"/>
      <w:r w:rsidRPr="0087009D">
        <w:rPr>
          <w:i/>
          <w:iCs/>
        </w:rPr>
        <w:t xml:space="preserve"> </w:t>
      </w:r>
      <w:proofErr w:type="spellStart"/>
      <w:r w:rsidRPr="0087009D">
        <w:rPr>
          <w:i/>
          <w:iCs/>
        </w:rPr>
        <w:t>grypus</w:t>
      </w:r>
      <w:proofErr w:type="spellEnd"/>
      <w:r w:rsidRPr="0087009D">
        <w:t>) e os grandes corvos</w:t>
      </w:r>
      <w:r w:rsidRPr="0087009D">
        <w:noBreakHyphen/>
        <w:t>marinhos (</w:t>
      </w:r>
      <w:proofErr w:type="spellStart"/>
      <w:r w:rsidRPr="0087009D">
        <w:rPr>
          <w:i/>
          <w:iCs/>
        </w:rPr>
        <w:t>Phalacrocorax</w:t>
      </w:r>
      <w:proofErr w:type="spellEnd"/>
      <w:r w:rsidRPr="0087009D">
        <w:rPr>
          <w:i/>
          <w:iCs/>
        </w:rPr>
        <w:t xml:space="preserve"> </w:t>
      </w:r>
      <w:proofErr w:type="spellStart"/>
      <w:r w:rsidRPr="0087009D">
        <w:rPr>
          <w:i/>
          <w:iCs/>
        </w:rPr>
        <w:t>carbosinensis</w:t>
      </w:r>
      <w:proofErr w:type="spellEnd"/>
      <w:r w:rsidRPr="0087009D">
        <w:t>)</w:t>
      </w:r>
      <w:r w:rsidR="00C1199E" w:rsidRPr="0087009D">
        <w:t>; considerando que</w:t>
      </w:r>
      <w:r w:rsidRPr="0087009D">
        <w:t xml:space="preserve"> as focas e os corvos</w:t>
      </w:r>
      <w:r w:rsidRPr="0087009D">
        <w:noBreakHyphen/>
        <w:t>marinhos podem ter um impacto significativo na sobrevivência dos juvenis de bacalhau, em particular do bacalhau do Báltico Ocidental, bem como na aquicultura e nas artes de pesca</w:t>
      </w:r>
      <w:r w:rsidR="00C1199E" w:rsidRPr="0087009D">
        <w:t>; considerando que</w:t>
      </w:r>
      <w:r w:rsidRPr="0087009D">
        <w:t xml:space="preserve"> os dados científicos demonstram que têm, sobretudo, um impacto localizado específico por espécie e por unidade populacional nas populações de peixes</w:t>
      </w:r>
      <w:r w:rsidR="00C1199E" w:rsidRPr="0087009D">
        <w:t>; considerando que</w:t>
      </w:r>
      <w:r w:rsidRPr="0087009D">
        <w:t xml:space="preserve"> devem ser tidos em conta todos os fatores que afetam as populações de peixes, a fim de reconstituir as unidades populacionais de peixes do mar Báltico</w:t>
      </w:r>
      <w:r w:rsidR="00C1199E" w:rsidRPr="0087009D">
        <w:t>; considerando que</w:t>
      </w:r>
      <w:r w:rsidRPr="0087009D">
        <w:t xml:space="preserve"> uma abordagem </w:t>
      </w:r>
      <w:proofErr w:type="spellStart"/>
      <w:r w:rsidRPr="0087009D">
        <w:t>ecossistémica</w:t>
      </w:r>
      <w:proofErr w:type="spellEnd"/>
      <w:r w:rsidRPr="0087009D">
        <w:t xml:space="preserve"> da gestão das pescas também deve integrar fatores ambientais</w:t>
      </w:r>
      <w:r w:rsidR="00C1199E" w:rsidRPr="0087009D">
        <w:t>; considerando que</w:t>
      </w:r>
      <w:r w:rsidRPr="0087009D">
        <w:t xml:space="preserve"> abordar estas interações requer medidas de gestão específicas e eficazes, baseadas nos melhores dados científicos disponíveis e no diálogo com todas as partes interessadas</w:t>
      </w:r>
      <w:r w:rsidR="00C1199E" w:rsidRPr="0087009D">
        <w:t>; considerando que</w:t>
      </w:r>
      <w:r w:rsidRPr="0087009D">
        <w:t>, aquando da adoção de um plano europeu de gestão dos corvos</w:t>
      </w:r>
      <w:r w:rsidRPr="0087009D">
        <w:noBreakHyphen/>
        <w:t>marinhos destinado a atenuar o impacto crescente destas aves nas unidades populacionais de peixes, nas pescas e na aquicultura, o Parlamento apresentou uma série de medidas potenciais para responder aos atuais desafios colocados pelas populações de corvos</w:t>
      </w:r>
      <w:r w:rsidRPr="0087009D">
        <w:noBreakHyphen/>
        <w:t>marinhos;</w:t>
      </w:r>
      <w:bookmarkEnd w:id="17"/>
    </w:p>
    <w:p w14:paraId="34CAF9E4" w14:textId="2AEF5293" w:rsidR="000E46FE" w:rsidRPr="0087009D" w:rsidRDefault="000E46FE" w:rsidP="000E46FE">
      <w:pPr>
        <w:pStyle w:val="NormalHanging12a"/>
      </w:pPr>
      <w:r w:rsidRPr="0087009D">
        <w:t>BA.</w:t>
      </w:r>
      <w:r w:rsidRPr="0087009D">
        <w:tab/>
        <w:t>Considerando que a Comissão está a avaliar o regime da União Europeia aplicável à foca</w:t>
      </w:r>
      <w:r w:rsidR="00C1199E" w:rsidRPr="0087009D">
        <w:t>; considerando que</w:t>
      </w:r>
      <w:r w:rsidRPr="0087009D">
        <w:t>, durante uma consulta pública realizada pela Comissão, ficaram patentes preocupações sobre a caça à foca e um sentimento forte contra a colocação no mercado de produtos derivados da foca</w:t>
      </w:r>
      <w:r w:rsidRPr="0087009D">
        <w:rPr>
          <w:vertAlign w:val="superscript"/>
        </w:rPr>
        <w:footnoteReference w:id="21"/>
      </w:r>
      <w:r w:rsidRPr="0087009D">
        <w:t>;</w:t>
      </w:r>
    </w:p>
    <w:p w14:paraId="69E17146" w14:textId="77777777" w:rsidR="000E46FE" w:rsidRPr="0087009D" w:rsidRDefault="000E46FE" w:rsidP="000E46FE">
      <w:pPr>
        <w:pStyle w:val="NormalHanging12a"/>
      </w:pPr>
      <w:r w:rsidRPr="0087009D">
        <w:t>BB.</w:t>
      </w:r>
      <w:r w:rsidRPr="0087009D">
        <w:tab/>
        <w:t xml:space="preserve">Considerando que, desde o fim da Segunda Guerra Mundial, dezenas de milhares de toneladas de armas convencionais e químicas que contêm substâncias perigosas, </w:t>
      </w:r>
      <w:r w:rsidRPr="0087009D">
        <w:lastRenderedPageBreak/>
        <w:t>incluindo agentes de guerra química (como a mostarda sulfurosa, ou gás mostarda, o gás lacrimogéneo e agentes convulsivos paralíticos), que, em resultado da corrosão progressiva, têm vindo a libertar gradualmente produtos químicos perigosos para o ambiente marinho, provocando a sua contaminação, danos nos ecossistemas e perda de biodiversidade, representando ainda uma ameaça para a saúde humana e para as atividades económicas dependentes do mar, inclusivamente a pesca, o transporte, a extração de matérias</w:t>
      </w:r>
      <w:r w:rsidRPr="0087009D">
        <w:noBreakHyphen/>
        <w:t>primas e o desenvolvimento da energia marítima;</w:t>
      </w:r>
    </w:p>
    <w:p w14:paraId="08C37548" w14:textId="77777777" w:rsidR="000E46FE" w:rsidRPr="0087009D" w:rsidRDefault="000E46FE" w:rsidP="000E46FE">
      <w:pPr>
        <w:pStyle w:val="NormalHanging12a"/>
      </w:pPr>
      <w:r w:rsidRPr="0087009D">
        <w:t>BC.</w:t>
      </w:r>
      <w:r w:rsidRPr="0087009D">
        <w:tab/>
        <w:t>Considerando que qualquer fuga de instalações de armazenamento de produtos químicos poderia conduzir à rápida contaminação de uma grande parte do mar Báltico, o que excederia as capacidades de cada país e exigiria uma resposta coordenada da UE;</w:t>
      </w:r>
    </w:p>
    <w:p w14:paraId="4D76FF61" w14:textId="77777777" w:rsidR="000E46FE" w:rsidRPr="0087009D" w:rsidRDefault="000E46FE" w:rsidP="000E46FE">
      <w:pPr>
        <w:pStyle w:val="NormalHanging12a"/>
      </w:pPr>
      <w:r w:rsidRPr="0087009D">
        <w:t>BD.</w:t>
      </w:r>
      <w:r w:rsidRPr="0087009D">
        <w:tab/>
        <w:t>Considerando que a reabilitação do fundo do mar Báltico, incluindo a remoção de armas químicas, cargas tóxicas e substâncias radioativas, exige um plano a longo prazo e financeiramente seguro desenvolvido a nível da UE;</w:t>
      </w:r>
    </w:p>
    <w:p w14:paraId="69301D3A" w14:textId="77777777" w:rsidR="000E46FE" w:rsidRPr="0087009D" w:rsidRDefault="000E46FE" w:rsidP="000E46FE">
      <w:pPr>
        <w:pStyle w:val="NormalHanging12a"/>
      </w:pPr>
      <w:r w:rsidRPr="0087009D">
        <w:t>BE.</w:t>
      </w:r>
      <w:r w:rsidRPr="0087009D">
        <w:tab/>
        <w:t>Considerando que a gestão sustentável das unidades populacionais de peixes do mar Báltico também é dificultada por lacunas de dados decorrentes da não comunicação de dados pela Federação da Rússia, o que agrava a incerteza científica e mina a gestão eficaz da pesca regional;</w:t>
      </w:r>
    </w:p>
    <w:p w14:paraId="75DE36F9" w14:textId="77777777" w:rsidR="000E46FE" w:rsidRPr="0087009D" w:rsidRDefault="000E46FE" w:rsidP="000E46FE">
      <w:pPr>
        <w:pStyle w:val="NormalHanging12a"/>
      </w:pPr>
      <w:r w:rsidRPr="0087009D">
        <w:t>BF.</w:t>
      </w:r>
      <w:r w:rsidRPr="0087009D">
        <w:tab/>
        <w:t>Considerando que a Rússia toma unilateralmente decisões sobre as quotas, ignorando os pareceres científicos e estabelecendo sistematicamente quotas que excedem o RMS, colocando potencialmente em risco a recuperação das unidades populacionais de peixe do mar Báltico;</w:t>
      </w:r>
    </w:p>
    <w:p w14:paraId="68EFE6CA" w14:textId="3A3F98E2" w:rsidR="000E46FE" w:rsidRPr="0087009D" w:rsidRDefault="000E46FE" w:rsidP="000E46FE">
      <w:pPr>
        <w:pStyle w:val="NormalHanging12a"/>
      </w:pPr>
      <w:r w:rsidRPr="0087009D">
        <w:t>BG.</w:t>
      </w:r>
      <w:r w:rsidRPr="0087009D">
        <w:tab/>
        <w:t>Considerando que a atividade da chamada frota</w:t>
      </w:r>
      <w:r w:rsidRPr="0087009D">
        <w:noBreakHyphen/>
        <w:t>fantasma da Rússia aumentou desde a guerra de agressão da Rússia contra a Ucrânia</w:t>
      </w:r>
      <w:r w:rsidR="00C1199E" w:rsidRPr="0087009D">
        <w:t>; considerando que</w:t>
      </w:r>
      <w:r w:rsidRPr="0087009D">
        <w:t xml:space="preserve"> esta frota opera navios obsoletos que não cumprem as normas de segurança e que são utilizados para transportar petróleo bruto e produtos petrolíferos pelo mar Báltico, com um nível mínimo de respeito pelas normas de segurança, ambientais e regulamentares, representa um grave risco para o ambiente marinho e as pescas regionais devido ao envelhecimento e à má manutenção dos seus navios, e que também suscita preocupações no que diz respeito às pescas no contexto da necessária recuperação das unidades populacionais de peixes do mar Báltico e da segurança global do mar Báltico, com potenciais consequências catastróficas em caso de derrame de petróleo que poderão afetar todos os países da região;</w:t>
      </w:r>
    </w:p>
    <w:p w14:paraId="5675C8CB" w14:textId="77777777" w:rsidR="000E46FE" w:rsidRPr="0087009D" w:rsidRDefault="000E46FE" w:rsidP="00B60520">
      <w:pPr>
        <w:pStyle w:val="NormalHanging12a"/>
        <w:ind w:left="0" w:firstLine="0"/>
        <w:rPr>
          <w:b/>
          <w:bCs/>
          <w:i/>
          <w:iCs/>
        </w:rPr>
      </w:pPr>
      <w:r w:rsidRPr="0087009D">
        <w:rPr>
          <w:b/>
          <w:i/>
        </w:rPr>
        <w:t>Medidas urgentes</w:t>
      </w:r>
    </w:p>
    <w:p w14:paraId="7FA505C9" w14:textId="77777777" w:rsidR="000E46FE" w:rsidRPr="0087009D" w:rsidRDefault="000E46FE" w:rsidP="000E46FE">
      <w:pPr>
        <w:pStyle w:val="NormalHanging12a"/>
      </w:pPr>
      <w:r w:rsidRPr="0087009D">
        <w:t>1.</w:t>
      </w:r>
      <w:r w:rsidRPr="0087009D">
        <w:tab/>
        <w:t>Insta a Comissão e o Conselho a garantirem a utilização eficaz de todos os instrumentos jurídicos e de gestão disponíveis, incluindo medidas específicas, recorrendo a uma abordagem científica e a uma consulta eficaz das partes interessadas, de modo a evitar um maior declínio das unidades populacionais de peixes do mar Báltico;</w:t>
      </w:r>
    </w:p>
    <w:p w14:paraId="78DBDB63" w14:textId="77777777" w:rsidR="000E46FE" w:rsidRPr="0087009D" w:rsidRDefault="000E46FE" w:rsidP="000E46FE">
      <w:pPr>
        <w:pStyle w:val="NormalHanging12a"/>
      </w:pPr>
      <w:r w:rsidRPr="0087009D">
        <w:t>2.</w:t>
      </w:r>
      <w:r w:rsidRPr="0087009D">
        <w:tab/>
      </w:r>
      <w:bookmarkStart w:id="18" w:name="_Hlk223339076"/>
      <w:r w:rsidRPr="0087009D">
        <w:t>Insta a Comissão, juntamente com os Estados</w:t>
      </w:r>
      <w:r w:rsidRPr="0087009D">
        <w:noBreakHyphen/>
        <w:t>Membros, a avaliar a forma como evoluiu a distribuição das quotas entre os segmentos da frota no mar Báltico e a determinar se existe um nexo de causalidade entre a pressão sobre os recursos e a política nacional de distribuição das possibilidades de pesca</w:t>
      </w:r>
      <w:bookmarkEnd w:id="18"/>
      <w:r w:rsidRPr="0087009D">
        <w:t>;</w:t>
      </w:r>
    </w:p>
    <w:p w14:paraId="257C7069" w14:textId="77777777" w:rsidR="000E46FE" w:rsidRPr="0087009D" w:rsidRDefault="000E46FE" w:rsidP="000E46FE">
      <w:pPr>
        <w:pStyle w:val="NormalHanging12a"/>
        <w:rPr>
          <w:noProof/>
          <w:szCs w:val="24"/>
        </w:rPr>
      </w:pPr>
      <w:r w:rsidRPr="0087009D">
        <w:t>3.</w:t>
      </w:r>
      <w:r w:rsidRPr="0087009D">
        <w:tab/>
      </w:r>
      <w:bookmarkStart w:id="19" w:name="_Hlk223341054"/>
      <w:r w:rsidRPr="0087009D">
        <w:t>Exorta a Comissão e os Estados</w:t>
      </w:r>
      <w:r w:rsidRPr="0087009D">
        <w:noBreakHyphen/>
        <w:t xml:space="preserve">Membros, aquando da aplicação do Regulamento relativo ao plano plurianual para o mar Báltico, a avançarem para a fase de recuperação </w:t>
      </w:r>
      <w:r w:rsidRPr="0087009D">
        <w:lastRenderedPageBreak/>
        <w:t>e reconstituição das unidades populacionais de peixes, tomando medidas e ações com base nos melhores pareceres científicos disponíveis, bem como optando por eventuais ações interligadas relacionadas com outras leis nacionais ou a legislação da UE para fazer face a todos os fatores de stress que afetam as unidades populacionais de peixes;</w:t>
      </w:r>
      <w:bookmarkEnd w:id="19"/>
      <w:r w:rsidRPr="0087009D">
        <w:t xml:space="preserve"> solicita à Comissão e aos Estados</w:t>
      </w:r>
      <w:r w:rsidRPr="0087009D">
        <w:noBreakHyphen/>
        <w:t>Membros, aquando da execução da fase de recuperação e reconstrução acima referida, que ponderem medidas corretivas baseadas nos melhores dados científicos disponíveis, como a suspensão da pesca visando algumas unidades populacionais no mar Báltico, tal como previsto no plano plurianual, e evitando medidas que possam comprometer a estabilidade socioeconómica das comunidades costeiras, a fim de assegurar que as atividades de pesca para consumo humano continuem a ser sustentáveis;</w:t>
      </w:r>
    </w:p>
    <w:p w14:paraId="31F120F8" w14:textId="6115DB46" w:rsidR="000E46FE" w:rsidRPr="0087009D" w:rsidRDefault="000E46FE" w:rsidP="000E46FE">
      <w:pPr>
        <w:pStyle w:val="NormalHanging12a"/>
        <w:rPr>
          <w:noProof/>
          <w:szCs w:val="24"/>
        </w:rPr>
      </w:pPr>
      <w:r w:rsidRPr="0087009D">
        <w:t>4.</w:t>
      </w:r>
      <w:r w:rsidRPr="0087009D">
        <w:tab/>
        <w:t>Apela à mobilização de apoio social e financeiro, incluindo o apoio às comunidades afetadas, o investimento local, a compensação temporária e a ajuda transitória aos pescadores, em conformidade com as regras da UE, a fim de evitar dificuldades injustificadas e preservar o património cultural; observa que, embora as medidas temporárias respondam a preocupações ecológicas imediatas, os instrumentos de cessação definitiva são concebidos para ajustar a capacidade de pesca às possibilidades de pesca a longo prazo; solicita, por conseguinte, uma separação clara entre a cessação temporária e a cessação definitiva no quadro dos regimes de apoio;</w:t>
      </w:r>
      <w:r w:rsidR="00DD3B09" w:rsidRPr="0087009D">
        <w:t xml:space="preserve"> constata que as pequenas e médias empresas de pesca do Báltico não receberam uma compensação económica adequada pelas perdas incorridas desde o encerramento da pesca dirigida ao bacalhau em 2019; pede à Comissão que crie um fundo de recuperação e transição específico para a pesca no Báltico, a fim de apoiar a restruturação da frota, a modernização da tecnologia, a compensação pelas perdas causadas pela proibição da pesca de determinadas espécies e a preservação das comunidades piscatórias costeiras e do seu património cultural;</w:t>
      </w:r>
    </w:p>
    <w:p w14:paraId="0A8AA61C" w14:textId="77777777" w:rsidR="000E46FE" w:rsidRPr="0087009D" w:rsidRDefault="000E46FE" w:rsidP="000E46FE">
      <w:pPr>
        <w:pStyle w:val="NormalHanging12a"/>
      </w:pPr>
      <w:r w:rsidRPr="0087009D">
        <w:t>5.</w:t>
      </w:r>
      <w:r w:rsidRPr="0087009D">
        <w:tab/>
        <w:t>Frisa que quaisquer medidas relativas à reconstituição das unidades populacionais devem ter em conta as condições hidrológicas e químicas únicas e específicas à bacia do mar Báltico, uma massa de água salobra semifechada caracterizada por uma limitação das trocas de água, zonas anóxicas e uma contaminação persistente dos sedimentos, que são características desta bacia e não são comparáveis às de outras bacias marítimas da UE;</w:t>
      </w:r>
    </w:p>
    <w:p w14:paraId="041335C0" w14:textId="77777777" w:rsidR="000E46FE" w:rsidRPr="0087009D" w:rsidRDefault="000E46FE" w:rsidP="000E46FE">
      <w:pPr>
        <w:pStyle w:val="NormalHanging12a"/>
      </w:pPr>
      <w:r w:rsidRPr="0087009D">
        <w:t>6.</w:t>
      </w:r>
      <w:r w:rsidRPr="0087009D">
        <w:tab/>
        <w:t>Insta o Conselho a adotar TAC que sejam plenamente congruentes com a abordagem de precaução, tendo em conta a vulnerabilidade dos ecossistemas do mar Báltico, os fatores socioeconómicos e as lentas taxas de reconstituição das unidades populacionais, assim como a incerteza científica dos pareceres; exorta a Comissão a atentar particularmente nos aspetos socioeconómicos na avaliação do atual plano plurianual; sublinha que é necessária uma abordagem que concilie fatores ambientais e socioeconómicos, tal como estabelecido no artigo 2.º do Regulamento PCP;</w:t>
      </w:r>
    </w:p>
    <w:p w14:paraId="7001B55A" w14:textId="15C44638" w:rsidR="000E46FE" w:rsidRPr="0087009D" w:rsidRDefault="000E46FE" w:rsidP="000E46FE">
      <w:pPr>
        <w:pStyle w:val="NormalHanging12a"/>
      </w:pPr>
      <w:r w:rsidRPr="0087009D">
        <w:t>7.</w:t>
      </w:r>
      <w:r w:rsidRPr="0087009D">
        <w:tab/>
        <w:t>Salienta que fixar quotas plurianuais com base nos melhores dados científicos disponíveis poderá dar tempo à natureza para recuperar e proporcionar às empresas a estabilidade necessária para planear investimentos, manter os postos de trabalho e preservar as infraestruturas portuárias</w:t>
      </w:r>
      <w:r w:rsidR="00DD3B09" w:rsidRPr="0087009D">
        <w:t>, e apoiar a renovação geracional no setor das pescas; sublinha que a instabilidade prolongada da regulamentação conduz ao desinvestimento, à perda de capacidade de produção e ao desaparecimento de empresas de pesca familiares, o que constitui uma perda socioeconómica irreversível para as comunidades costeiras do Báltico</w:t>
      </w:r>
      <w:r w:rsidRPr="0087009D">
        <w:t xml:space="preserve">; frisa que a elaboração deste tipo de medidas de gestão deve assentar numa consulta eficaz, oportuna e sistemática das partes </w:t>
      </w:r>
      <w:r w:rsidRPr="0087009D">
        <w:lastRenderedPageBreak/>
        <w:t>interessadas;</w:t>
      </w:r>
    </w:p>
    <w:p w14:paraId="0C973D27" w14:textId="77777777" w:rsidR="000E46FE" w:rsidRPr="0087009D" w:rsidRDefault="000E46FE" w:rsidP="000E46FE">
      <w:pPr>
        <w:pStyle w:val="NormalHanging12a"/>
      </w:pPr>
      <w:r w:rsidRPr="0087009D">
        <w:t>8.</w:t>
      </w:r>
      <w:r w:rsidRPr="0087009D">
        <w:tab/>
        <w:t>Solicita aos Estados</w:t>
      </w:r>
      <w:r w:rsidRPr="0087009D">
        <w:noBreakHyphen/>
        <w:t>Membros e à Comissão que, dadas as insuficiências do Regulamento relativo ao plano plurianual para o mar Báltico no que respeita à consecução dos seus objetivos ecológicos e socioeconómicos, ponderem a adoção de medidas em consonância com os artigos 12.º e 13.º do Regulamento PCP, sempre que os melhores pareceres científicos disponíveis indiquem que essas medidas são necessárias, e planeiem ações com base numa análise dos custos e dos benefícios de encerrar as pescarias em causa, nomeadamente a pesca recreativa, tendo em conta a perda de receitas, os meios de subsistência, a segurança alimentar e os custos futuros da inação;</w:t>
      </w:r>
    </w:p>
    <w:p w14:paraId="2111B399" w14:textId="77777777" w:rsidR="000E46FE" w:rsidRPr="0087009D" w:rsidRDefault="000E46FE" w:rsidP="000E46FE">
      <w:pPr>
        <w:pStyle w:val="NormalHanging12a"/>
      </w:pPr>
      <w:r w:rsidRPr="0087009D">
        <w:t>9.</w:t>
      </w:r>
      <w:r w:rsidRPr="0087009D">
        <w:tab/>
        <w:t>Exorta à prevenção de danos ecológicos irreversíveis às populações de arenque e espadilha no mar Báltico, para garantir a viabilidade a longo prazo da pesca costeira e de pequena escala dirigida a essas espécies e proteger as cadeias alimentares marinhas; considera urgente, com base em pareceres científicos, ponderar a realização de pausas de recuperação para as unidades populacionais em causa, até que os dados científicos demonstrem que houve uma recuperação clara e sustentável das unidades populacionais;</w:t>
      </w:r>
    </w:p>
    <w:p w14:paraId="3F23B16D" w14:textId="77777777" w:rsidR="000E46FE" w:rsidRPr="0087009D" w:rsidRDefault="000E46FE" w:rsidP="000E46FE">
      <w:pPr>
        <w:pStyle w:val="NormalHanging12a"/>
      </w:pPr>
      <w:r w:rsidRPr="0087009D">
        <w:t>10.</w:t>
      </w:r>
      <w:r w:rsidRPr="0087009D">
        <w:tab/>
        <w:t>Sublinha, a este respeito, que, para serem o mais eficazes possível e para cumprirem os seus objetivos, as medidas corretivas têm de contar com a participação efetiva das partes interessadas e devem basear</w:t>
      </w:r>
      <w:r w:rsidRPr="0087009D">
        <w:noBreakHyphen/>
        <w:t>se nos melhores dados científicos disponíveis; sublinha ainda a hipótese de criar zonas de recuperação de unidades populacionais de peixes baseadas em dados científicos e de suspender temporariamente as pescas no mar Báltico, dando especial atenção às zonas de concentração no inverno e antes da desova, com vista a manter um recrutamento estável e uma estrutura etária saudável, bem como de adotar medidas de recuperação passivas e ativas, nomeadamente em zonas de desova e de reprodução, em consonância com as disposições da legislação ambiental aplicável da UE; vinca a importância de acompanhar essas medidas de uma compensação adequada e oportuna, de acordo com as disposições pertinentes da UE;</w:t>
      </w:r>
    </w:p>
    <w:p w14:paraId="575A68F4" w14:textId="77777777" w:rsidR="000E46FE" w:rsidRPr="0087009D" w:rsidRDefault="000E46FE" w:rsidP="000E46FE">
      <w:pPr>
        <w:pStyle w:val="NormalHanging12a"/>
      </w:pPr>
      <w:r w:rsidRPr="0087009D">
        <w:t>11.</w:t>
      </w:r>
      <w:r w:rsidRPr="0087009D">
        <w:tab/>
        <w:t xml:space="preserve">Recorda os compromissos e os objetivos da UE no que respeita à cobertura territorial e à eficácia das AMP; defende a adequada aplicação de medidas de gestão eficazes às atuais AMP do mar Báltico, assim como a designação de novas AMP, em consonância com os compromissos da UE; frisa que esta designação deve assentar em avaliações científicas que revelem </w:t>
      </w:r>
      <w:r w:rsidRPr="0087009D">
        <w:rPr>
          <w:i/>
          <w:iCs/>
        </w:rPr>
        <w:t>habitats</w:t>
      </w:r>
      <w:r w:rsidRPr="0087009D">
        <w:t xml:space="preserve"> ou locais de desova críticos; assinala que é necessário combinar medidas de gestão eficazes com projetos</w:t>
      </w:r>
      <w:r w:rsidRPr="0087009D">
        <w:noBreakHyphen/>
        <w:t>piloto para artes de pesca seletivas e de baixo impacto, inspirados em iniciativas bem</w:t>
      </w:r>
      <w:r w:rsidRPr="0087009D">
        <w:noBreakHyphen/>
        <w:t xml:space="preserve">sucedidas no mar do Norte e no </w:t>
      </w:r>
      <w:proofErr w:type="spellStart"/>
      <w:r w:rsidRPr="0087009D">
        <w:t>Skagerrak</w:t>
      </w:r>
      <w:proofErr w:type="spellEnd"/>
      <w:r w:rsidRPr="0087009D">
        <w:t>;</w:t>
      </w:r>
    </w:p>
    <w:p w14:paraId="427947FC" w14:textId="77777777" w:rsidR="000E46FE" w:rsidRPr="0087009D" w:rsidRDefault="000E46FE" w:rsidP="000E46FE">
      <w:pPr>
        <w:pStyle w:val="NormalHanging12a"/>
      </w:pPr>
      <w:r w:rsidRPr="0087009D">
        <w:t>12.</w:t>
      </w:r>
      <w:r w:rsidRPr="0087009D">
        <w:tab/>
      </w:r>
      <w:bookmarkStart w:id="20" w:name="_Hlk223341323"/>
      <w:r w:rsidRPr="0087009D">
        <w:t>Realça a importância de manter uma pequena pesca viável com desembarques limitados na região, permitindo</w:t>
      </w:r>
      <w:r w:rsidRPr="0087009D">
        <w:noBreakHyphen/>
        <w:t>lhes operar durante as fases de reconstrução; recorda as disposições aplicáveis do Regulamento Controlo das Pescas revisto e a sua plena e correta aplicação; salienta que estes tipos de pesca são cruciais para assegurar os meios de subsistência, garantir a resiliência das cadeias de abastecimento tradicionais e preservar os postos de trabalho nas comunidades piscatórias costeiras e que têm um importante valor social e cultural; sublinha que reforçar estes tipos de pescas poderá trazer mais valor acrescentado às economias locais; frisa a importância dos três pilares do desenvolvimento sustentável, em conformidade com o artigo 2.º do Regulamento PCP;</w:t>
      </w:r>
      <w:bookmarkEnd w:id="20"/>
    </w:p>
    <w:p w14:paraId="41CB653D" w14:textId="173AB398" w:rsidR="000E46FE" w:rsidRPr="0087009D" w:rsidRDefault="000E46FE" w:rsidP="000E46FE">
      <w:pPr>
        <w:pStyle w:val="NormalHanging12a"/>
        <w:rPr>
          <w:szCs w:val="24"/>
        </w:rPr>
      </w:pPr>
      <w:r w:rsidRPr="0087009D">
        <w:lastRenderedPageBreak/>
        <w:t>13.</w:t>
      </w:r>
      <w:r w:rsidRPr="0087009D">
        <w:tab/>
      </w:r>
      <w:bookmarkStart w:id="21" w:name="_Hlk223339158"/>
      <w:r w:rsidRPr="0087009D">
        <w:t>Exorta a Comissão e os Estados</w:t>
      </w:r>
      <w:r w:rsidRPr="0087009D">
        <w:noBreakHyphen/>
        <w:t>Membros a darem prioridade à melhoria da situação socioeconómica dos pequenos pescadores costeiros; realça a importância das possibilidades de pesca e das zonas de pesca nas regiões costeiras para os pequenos operadores; salienta que, para conseguirem estas melhorias, os Estados</w:t>
      </w:r>
      <w:r w:rsidRPr="0087009D">
        <w:noBreakHyphen/>
        <w:t>Membros podem recorrer às quotas nacionais que lhes foram atribuídas, em conformidade com o artigo 17.º do Regulamento PCP, e realizar investimentos em artes de pesca seletivas e de baixo impacto;</w:t>
      </w:r>
      <w:bookmarkEnd w:id="21"/>
      <w:r w:rsidR="00DA245D" w:rsidRPr="0087009D">
        <w:t xml:space="preserve"> solicita ainda à Comissão e aos Estados-Membros que avaliem e, se for caso disso, apliquem regras de acesso diferenciadas para a pesca no mar Báltico, com base no comprimento dos navios e nos tipos de arte de pesca, com o objetivo específico de limitar a pressão competitiva exercida pelos navios industriais de grande dimensão sobre as empresas familiares de pequena e média dimensão e sobre as comunidades costeiras;</w:t>
      </w:r>
    </w:p>
    <w:p w14:paraId="32F7B512" w14:textId="77777777" w:rsidR="000E46FE" w:rsidRPr="0087009D" w:rsidRDefault="000E46FE" w:rsidP="000E46FE">
      <w:pPr>
        <w:pStyle w:val="NormalHanging12a"/>
        <w:rPr>
          <w:szCs w:val="24"/>
        </w:rPr>
      </w:pPr>
      <w:r w:rsidRPr="0087009D">
        <w:t>14.</w:t>
      </w:r>
      <w:r w:rsidRPr="0087009D">
        <w:tab/>
        <w:t>Solicita aos Estados</w:t>
      </w:r>
      <w:r w:rsidRPr="0087009D">
        <w:noBreakHyphen/>
        <w:t>Membros e à Comissão que reforcem ainda mais a aplicação da obrigação de desembarque para combater as devoluções ilegais no mar Báltico, reconheçam que são necessárias medidas viáveis para promover seletividade e reduzir as capturas involuntárias e apliquem as disposições pertinentes nesta matéria, em conformidade com a PCP e o Regulamento Controlo das Pescas;</w:t>
      </w:r>
    </w:p>
    <w:p w14:paraId="63EA3A32" w14:textId="77777777" w:rsidR="000E46FE" w:rsidRPr="0087009D" w:rsidRDefault="000E46FE" w:rsidP="000E46FE">
      <w:pPr>
        <w:pStyle w:val="NormalHanging12a"/>
        <w:rPr>
          <w:szCs w:val="24"/>
        </w:rPr>
      </w:pPr>
      <w:r w:rsidRPr="0087009D">
        <w:t>15.</w:t>
      </w:r>
      <w:r w:rsidRPr="0087009D">
        <w:tab/>
        <w:t>Destaca o papel do Pacto Europeu dos Oceanos na promoção de uma abordagem holística e de uma economia azul sustentável e regenerativa no mar Báltico, prevendo ações específicas para restabelecer as unidades populacionais de peixes e reduzir a pressão sobre o ambiente; observa que a concretização dos objetivos do Pacto dos Oceanos e da Bússola para a Competitividade requer um apoio financeiro adequado para fomentar uma economia marítima resiliente e viável a longo prazo e para promover a inovação, a modernização, a descarbonização e a digitalização;</w:t>
      </w:r>
    </w:p>
    <w:p w14:paraId="2BC77505" w14:textId="77777777" w:rsidR="000E46FE" w:rsidRPr="0087009D" w:rsidRDefault="000E46FE" w:rsidP="000E46FE">
      <w:pPr>
        <w:pStyle w:val="NormalHanging12a"/>
        <w:rPr>
          <w:szCs w:val="24"/>
        </w:rPr>
      </w:pPr>
      <w:r w:rsidRPr="0087009D">
        <w:t>16.</w:t>
      </w:r>
      <w:r w:rsidRPr="0087009D">
        <w:tab/>
        <w:t>Insta a Comissão e os Estados</w:t>
      </w:r>
      <w:r w:rsidRPr="0087009D">
        <w:noBreakHyphen/>
        <w:t>Membros a reduzirem os encargos administrativos e a zelarem por uma melhor articulação entre as políticas, a fim de reforçar a resiliência, a competitividade e a sustentabilidade a longo prazo da região do mar Báltico perante os desafios ecológicos e do mercado;</w:t>
      </w:r>
    </w:p>
    <w:p w14:paraId="1DE10707" w14:textId="77777777" w:rsidR="000E46FE" w:rsidRPr="0087009D" w:rsidRDefault="000E46FE" w:rsidP="000E46FE">
      <w:pPr>
        <w:pStyle w:val="NormalHanging12a"/>
        <w:rPr>
          <w:szCs w:val="24"/>
        </w:rPr>
      </w:pPr>
      <w:r w:rsidRPr="0087009D">
        <w:t>17.</w:t>
      </w:r>
      <w:r w:rsidRPr="0087009D">
        <w:tab/>
        <w:t>Apela à Comissão para que, enquanto guardiã dos Tratados, aja em conformidade com os Tratados sempre que o Conselho e os Estados</w:t>
      </w:r>
      <w:r w:rsidRPr="0087009D">
        <w:noBreakHyphen/>
        <w:t>Membros violarem as normas da UE, nomeadamente as normas do plano plurianual para o Báltico;</w:t>
      </w:r>
    </w:p>
    <w:p w14:paraId="5CD75296" w14:textId="77777777" w:rsidR="000E46FE" w:rsidRPr="0087009D" w:rsidRDefault="000E46FE" w:rsidP="000E46FE">
      <w:pPr>
        <w:pStyle w:val="NormalHanging12a"/>
      </w:pPr>
      <w:r w:rsidRPr="0087009D">
        <w:t>18.</w:t>
      </w:r>
      <w:r w:rsidRPr="0087009D">
        <w:tab/>
        <w:t>Insta os Estados</w:t>
      </w:r>
      <w:r w:rsidRPr="0087009D">
        <w:noBreakHyphen/>
        <w:t>Membros da UE a garantirem a plena e correta aplicação do regulamento da UE relativo ao controlo das pescas, nomeadamente as disposições destinadas a combater as declarações incorretas de capturas e a reforçar a precisão e a fiabilidade das declarações de capturas na região;</w:t>
      </w:r>
    </w:p>
    <w:p w14:paraId="4B88236D" w14:textId="77777777" w:rsidR="000E46FE" w:rsidRPr="0087009D" w:rsidRDefault="000E46FE" w:rsidP="00B60520">
      <w:pPr>
        <w:pStyle w:val="NormalHanging12a"/>
        <w:ind w:left="0" w:firstLine="0"/>
        <w:rPr>
          <w:b/>
          <w:bCs/>
          <w:i/>
          <w:iCs/>
        </w:rPr>
      </w:pPr>
      <w:r w:rsidRPr="0087009D">
        <w:rPr>
          <w:b/>
          <w:i/>
        </w:rPr>
        <w:t>Melhoria das recomendações científicas</w:t>
      </w:r>
    </w:p>
    <w:p w14:paraId="40C3EBC2" w14:textId="77777777" w:rsidR="000E46FE" w:rsidRPr="0087009D" w:rsidRDefault="000E46FE" w:rsidP="000E46FE">
      <w:pPr>
        <w:pStyle w:val="NormalHanging12a"/>
      </w:pPr>
      <w:r w:rsidRPr="0087009D">
        <w:t>19.</w:t>
      </w:r>
      <w:r w:rsidRPr="0087009D">
        <w:tab/>
        <w:t>Sublinha a importância de basear a gestão das pescas nos melhores pareceres científicos disponíveis e o papel fundamental do CIEM na garantia da coerência científica, assim como a importância dos conhecimentos dos pescadores; vinca a importância da independência do CIEM; solicita aos Estados</w:t>
      </w:r>
      <w:r w:rsidRPr="0087009D">
        <w:noBreakHyphen/>
        <w:t>Membros e à Comissão que zelem por que o CIEM disponha dos dados científicos necessários e atuais sobre as pescas, para que continue a melhorar os seus pareceres e garantir a disponibilização de avaliações científicas de elevada qualidade em tempo útil; solicita à Comissão que torne públicos todos os seus pedidos de pareceres científicos ao CIEM, para permitir também um diálogo aberto;</w:t>
      </w:r>
    </w:p>
    <w:p w14:paraId="37383F2E" w14:textId="77777777" w:rsidR="000E46FE" w:rsidRPr="0087009D" w:rsidRDefault="000E46FE" w:rsidP="000E46FE">
      <w:pPr>
        <w:pStyle w:val="NormalHanging12a"/>
      </w:pPr>
      <w:r w:rsidRPr="0087009D">
        <w:lastRenderedPageBreak/>
        <w:t>20.</w:t>
      </w:r>
      <w:r w:rsidRPr="0087009D">
        <w:tab/>
        <w:t>Insta a Comissão a pedir sem demora ao CIEM que, nas suas deliberações sobre o memorando de entendimento, continue a elaborar pareceres sobre múltiplas espécies baseados nos ecossistemas, bem como pareceres sobre a recuperação das unidades populacionais, dada a variabilidade ambiental e as interações das cadeias alimentares, a estudar a possibilidade de utilizar pontos de referência baseados nos ecossistemas e dados sobre a mortalidade por pesca adaptados aos ecossistemas, concebidos especialmente para as interações entre o mar Báltico e espécies específicas, e a incluir também indicadores suplementares baseados noutra legislação pertinente da UE, tal como a Diretiva</w:t>
      </w:r>
      <w:r w:rsidRPr="0087009D">
        <w:noBreakHyphen/>
        <w:t>Quadro Estratégia Marinha, por exemplo, indicadores relativos a peixes de grande porte e indicadores sobre a distribuição por idade e por tamanho; realça que esses pareces devem continuar a ser transparentes e previsíveis para o setor e que devem evitar sobrestimações, que resultam em limites de captura desajustados e criam incerteza para as empresas;</w:t>
      </w:r>
    </w:p>
    <w:p w14:paraId="03DC890D" w14:textId="77777777" w:rsidR="000E46FE" w:rsidRPr="0087009D" w:rsidRDefault="000E46FE" w:rsidP="000E46FE">
      <w:pPr>
        <w:pStyle w:val="NormalHanging12a"/>
      </w:pPr>
      <w:r w:rsidRPr="0087009D">
        <w:t>21.</w:t>
      </w:r>
      <w:r w:rsidRPr="0087009D">
        <w:tab/>
      </w:r>
      <w:bookmarkStart w:id="22" w:name="_Hlk223340570"/>
      <w:r w:rsidRPr="0087009D">
        <w:t>Insta a Comissão a solicitar ao CIEM, para o caso do mar Báltico, um parecer sobre margens de segurança face à incerteza dos pareceres científicos e à incerteza em relação ao recrutamento e à trajetória da biomassa, bem como um parecer sobre os efeitos de não utilizar intervalos acima do RMS e todas as consequências daí decorrentes, evitando reduções rígidas ou automáticas que ignorem as realidades socioeconómicas; salienta que o RSM continua a ser uma ferramenta importante para uma gestão adaptativa e responsável; insta ainda a Comissão a solicitar ao Comité Científico, Técnico e Económico das Pescas que efetue análises socioeconómicas relevantes para o mar Báltico;</w:t>
      </w:r>
      <w:bookmarkEnd w:id="22"/>
    </w:p>
    <w:p w14:paraId="3E827A2F" w14:textId="77777777" w:rsidR="000E46FE" w:rsidRPr="0087009D" w:rsidRDefault="000E46FE" w:rsidP="000E46FE">
      <w:pPr>
        <w:pStyle w:val="NormalHanging12a"/>
      </w:pPr>
      <w:r w:rsidRPr="0087009D">
        <w:t>22.</w:t>
      </w:r>
      <w:r w:rsidRPr="0087009D">
        <w:tab/>
        <w:t>Exorta a Comissão a basear todas as avaliações das unidades populacionais utilizadas para efeitos de aplicação da legislação da União nos valores de referência B</w:t>
      </w:r>
      <w:r w:rsidRPr="0087009D">
        <w:rPr>
          <w:vertAlign w:val="subscript"/>
        </w:rPr>
        <w:t>RSM</w:t>
      </w:r>
      <w:r w:rsidRPr="0087009D">
        <w:t xml:space="preserve"> relativos à biomassa, tal como estabelecido nos objetivos referidos no artigo 3.º, n.º 1, do Regulamento relativo ao plano plurianual para o mar Báltico e no artigo 2.º, n.º 2, do Regulamento PCP;</w:t>
      </w:r>
    </w:p>
    <w:p w14:paraId="2E963B56" w14:textId="53D2C2E4" w:rsidR="000E46FE" w:rsidRPr="0087009D" w:rsidRDefault="000E46FE" w:rsidP="000E46FE">
      <w:pPr>
        <w:pStyle w:val="NormalHanging12a"/>
      </w:pPr>
      <w:r w:rsidRPr="0087009D">
        <w:t>23.</w:t>
      </w:r>
      <w:r w:rsidRPr="0087009D">
        <w:tab/>
        <w:t>Insta a Comissão e os Estados</w:t>
      </w:r>
      <w:r w:rsidRPr="0087009D">
        <w:noBreakHyphen/>
        <w:t>Membros a garantirem que a gestão das unidades populacionais de peixes do mar Báltico inclua metas de restauração da distribuição natural por tamanho e por idade das populações, em conformidade com o artigo 2.º, n.º</w:t>
      </w:r>
      <w:r w:rsidR="00030C25" w:rsidRPr="0087009D">
        <w:t> </w:t>
      </w:r>
      <w:r w:rsidRPr="0087009D">
        <w:t>5, alínea j), do Regulamento PCP, que remete para o artigo 1.º, n.º 1, da Diretiva</w:t>
      </w:r>
      <w:r w:rsidRPr="0087009D">
        <w:noBreakHyphen/>
        <w:t>Quadro Estratégia Marinha, reconhecendo que a existência de estruturas demográficas saudáveis é essencial para a capacidade de reprodução, a resiliência das unidades populacionais e a estabilidade dos ecossistemas; exorta ao desenvolvimento, em colaboração com o setor, de indicadores de monitorização e de práticas de pesca mais seletivas que possam combater a remoção sistemática de peixes mais velhos e de maior porte e preservar melhor o potencial de recrutamento da unidade populacional;</w:t>
      </w:r>
    </w:p>
    <w:p w14:paraId="546F190C" w14:textId="77777777" w:rsidR="000E46FE" w:rsidRPr="0087009D" w:rsidRDefault="000E46FE" w:rsidP="000E46FE">
      <w:pPr>
        <w:pStyle w:val="NormalHanging12a"/>
      </w:pPr>
      <w:r w:rsidRPr="0087009D">
        <w:t>24.</w:t>
      </w:r>
      <w:r w:rsidRPr="0087009D">
        <w:tab/>
      </w:r>
      <w:bookmarkStart w:id="23" w:name="_Hlk223348724"/>
      <w:r w:rsidRPr="0087009D">
        <w:t xml:space="preserve">Convida a Comissão a solicitar ao CIEM, para efeitos de aplicação da legislação da UE, designadamente o Regulamento relativo ao plano plurianual para o mar Báltico, pareces científicos que tenham em conta os fatores de perturbação ambiental e do ecossistema pertinentes no mar Báltico; considera que estes pareceres devem indicar expressamente, entre outros fatores, os riscos associados ao estado atual do ambiente, as interações </w:t>
      </w:r>
      <w:proofErr w:type="spellStart"/>
      <w:r w:rsidRPr="0087009D">
        <w:t>terra</w:t>
      </w:r>
      <w:r w:rsidRPr="0087009D">
        <w:noBreakHyphen/>
        <w:t>mar</w:t>
      </w:r>
      <w:proofErr w:type="spellEnd"/>
      <w:r w:rsidRPr="0087009D">
        <w:t>, a incerteza acrescida resultante das alterações climáticas e o impacto das interações entre espécies, nomeadamente as populações de predadores pertinentes; enfatiza que qualquer parecer deve também indicar claramente o seu nível de incerteza;</w:t>
      </w:r>
      <w:bookmarkEnd w:id="23"/>
    </w:p>
    <w:p w14:paraId="4520D426" w14:textId="77777777" w:rsidR="000E46FE" w:rsidRPr="0087009D" w:rsidRDefault="000E46FE" w:rsidP="000E46FE">
      <w:pPr>
        <w:pStyle w:val="NormalHanging12a"/>
      </w:pPr>
      <w:r w:rsidRPr="0087009D">
        <w:t>25.</w:t>
      </w:r>
      <w:r w:rsidRPr="0087009D">
        <w:tab/>
        <w:t>Convida a Comissão a dialogar com o CIEM no âmbito do atual memorando de entendimento com vista a incentivá</w:t>
      </w:r>
      <w:r w:rsidRPr="0087009D">
        <w:noBreakHyphen/>
        <w:t xml:space="preserve">lo a atualizar regularmente as suas orientações </w:t>
      </w:r>
      <w:r w:rsidRPr="0087009D">
        <w:lastRenderedPageBreak/>
        <w:t>técnicas relativas às regras de controlo das capturas e a continuar a aperfeiçoar os métodos de avaliação das unidades populacionais com base em critérios científicos independentes; observa que é importante que, quando emite pareceres à Comissão ou aos Estados</w:t>
      </w:r>
      <w:r w:rsidRPr="0087009D">
        <w:noBreakHyphen/>
        <w:t>Membros, o CIEM recorra às abordagens mais atuais para o mar Báltico, e que esses pareceres continuem a ser sólidos do ponto de vista científico e coerentes com o quadro jurídico da UE em matéria de pescas; está ciente de que este é um processo interno do CIEM;</w:t>
      </w:r>
    </w:p>
    <w:p w14:paraId="17779A23" w14:textId="77777777" w:rsidR="000E46FE" w:rsidRPr="0087009D" w:rsidRDefault="000E46FE" w:rsidP="000E46FE">
      <w:pPr>
        <w:pStyle w:val="NormalHanging12a"/>
      </w:pPr>
      <w:r w:rsidRPr="0087009D">
        <w:t>26.</w:t>
      </w:r>
      <w:r w:rsidRPr="0087009D">
        <w:tab/>
        <w:t>Insta a Comissão e os Estados</w:t>
      </w:r>
      <w:r w:rsidRPr="0087009D">
        <w:noBreakHyphen/>
        <w:t>Membros a empreenderem um mapeamento genético completo das populações no mar Báltico de determinadas espécies exploradas para fins comerciais, tais como o arenque e a espadilha, bem como de outras espécies exploradas para fins comerciais, com base nos melhores conhecimentos científicos disponíveis, para complementar os pareceres baseados em dados concretos tendo em vista a tomada de decisões mais informadas sobre as possibilidades de pesca e as medidas técnicas; frisa que esses dados genéticos devem ser totalmente validados pelo CIEM e integrados em modelos de avaliação das unidades populacionais a longo prazo antes de serem utilizados para fins de gestão;</w:t>
      </w:r>
    </w:p>
    <w:p w14:paraId="6260EC81" w14:textId="77777777" w:rsidR="000E46FE" w:rsidRPr="0087009D" w:rsidRDefault="000E46FE" w:rsidP="000E46FE">
      <w:pPr>
        <w:pStyle w:val="NormalHanging12a"/>
      </w:pPr>
      <w:r w:rsidRPr="0087009D">
        <w:t>27.</w:t>
      </w:r>
      <w:r w:rsidRPr="0087009D">
        <w:tab/>
        <w:t>Solicita à Comissão e aos Estados</w:t>
      </w:r>
      <w:r w:rsidRPr="0087009D">
        <w:noBreakHyphen/>
        <w:t>Membros que melhorem a disponibilidade e a qualidade dos dados relacionados com os critérios de idade e tamanho das unidades populacionais em causa aquando do planeamento de decisões de gestão das pescas para a região; salienta que uma melhor recolha de dados relacionados com estes parâmetros deverá contribuir para a integração do descritor 3 do critério 3 (D3C3) da Diretiva</w:t>
      </w:r>
      <w:r w:rsidRPr="0087009D">
        <w:noBreakHyphen/>
        <w:t>Quadro Estratégia Marinha, conforme exigido pelo artigo 3.º, n.º 3, do Regulamento relativo ao plano plurianual para o Báltico;</w:t>
      </w:r>
    </w:p>
    <w:p w14:paraId="3B5E0F1E" w14:textId="77777777" w:rsidR="000E46FE" w:rsidRPr="0087009D" w:rsidRDefault="000E46FE" w:rsidP="000E46FE">
      <w:pPr>
        <w:pStyle w:val="NormalHanging12a"/>
      </w:pPr>
      <w:r w:rsidRPr="0087009D">
        <w:t>28.</w:t>
      </w:r>
      <w:r w:rsidRPr="0087009D">
        <w:tab/>
        <w:t>Insta a Comissão a pedir ao CIEM que proceda a uma análise científica pormenorizada da abordagem atual da UE à utilização de pareceres científicos para o mar Báltico; insta ainda a Comissão a velar por que o parecer solicitado sobre os níveis de captura reflita integralmente todos os requisitos legais e os objetivos estratégicos pertinentes, entre os quais os objetivos do Regulamento PCP previstos no artigo 2.º; vinca a importância de a Comissão colmatar eventuais lacunas e definir medidas concretas sobre a forma como os pareceres atualmente disponíveis sobre as possibilidades de pesca podem ser utilizados de forma suficientemente cautelar para cumprir todos os requisitos legais e os objetivos pertinentes;</w:t>
      </w:r>
    </w:p>
    <w:p w14:paraId="2276CE36" w14:textId="77777777" w:rsidR="000E46FE" w:rsidRPr="0087009D" w:rsidRDefault="000E46FE" w:rsidP="000E46FE">
      <w:pPr>
        <w:pStyle w:val="NormalHanging12a"/>
      </w:pPr>
      <w:r w:rsidRPr="0087009D">
        <w:t>29.</w:t>
      </w:r>
      <w:r w:rsidRPr="0087009D">
        <w:tab/>
        <w:t>Incentiva a Comissão e o Conselho a certificarem</w:t>
      </w:r>
      <w:r w:rsidRPr="0087009D">
        <w:noBreakHyphen/>
        <w:t>se de que a fixação dos TAC seja transparente e se estribe nos melhores pareceres e conhecimentos científicos disponíveis, de acordo com os objetivos do Regulamento relativo ao plano plurianual para o mar Báltico e do Regulamento PCP, assim como nos pareceres sobre múltiplas espécies baseados nos ecossistemas, e que tenha em conta as interações entre as pescas e a estabilidade socioeconómica a longo prazo das comunidades costeiras;</w:t>
      </w:r>
    </w:p>
    <w:p w14:paraId="42D1BF10" w14:textId="77777777" w:rsidR="000E46FE" w:rsidRPr="0087009D" w:rsidRDefault="000E46FE" w:rsidP="000E46FE">
      <w:pPr>
        <w:pStyle w:val="NormalHanging12a"/>
      </w:pPr>
      <w:r w:rsidRPr="0087009D">
        <w:t>30.</w:t>
      </w:r>
      <w:r w:rsidRPr="0087009D">
        <w:tab/>
        <w:t>Solicita à Comissão e aos Estados</w:t>
      </w:r>
      <w:r w:rsidRPr="0087009D">
        <w:noBreakHyphen/>
        <w:t xml:space="preserve">Membros que tomem em consideração os trabalhos e as definições internacionais pertinentes, inclusive do PNUA, na prossecução de um entendimento mais profundo da gestão </w:t>
      </w:r>
      <w:proofErr w:type="spellStart"/>
      <w:r w:rsidRPr="0087009D">
        <w:t>ecossistémica</w:t>
      </w:r>
      <w:proofErr w:type="spellEnd"/>
      <w:r w:rsidRPr="0087009D">
        <w:t xml:space="preserve"> no âmbito do atual quadro jurídico da UE, nomeadamente no que diz respeito aos ecossistemas funcionais, tal como referido no artigo 5.º, n.º 5, alínea a), da Diretiva</w:t>
      </w:r>
      <w:r w:rsidRPr="0087009D">
        <w:noBreakHyphen/>
        <w:t>Quadro Estratégia Marinha;</w:t>
      </w:r>
    </w:p>
    <w:p w14:paraId="039BB3AA" w14:textId="77777777" w:rsidR="000E46FE" w:rsidRPr="0087009D" w:rsidRDefault="000E46FE" w:rsidP="00B60520">
      <w:pPr>
        <w:pStyle w:val="NormalHanging12a"/>
        <w:ind w:left="0" w:firstLine="0"/>
      </w:pPr>
      <w:r w:rsidRPr="0087009D">
        <w:rPr>
          <w:b/>
          <w:i/>
        </w:rPr>
        <w:t>Outros fatores que afetam a pesca no mar Báltico</w:t>
      </w:r>
    </w:p>
    <w:p w14:paraId="074834FD" w14:textId="77777777" w:rsidR="000E46FE" w:rsidRPr="0087009D" w:rsidRDefault="000E46FE" w:rsidP="000E46FE">
      <w:pPr>
        <w:pStyle w:val="NormalHanging12a"/>
      </w:pPr>
      <w:r w:rsidRPr="0087009D">
        <w:t>31.</w:t>
      </w:r>
      <w:r w:rsidRPr="0087009D">
        <w:tab/>
        <w:t xml:space="preserve">Pede à Comissão que elabore um plano baseado em dados científicos, coordenado e </w:t>
      </w:r>
      <w:proofErr w:type="spellStart"/>
      <w:r w:rsidRPr="0087009D">
        <w:lastRenderedPageBreak/>
        <w:t>transetorial</w:t>
      </w:r>
      <w:proofErr w:type="spellEnd"/>
      <w:r w:rsidRPr="0087009D">
        <w:t xml:space="preserve"> que vise os principais fatores de perturbação que afetam o mar Báltico e, ao mesmo tempo, garanta uma governação inclusiva e o ordenamento do espaço marítimo, em diálogo e articulação com todas as partes interessadas pertinentes;</w:t>
      </w:r>
    </w:p>
    <w:p w14:paraId="7825722C" w14:textId="77777777" w:rsidR="000E46FE" w:rsidRPr="0087009D" w:rsidRDefault="000E46FE" w:rsidP="000E46FE">
      <w:pPr>
        <w:pStyle w:val="NormalHanging12a"/>
      </w:pPr>
      <w:r w:rsidRPr="0087009D">
        <w:t>32.</w:t>
      </w:r>
      <w:r w:rsidRPr="0087009D">
        <w:tab/>
        <w:t>Exorta a Comissão a aproveitar o ensejo para promover uma melhor articulação das políticas e uma aplicação coerente das políticas relativas ao meio marinho e aos recursos hídricos através da futura proposta legislativa relativa a um ato legislativo sobre os oceanos;</w:t>
      </w:r>
    </w:p>
    <w:p w14:paraId="4F99FEE4" w14:textId="77777777" w:rsidR="000E46FE" w:rsidRPr="0087009D" w:rsidRDefault="000E46FE" w:rsidP="000E46FE">
      <w:pPr>
        <w:pStyle w:val="NormalHanging12a"/>
      </w:pPr>
      <w:r w:rsidRPr="0087009D">
        <w:t>33.</w:t>
      </w:r>
      <w:r w:rsidRPr="0087009D">
        <w:tab/>
      </w:r>
      <w:bookmarkStart w:id="24" w:name="_Hlk227164449"/>
      <w:r w:rsidRPr="0087009D">
        <w:t>Defende a adoção de medidas eficazes de atenuação das alterações climáticas e de adaptação às alterações climáticas, a fim de contrariar tempestivamente os riscos relacionados com o clima e evitar um agravamento dos riscos e dos custos de uma intervenção tardia na região;</w:t>
      </w:r>
      <w:bookmarkEnd w:id="24"/>
    </w:p>
    <w:p w14:paraId="61D442DF" w14:textId="77777777" w:rsidR="000E46FE" w:rsidRPr="0087009D" w:rsidRDefault="000E46FE" w:rsidP="000E46FE">
      <w:pPr>
        <w:pStyle w:val="NormalHanging12a"/>
      </w:pPr>
      <w:r w:rsidRPr="0087009D">
        <w:t>34.</w:t>
      </w:r>
      <w:r w:rsidRPr="0087009D">
        <w:tab/>
      </w:r>
      <w:bookmarkStart w:id="25" w:name="_Hlk223339776"/>
      <w:r w:rsidRPr="0087009D">
        <w:t>Insiste na aplicação contínua e eficaz da legislação ambiental da UE, embora esteja ciente de que são necessárias soluções equilibradas e viáveis para todos os setores afetados, a fim de combater as pressões ambientais no mar Báltico e noutras águas da UE, designadamente a poluição por nutrientes provenientes de múltiplas fontes;</w:t>
      </w:r>
      <w:bookmarkEnd w:id="25"/>
    </w:p>
    <w:p w14:paraId="2716613F" w14:textId="77777777" w:rsidR="000E46FE" w:rsidRPr="0087009D" w:rsidRDefault="000E46FE" w:rsidP="000E46FE">
      <w:pPr>
        <w:pStyle w:val="NormalHanging12a"/>
      </w:pPr>
      <w:r w:rsidRPr="0087009D">
        <w:t>35.</w:t>
      </w:r>
      <w:r w:rsidRPr="0087009D">
        <w:tab/>
        <w:t>Solicita um aumento substancial dos investimentos em estações modernas de tratamento de águas residuais e em sistemas de retenção e filtragem da poluição, tanto nos países do mar Báltico como em todas as bacias hidrográficas que desaguam no mar Báltico; salienta que, sem uma modernização global das infraestruturas de água e saneamento, todos os esforços para melhorar a qualidade das águas do mar Báltico continuarão a ser puramente teóricos e ineficazes;</w:t>
      </w:r>
    </w:p>
    <w:p w14:paraId="209D6782" w14:textId="77777777" w:rsidR="000E46FE" w:rsidRPr="0087009D" w:rsidRDefault="000E46FE" w:rsidP="000E46FE">
      <w:pPr>
        <w:pStyle w:val="NormalHanging12a"/>
      </w:pPr>
      <w:r w:rsidRPr="0087009D">
        <w:t>36.</w:t>
      </w:r>
      <w:r w:rsidRPr="0087009D">
        <w:tab/>
      </w:r>
      <w:bookmarkStart w:id="26" w:name="_Hlk223340185"/>
      <w:r w:rsidRPr="0087009D">
        <w:t>Insta os Estados</w:t>
      </w:r>
      <w:r w:rsidRPr="0087009D">
        <w:noBreakHyphen/>
        <w:t>Membros e a Comissão a fundamentarem qualquer abordagem à predação natural, em que se incluem medidas de gestão preventiva, adaptadas ao local e seletivas para os corvos</w:t>
      </w:r>
      <w:r w:rsidRPr="0087009D">
        <w:noBreakHyphen/>
        <w:t>marinhos e as focas</w:t>
      </w:r>
      <w:r w:rsidRPr="0087009D">
        <w:noBreakHyphen/>
        <w:t>cinzentas, em dados científicos e consultas com as partes interessadas, zelando por que as medidas adotadas sejam eficazes, cumpram todas as obrigações jurídicas e impliquem um acompanhamento adequado, um financiamento suficiente e específico e uma cooperação reforçada entre as partes interessadas, para garantir a eficácia das medidas aplicadas, nomeadamente medidas de atenuação como os dissuasores ou a exclusão física</w:t>
      </w:r>
      <w:bookmarkEnd w:id="26"/>
      <w:r w:rsidRPr="0087009D">
        <w:t>;</w:t>
      </w:r>
    </w:p>
    <w:p w14:paraId="2DADB07F" w14:textId="7B4FE4BF" w:rsidR="00DA245D" w:rsidRPr="0087009D" w:rsidRDefault="00A8040B" w:rsidP="000E46FE">
      <w:pPr>
        <w:pStyle w:val="NormalHanging12a"/>
      </w:pPr>
      <w:r w:rsidRPr="0087009D">
        <w:t>37.</w:t>
      </w:r>
      <w:r w:rsidR="00DA245D" w:rsidRPr="0087009D">
        <w:tab/>
        <w:t>Salienta que a Comissão tem de tomar medidas urgentes e eficazes em resposta às pressões exercidas pelas populações de corvos marinhos sobre as unidades populacionais de peixes do mar Báltico, garantindo que as medidas sejam proporcionadas, adaptadas ao contexto regional e aplicadas através de ações de gestão eficazes, precisas e ajustadas ao contexto local, com base nos melhores dados científicos disponíveis, e dar simultaneamente aos Estados</w:t>
      </w:r>
      <w:r w:rsidR="00DA245D" w:rsidRPr="0087009D">
        <w:noBreakHyphen/>
        <w:t>Membros a possibilidade de, sempre que necessário, aplicar medidas de atenuação práticas e adaptadas a cada situação para contrariar os efeitos locais de forma eficaz e, assim, promover a sustentabilidade a longo prazo das pescas nas regiões costeiras afetadas;</w:t>
      </w:r>
    </w:p>
    <w:p w14:paraId="7625FDD6" w14:textId="0F54C055" w:rsidR="00DA245D" w:rsidRPr="0087009D" w:rsidRDefault="00A8040B" w:rsidP="000E46FE">
      <w:pPr>
        <w:pStyle w:val="NormalHanging12a"/>
      </w:pPr>
      <w:r w:rsidRPr="0087009D">
        <w:t>38.</w:t>
      </w:r>
      <w:r w:rsidR="00DA245D" w:rsidRPr="0087009D">
        <w:tab/>
        <w:t>Insta a Comissão e os Estados-Membros a verificarem com atenção se as medidas de recuperação do boto do Báltico, que se encontra gravemente ameaçado, estão a ser corretamente aplicadas e, se necessário, a tomarem medidas adicionais para combater as principais ameaças à sua sobrevivência;</w:t>
      </w:r>
    </w:p>
    <w:p w14:paraId="6EB8E92A" w14:textId="5D552D75" w:rsidR="00DA245D" w:rsidRPr="0087009D" w:rsidRDefault="00A8040B" w:rsidP="000E46FE">
      <w:pPr>
        <w:pStyle w:val="NormalHanging12a"/>
      </w:pPr>
      <w:r w:rsidRPr="0087009D">
        <w:t>39.</w:t>
      </w:r>
      <w:r w:rsidR="00DA245D" w:rsidRPr="0087009D">
        <w:tab/>
      </w:r>
      <w:r w:rsidR="007A3FB3" w:rsidRPr="0087009D">
        <w:t>Recorda que as populações de focas do Báltico chegaram a estar em vias de extinção na década de 1970;</w:t>
      </w:r>
    </w:p>
    <w:p w14:paraId="5198B3DA" w14:textId="27BDD858" w:rsidR="000E46FE" w:rsidRPr="0087009D" w:rsidRDefault="00A8040B" w:rsidP="000E46FE">
      <w:pPr>
        <w:pStyle w:val="NormalHanging12a"/>
      </w:pPr>
      <w:r w:rsidRPr="0087009D">
        <w:lastRenderedPageBreak/>
        <w:t>40</w:t>
      </w:r>
      <w:r w:rsidR="000E46FE" w:rsidRPr="0087009D">
        <w:t>.</w:t>
      </w:r>
      <w:r w:rsidR="000E46FE" w:rsidRPr="0087009D">
        <w:tab/>
      </w:r>
      <w:bookmarkStart w:id="27" w:name="_Hlk223340468"/>
      <w:r w:rsidR="000E46FE" w:rsidRPr="0087009D">
        <w:t>Reitera o seu apelo à Comissão para que apresente um plano de gestão da UE relativo aos corvos</w:t>
      </w:r>
      <w:r w:rsidR="000E46FE" w:rsidRPr="0087009D">
        <w:noBreakHyphen/>
        <w:t>marinhos para a pesca e a aquicultura no mar Báltico, com base nos melhores pareceres científicos disponíveis e nas práticas dos Estados</w:t>
      </w:r>
      <w:r w:rsidR="000E46FE" w:rsidRPr="0087009D">
        <w:noBreakHyphen/>
        <w:t>Membros, tendo em conta o plano recentemente proposto pela Comissão Consultiva Europeia sobre a Pesca Interior e a Aquicultura (EIFAAC)</w:t>
      </w:r>
      <w:r w:rsidR="000E46FE" w:rsidRPr="0087009D">
        <w:rPr>
          <w:vertAlign w:val="superscript"/>
        </w:rPr>
        <w:footnoteReference w:id="22"/>
      </w:r>
      <w:r w:rsidR="000E46FE" w:rsidRPr="0087009D">
        <w:t xml:space="preserve"> da Organização das Nações Unidas para a Alimentação e a Agricultura, bem como antigos projetos de investigação financiados pela UE, como o «INTERCAFE»</w:t>
      </w:r>
      <w:r w:rsidR="000E46FE" w:rsidRPr="0087009D">
        <w:rPr>
          <w:vertAlign w:val="superscript"/>
        </w:rPr>
        <w:footnoteReference w:id="23"/>
      </w:r>
      <w:r w:rsidR="000E46FE" w:rsidRPr="0087009D">
        <w:t xml:space="preserve">; </w:t>
      </w:r>
      <w:bookmarkEnd w:id="27"/>
      <w:r w:rsidR="000E46FE" w:rsidRPr="0087009D">
        <w:t>salienta a necessidade de medidas preventivas, de compensação por perdas e de financiamento a partir de fontes da UE e nacionais;</w:t>
      </w:r>
    </w:p>
    <w:p w14:paraId="6A3892ED" w14:textId="39215E98" w:rsidR="000E46FE" w:rsidRPr="0087009D" w:rsidRDefault="00A8040B" w:rsidP="000E46FE">
      <w:pPr>
        <w:pStyle w:val="NormalHanging12a"/>
      </w:pPr>
      <w:r w:rsidRPr="0087009D">
        <w:t>41</w:t>
      </w:r>
      <w:r w:rsidR="000E46FE" w:rsidRPr="0087009D">
        <w:t>.</w:t>
      </w:r>
      <w:r w:rsidR="000E46FE" w:rsidRPr="0087009D">
        <w:tab/>
        <w:t xml:space="preserve">Reitera os graves riscos ambientais e de segurança colocados pelos engenhos </w:t>
      </w:r>
      <w:bookmarkStart w:id="28" w:name="_Hlk227849584"/>
      <w:r w:rsidR="000E46FE" w:rsidRPr="0087009D">
        <w:t>explosivos não detonados</w:t>
      </w:r>
      <w:bookmarkEnd w:id="28"/>
      <w:r w:rsidR="000E46FE" w:rsidRPr="0087009D">
        <w:t xml:space="preserve"> depositados no mar Báltico; recorda a sua Resolução, de 27 de abril de 2021, sobre os resíduos químicos no mar Báltico e o sucesso dos projetos CHEMSEA, DAIMON e DAIMON 3; insta a Comissão e os Estados</w:t>
      </w:r>
      <w:r w:rsidR="000E46FE" w:rsidRPr="0087009D">
        <w:noBreakHyphen/>
        <w:t>Membros a tomarem novas medidas coordenadas e práticas para localizar, monitorizar e remover sistematicamente estes materiais perigosos, a fim de determinar as áreas que devem ser remediadas prioritariamente;</w:t>
      </w:r>
    </w:p>
    <w:p w14:paraId="17697B0C" w14:textId="5036B0A7" w:rsidR="000E46FE" w:rsidRPr="0087009D" w:rsidRDefault="00A8040B" w:rsidP="000E46FE">
      <w:pPr>
        <w:pStyle w:val="NormalHanging12a"/>
      </w:pPr>
      <w:r w:rsidRPr="0087009D">
        <w:t>42</w:t>
      </w:r>
      <w:r w:rsidR="000E46FE" w:rsidRPr="0087009D">
        <w:t>.</w:t>
      </w:r>
      <w:r w:rsidR="000E46FE" w:rsidRPr="0087009D">
        <w:tab/>
        <w:t>Solicita aos Estados</w:t>
      </w:r>
      <w:r w:rsidR="000E46FE" w:rsidRPr="0087009D">
        <w:noBreakHyphen/>
        <w:t>Membros e à Comissão que unam esforços para conduzir investigação científica e realizar intercâmbios de boas práticas sobre formas seguras e eficientes do ponto de vista dos custos de localizar e remover munições e engenhos explosivos não detonados do fundo do mar, com vista a promover ações coordenadas de remediação em grande escala;</w:t>
      </w:r>
    </w:p>
    <w:p w14:paraId="44A232E2" w14:textId="5D23E2CA" w:rsidR="000E46FE" w:rsidRPr="0087009D" w:rsidRDefault="00A8040B" w:rsidP="000E46FE">
      <w:pPr>
        <w:pStyle w:val="NormalHanging12a"/>
      </w:pPr>
      <w:r w:rsidRPr="0087009D">
        <w:t>43</w:t>
      </w:r>
      <w:r w:rsidR="000E46FE" w:rsidRPr="0087009D">
        <w:t>.</w:t>
      </w:r>
      <w:r w:rsidR="000E46FE" w:rsidRPr="0087009D">
        <w:tab/>
        <w:t>Convida a Comissão e os Estados</w:t>
      </w:r>
      <w:r w:rsidR="000E46FE" w:rsidRPr="0087009D">
        <w:noBreakHyphen/>
        <w:t>Membros a criarem um programa da UE coordenado, devidamente financiado e a longo prazo para localizar, neutralizar e remover os engenhos explosivos não detonados do mar Báltico;</w:t>
      </w:r>
    </w:p>
    <w:p w14:paraId="1D86D26F" w14:textId="44C03D58" w:rsidR="000E46FE" w:rsidRPr="0087009D" w:rsidRDefault="00A8040B" w:rsidP="000E46FE">
      <w:pPr>
        <w:pStyle w:val="NormalHanging12a"/>
      </w:pPr>
      <w:r w:rsidRPr="0087009D">
        <w:t>44</w:t>
      </w:r>
      <w:r w:rsidR="000E46FE" w:rsidRPr="0087009D">
        <w:t>.</w:t>
      </w:r>
      <w:r w:rsidR="000E46FE" w:rsidRPr="0087009D">
        <w:tab/>
        <w:t>Condena a exploração irresponsável, insustentável e sem base científica das unidades populacionais de peixes do mar Báltico por parte da Rússia;</w:t>
      </w:r>
    </w:p>
    <w:p w14:paraId="5843A6FE" w14:textId="1DFE2A45" w:rsidR="000E46FE" w:rsidRPr="0087009D" w:rsidRDefault="00A8040B" w:rsidP="000E46FE">
      <w:pPr>
        <w:pStyle w:val="NormalHanging12a"/>
      </w:pPr>
      <w:r w:rsidRPr="0087009D">
        <w:t>45</w:t>
      </w:r>
      <w:r w:rsidR="000E46FE" w:rsidRPr="0087009D">
        <w:t>.</w:t>
      </w:r>
      <w:r w:rsidR="000E46FE" w:rsidRPr="0087009D">
        <w:tab/>
        <w:t>Exorta o Conselho e a Comissão a terem em conta as ações unilaterais da Rússia quando fixam quotas para o Mar Báltico; exorta ainda a Comissão a considerar medidas para pressionar a Rússia a ajustar as suas quotas de acordo com os pareceres científicos;</w:t>
      </w:r>
    </w:p>
    <w:p w14:paraId="366A40BB" w14:textId="3AA84F9D" w:rsidR="000E46FE" w:rsidRPr="0087009D" w:rsidRDefault="00A8040B" w:rsidP="000E46FE">
      <w:pPr>
        <w:pStyle w:val="NormalHanging12a"/>
      </w:pPr>
      <w:r w:rsidRPr="0087009D">
        <w:t>46</w:t>
      </w:r>
      <w:r w:rsidR="000E46FE" w:rsidRPr="0087009D">
        <w:t>.</w:t>
      </w:r>
      <w:r w:rsidR="000E46FE" w:rsidRPr="0087009D">
        <w:tab/>
        <w:t>Condena veementemente a presença cada vez mais ativa da «frota</w:t>
      </w:r>
      <w:r w:rsidR="000E46FE" w:rsidRPr="0087009D">
        <w:noBreakHyphen/>
        <w:t xml:space="preserve">fantasma» da Rússia no mar Báltico, cujas atividades contornam importantes normas legais, fazendo aumentar o risco de derrames de petróleo e outros perigos ambientais; salienta os danos que isto pode provocar nos ecossistemas marinhos, na pesca local e na saúde humana; </w:t>
      </w:r>
      <w:r w:rsidR="007A3FB3" w:rsidRPr="0087009D">
        <w:t xml:space="preserve">regista ainda os receios de que os produtos da pesca russos continuem a chegar ao mercado da UE através dos canais comerciais existentes e frisa que é necessário garantir que quaisquer lacunas que possam comprometer os objetivos das medidas restritivas da UE sejam efetivamente eliminadas; </w:t>
      </w:r>
      <w:r w:rsidR="000E46FE" w:rsidRPr="0087009D">
        <w:t>propõe à Comissão que pondere novas medidas para combater a «frota</w:t>
      </w:r>
      <w:r w:rsidR="000E46FE" w:rsidRPr="0087009D">
        <w:noBreakHyphen/>
        <w:t>fantasma» da Rússia, especialmente na região do mar Báltico; propõe uma cooperação regional reforçada e uma fiscalização mais rigorosa do cumprimento da legislação, a fim de mitigar estes riscos e proteger os recursos marinhos do Báltico; frisa a importância de garantir que as sanções contra a Rússia sejam plenamente aplicadas;</w:t>
      </w:r>
    </w:p>
    <w:p w14:paraId="25421356" w14:textId="77777777" w:rsidR="000E46FE" w:rsidRPr="0087009D" w:rsidRDefault="000E46FE" w:rsidP="00B60520">
      <w:pPr>
        <w:pStyle w:val="NormalHanging12a"/>
        <w:ind w:left="0" w:firstLine="0"/>
        <w:rPr>
          <w:b/>
          <w:bCs/>
          <w:i/>
          <w:iCs/>
        </w:rPr>
      </w:pPr>
      <w:r w:rsidRPr="0087009D">
        <w:rPr>
          <w:b/>
          <w:i/>
        </w:rPr>
        <w:lastRenderedPageBreak/>
        <w:t>Alterações jurídicas</w:t>
      </w:r>
    </w:p>
    <w:p w14:paraId="72EC9611" w14:textId="66031CDD" w:rsidR="000E46FE" w:rsidRPr="0087009D" w:rsidRDefault="00A8040B" w:rsidP="000E46FE">
      <w:pPr>
        <w:pStyle w:val="NormalHanging12a"/>
      </w:pPr>
      <w:r w:rsidRPr="0087009D">
        <w:t>47</w:t>
      </w:r>
      <w:r w:rsidR="000E46FE" w:rsidRPr="0087009D">
        <w:t>.</w:t>
      </w:r>
      <w:r w:rsidR="000E46FE" w:rsidRPr="0087009D">
        <w:tab/>
        <w:t>Salienta que é urgente trabalhar mais no sentido de uma coordenação política holística, bem como fazer avanços consistentes e céleres na aplicação da legislação noutros domínios de intervenção, para não se depender exclusivamente de medidas relativas às pescas e travar o declínio socioeconómico das comunidades costeiras; regista os esforços envidados no contexto das conferências «</w:t>
      </w:r>
      <w:proofErr w:type="spellStart"/>
      <w:r w:rsidR="000E46FE" w:rsidRPr="0087009D">
        <w:t>Our</w:t>
      </w:r>
      <w:proofErr w:type="spellEnd"/>
      <w:r w:rsidR="000E46FE" w:rsidRPr="0087009D">
        <w:t xml:space="preserve"> </w:t>
      </w:r>
      <w:proofErr w:type="spellStart"/>
      <w:r w:rsidR="000E46FE" w:rsidRPr="0087009D">
        <w:t>Baltic</w:t>
      </w:r>
      <w:proofErr w:type="spellEnd"/>
      <w:r w:rsidR="000E46FE" w:rsidRPr="0087009D">
        <w:t>»; incentiva a continuação dos progressos com vista a obter resultados concretos;</w:t>
      </w:r>
    </w:p>
    <w:p w14:paraId="7946037B" w14:textId="20773A88" w:rsidR="000E46FE" w:rsidRPr="0087009D" w:rsidRDefault="00A8040B" w:rsidP="000E46FE">
      <w:pPr>
        <w:pStyle w:val="NormalHanging12a"/>
      </w:pPr>
      <w:r w:rsidRPr="0087009D">
        <w:t>48</w:t>
      </w:r>
      <w:r w:rsidR="000E46FE" w:rsidRPr="0087009D">
        <w:t>.</w:t>
      </w:r>
      <w:r w:rsidR="000E46FE" w:rsidRPr="0087009D">
        <w:tab/>
        <w:t>Insta a Comissão proceder a uma avaliação do Regulamento relativo ao plano plurianual para o mar Báltico, com vista a melhorar a sua clareza, coerência e aplicação prática e a aferir o seu desempenho relativamente aos aspetos ambientais e socioeconómicos; sublinha ainda a importância de velar por que uma eventual adaptação futura do quadro continue a ser simples, baseada em dados científicos e viável para o setor;</w:t>
      </w:r>
    </w:p>
    <w:p w14:paraId="0E0088E3" w14:textId="190D2AA2" w:rsidR="000E46FE" w:rsidRPr="0087009D" w:rsidRDefault="00A8040B" w:rsidP="000E46FE">
      <w:pPr>
        <w:pStyle w:val="NormalHanging12a"/>
        <w:rPr>
          <w:bCs/>
          <w:iCs/>
        </w:rPr>
      </w:pPr>
      <w:r w:rsidRPr="0087009D">
        <w:t>49</w:t>
      </w:r>
      <w:r w:rsidR="000E46FE" w:rsidRPr="0087009D">
        <w:t>.</w:t>
      </w:r>
      <w:r w:rsidR="000E46FE" w:rsidRPr="0087009D">
        <w:tab/>
      </w:r>
      <w:bookmarkStart w:id="29" w:name="_Hlk227162805"/>
      <w:r w:rsidR="000E46FE" w:rsidRPr="0087009D">
        <w:t>Convida a Comissão, no âmbito de uma eventual revisão do Regulamento relativo ao plano plurianual para o mar Báltico, a avaliar as unidades populacionais de salmão e truta e, se necessário, propor que sejam incluídas enquanto unidades populacionais específicas que devem ser abrangidas pelo âmbito de aplicação do regulamento no que diz respeito às capturas acessórias;</w:t>
      </w:r>
      <w:bookmarkEnd w:id="29"/>
    </w:p>
    <w:p w14:paraId="4590220A" w14:textId="2929374F" w:rsidR="000E46FE" w:rsidRPr="0087009D" w:rsidRDefault="00A8040B" w:rsidP="000E46FE">
      <w:pPr>
        <w:pStyle w:val="NormalHanging12a"/>
      </w:pPr>
      <w:r w:rsidRPr="0087009D">
        <w:t>50</w:t>
      </w:r>
      <w:r w:rsidR="000E46FE" w:rsidRPr="0087009D">
        <w:t>.</w:t>
      </w:r>
      <w:r w:rsidR="000E46FE" w:rsidRPr="0087009D">
        <w:tab/>
        <w:t>Considera preocupante que o valor acrescentado no domínio da cooperação regional no mar Báltico seja reduzido, tendo em conta que o plano plurianual consolidou maioritariamente as vias de cooperação existentes ou já iniciadas; observa que, devido à lentidão dos processos e ao aumento da burocracia que acompanham essas iniciativas, os Estados</w:t>
      </w:r>
      <w:r w:rsidR="000E46FE" w:rsidRPr="0087009D">
        <w:noBreakHyphen/>
        <w:t>Membros emitiram um número relativamente baixo de recomendações conjuntas, o que constitui um sinal preocupante de que as regras da UE em matéria de regionalização no setor das pescas não estão a ser utilizadas para adaptar as medidas de gestão às especificidades do mar Báltico; salienta a necessidade de cooperação regional entre os países bálticos, que inclua todas as partes interessadas;</w:t>
      </w:r>
    </w:p>
    <w:p w14:paraId="4576AE9A" w14:textId="2D3B9CDB" w:rsidR="000E46FE" w:rsidRPr="0087009D" w:rsidRDefault="00A8040B" w:rsidP="000E46FE">
      <w:pPr>
        <w:pStyle w:val="NormalHanging12a"/>
      </w:pPr>
      <w:r w:rsidRPr="0087009D">
        <w:t>51</w:t>
      </w:r>
      <w:r w:rsidR="000E46FE" w:rsidRPr="0087009D">
        <w:t>.</w:t>
      </w:r>
      <w:r w:rsidR="000E46FE" w:rsidRPr="0087009D">
        <w:tab/>
        <w:t>Insiste em que uma boa gestão do mar Báltico deve assentar na confiança, no diálogo e na cooperação regional entre os Estados</w:t>
      </w:r>
      <w:r w:rsidR="000E46FE" w:rsidRPr="0087009D">
        <w:noBreakHyphen/>
        <w:t>Membros, todas as partes interessadas, os organismos regionais, como a HELCOM, e as comunidades costeiras, a fim de promover soluções práticas e o intercâmbio de conhecimentos;</w:t>
      </w:r>
    </w:p>
    <w:p w14:paraId="75152308" w14:textId="62FD3827" w:rsidR="000E46FE" w:rsidRPr="0087009D" w:rsidRDefault="00A8040B" w:rsidP="000E46FE">
      <w:pPr>
        <w:pStyle w:val="NormalHanging12a"/>
      </w:pPr>
      <w:r w:rsidRPr="0087009D">
        <w:t>52</w:t>
      </w:r>
      <w:r w:rsidR="000E46FE" w:rsidRPr="0087009D">
        <w:t>.</w:t>
      </w:r>
      <w:r w:rsidR="000E46FE" w:rsidRPr="0087009D">
        <w:tab/>
      </w:r>
      <w:bookmarkStart w:id="30" w:name="_Hlk223340724"/>
      <w:r w:rsidR="000E46FE" w:rsidRPr="0087009D">
        <w:t>Preconiza uma nova abordagem da gestão dos riscos adaptada aos contextos regionais;</w:t>
      </w:r>
      <w:bookmarkEnd w:id="30"/>
    </w:p>
    <w:p w14:paraId="46EDE8FC" w14:textId="27600BA8" w:rsidR="000E46FE" w:rsidRPr="0087009D" w:rsidRDefault="00A8040B" w:rsidP="000E46FE">
      <w:pPr>
        <w:pStyle w:val="NormalHanging12a"/>
      </w:pPr>
      <w:r w:rsidRPr="0087009D">
        <w:t>53</w:t>
      </w:r>
      <w:r w:rsidR="000E46FE" w:rsidRPr="0087009D">
        <w:t>.</w:t>
      </w:r>
      <w:r w:rsidR="000E46FE" w:rsidRPr="0087009D">
        <w:tab/>
        <w:t xml:space="preserve">Solicita que as regras do plano plurianual sejam clarificadas de modo que a flexibilidade </w:t>
      </w:r>
      <w:proofErr w:type="spellStart"/>
      <w:r w:rsidR="000E46FE" w:rsidRPr="0087009D">
        <w:t>interanual</w:t>
      </w:r>
      <w:proofErr w:type="spellEnd"/>
      <w:r w:rsidR="000E46FE" w:rsidRPr="0087009D">
        <w:t xml:space="preserve"> seja proibida para as unidades populacionais que se encontrem abaixo do valor de referência de conservação </w:t>
      </w:r>
      <w:proofErr w:type="spellStart"/>
      <w:r w:rsidR="000E46FE" w:rsidRPr="0087009D">
        <w:t>Btrigger</w:t>
      </w:r>
      <w:proofErr w:type="spellEnd"/>
      <w:r w:rsidR="000E46FE" w:rsidRPr="0087009D">
        <w:t xml:space="preserve"> do plano plurianual para o mar Báltico, conforme acordado atualmente pelo Conselho;</w:t>
      </w:r>
    </w:p>
    <w:p w14:paraId="300FE7C9" w14:textId="2AABFD8E" w:rsidR="000E46FE" w:rsidRPr="0087009D" w:rsidRDefault="00A8040B" w:rsidP="000E46FE">
      <w:pPr>
        <w:pStyle w:val="NormalHanging12a"/>
      </w:pPr>
      <w:r w:rsidRPr="0087009D">
        <w:t>54</w:t>
      </w:r>
      <w:r w:rsidR="000E46FE" w:rsidRPr="0087009D">
        <w:t>.</w:t>
      </w:r>
      <w:r w:rsidR="000E46FE" w:rsidRPr="0087009D">
        <w:tab/>
        <w:t>Exorta a Comissão a reforçar as medidas de gestão do salmão no mar Báltico, com base em dados científicos e de forma proporcionada, certificando</w:t>
      </w:r>
      <w:r w:rsidR="000E46FE" w:rsidRPr="0087009D">
        <w:noBreakHyphen/>
        <w:t>se de que os impactos nos ecossistemas da pesca do arenque, da espadilha e do bacalhau no salmão sejam devidamente compreendidos e tidos em conta; insta à melhoria da monitorização e da investigação para apoiar a gestão sustentável do salmão</w:t>
      </w:r>
      <w:r w:rsidR="00355403" w:rsidRPr="0087009D">
        <w:t>;</w:t>
      </w:r>
    </w:p>
    <w:p w14:paraId="6D3BD47F" w14:textId="232AFC0A" w:rsidR="000E46FE" w:rsidRPr="0087009D" w:rsidRDefault="00A8040B" w:rsidP="000E46FE">
      <w:pPr>
        <w:pStyle w:val="NormalHanging12a"/>
      </w:pPr>
      <w:r w:rsidRPr="0087009D">
        <w:t>55</w:t>
      </w:r>
      <w:r w:rsidR="000E46FE" w:rsidRPr="0087009D">
        <w:t>.</w:t>
      </w:r>
      <w:r w:rsidR="000E46FE" w:rsidRPr="0087009D">
        <w:tab/>
        <w:t>Salienta que a gestão das pescas na UE deve basear</w:t>
      </w:r>
      <w:r w:rsidR="000E46FE" w:rsidRPr="0087009D">
        <w:noBreakHyphen/>
        <w:t xml:space="preserve">se na experiência europeia, na ciência e nas realidades regionais; exorta a Comissão a propor regras adaptadas ao contexto regional do mar Báltico relativamente às medidas a adotar automaticamente </w:t>
      </w:r>
      <w:r w:rsidR="000E46FE" w:rsidRPr="0087009D">
        <w:lastRenderedPageBreak/>
        <w:t>sempre que as unidades populacionais ultrapassem os limiares estabelecidos, com base numa abordagem de precaução, e reitera que a gestão do RSM deve ser complementada, quando pertinente, por medidas que permitam, em primeiro lugar, diferenciar as capturas em função do tamanho e da idade; considera que as práticas de gestão de outras regiões, como a Austrália, a Nova Zelândia, o Canadá e os Estados Unidos, poderiam servir de referência, sem deixar de garantir a coerência com o quadro jurídico da UE;</w:t>
      </w:r>
    </w:p>
    <w:p w14:paraId="2B53FB1B" w14:textId="4313E21A" w:rsidR="000E46FE" w:rsidRPr="0087009D" w:rsidRDefault="00A8040B" w:rsidP="000E46FE">
      <w:pPr>
        <w:pStyle w:val="NormalHanging12a"/>
      </w:pPr>
      <w:r w:rsidRPr="0087009D">
        <w:t>56</w:t>
      </w:r>
      <w:r w:rsidR="000E46FE" w:rsidRPr="0087009D">
        <w:t>.</w:t>
      </w:r>
      <w:r w:rsidR="000E46FE" w:rsidRPr="0087009D">
        <w:tab/>
      </w:r>
      <w:bookmarkStart w:id="31" w:name="_Hlk227163355"/>
      <w:r w:rsidR="000E46FE" w:rsidRPr="0087009D">
        <w:t>Insta a Comissão e os Estados</w:t>
      </w:r>
      <w:r w:rsidR="000E46FE" w:rsidRPr="0087009D">
        <w:noBreakHyphen/>
        <w:t>Membros a estreitarem a cooperação regional, em conformidade com o artigo 18.º do Regulamento PCP;</w:t>
      </w:r>
      <w:bookmarkEnd w:id="31"/>
    </w:p>
    <w:p w14:paraId="4FD51519" w14:textId="6CD5CA72" w:rsidR="000E46FE" w:rsidRPr="0087009D" w:rsidRDefault="00A8040B" w:rsidP="000E46FE">
      <w:pPr>
        <w:pStyle w:val="NormalHanging12a"/>
      </w:pPr>
      <w:r w:rsidRPr="0087009D">
        <w:t>57</w:t>
      </w:r>
      <w:r w:rsidR="000E46FE" w:rsidRPr="0087009D">
        <w:t>.</w:t>
      </w:r>
      <w:r w:rsidR="000E46FE" w:rsidRPr="0087009D">
        <w:tab/>
      </w:r>
      <w:bookmarkStart w:id="32" w:name="_Hlk223341460"/>
      <w:bookmarkStart w:id="33" w:name="_Hlk212109517"/>
      <w:r w:rsidR="000E46FE" w:rsidRPr="0087009D">
        <w:t>Convida a Comissão a adotar medidas concretas e eficazes que garantam que o peixe capturado no mar Báltico se destine, sobretudo, ao consumo humano direto, a fim de promover e incentivar as cadeias de abastecimento alimentar locais</w:t>
      </w:r>
      <w:bookmarkEnd w:id="32"/>
      <w:r w:rsidR="000E46FE" w:rsidRPr="0087009D">
        <w:t>;</w:t>
      </w:r>
      <w:bookmarkEnd w:id="33"/>
    </w:p>
    <w:p w14:paraId="3C973533" w14:textId="60C470CC" w:rsidR="000E46FE" w:rsidRPr="0087009D" w:rsidRDefault="00A8040B" w:rsidP="000E46FE">
      <w:pPr>
        <w:pStyle w:val="NormalHanging12a"/>
      </w:pPr>
      <w:r w:rsidRPr="0087009D">
        <w:t>58</w:t>
      </w:r>
      <w:r w:rsidR="000E46FE" w:rsidRPr="0087009D">
        <w:t>.</w:t>
      </w:r>
      <w:r w:rsidR="000E46FE" w:rsidRPr="0087009D">
        <w:tab/>
      </w:r>
      <w:bookmarkStart w:id="34" w:name="_Hlk227163443"/>
      <w:r w:rsidR="000E46FE" w:rsidRPr="0087009D">
        <w:t>Observa que alguns Estados</w:t>
      </w:r>
      <w:r w:rsidR="000E46FE" w:rsidRPr="0087009D">
        <w:noBreakHyphen/>
        <w:t>Membros da região do mar Báltico, como a Alemanha e a Suécia, adotaram medidas nacionais para restringir ou proibir a pesca com redes de arrasto pelo fundo em determinadas zonas marinhas;</w:t>
      </w:r>
      <w:bookmarkEnd w:id="34"/>
    </w:p>
    <w:p w14:paraId="0FE0CC8F" w14:textId="6B2825D6" w:rsidR="000E46FE" w:rsidRPr="0087009D" w:rsidRDefault="00A8040B" w:rsidP="000E46FE">
      <w:pPr>
        <w:pStyle w:val="NormalHanging12a"/>
      </w:pPr>
      <w:r w:rsidRPr="0087009D">
        <w:t>59</w:t>
      </w:r>
      <w:r w:rsidR="000E46FE" w:rsidRPr="0087009D">
        <w:t>.</w:t>
      </w:r>
      <w:r w:rsidR="000E46FE" w:rsidRPr="0087009D">
        <w:tab/>
        <w:t>Solicita à Comissão e aos Estados</w:t>
      </w:r>
      <w:r w:rsidR="000E46FE" w:rsidRPr="0087009D">
        <w:noBreakHyphen/>
        <w:t>Membros da região do mar Báltico que proponham a suspensão da pesca de arrasto para a produção de farinha e óleo de peixe durante as fases de recuperação e a limitação das atividades extrativas nas AMP; reconhece que as abordagens variam em toda a União em função das especificidades dos contextos ecológicos, jurídicos e socioeconómicos; incentiva os Estados</w:t>
      </w:r>
      <w:r w:rsidR="000E46FE" w:rsidRPr="0087009D">
        <w:noBreakHyphen/>
        <w:t>Membros a continuarem a conceber soluções proporcionadas e baseadas em dados científicos, em colaboração com as partes interessadas, sobretudo o setor das pescas e as comunidades costeiras, com vista a melhorar a proteção marinha e garantir, ao mesmo tempo, a viabilidade do setor das pescas da UE através de uma transição justa;</w:t>
      </w:r>
    </w:p>
    <w:p w14:paraId="10143037" w14:textId="718A583D" w:rsidR="00355403" w:rsidRPr="0087009D" w:rsidRDefault="00355403" w:rsidP="00355403">
      <w:pPr>
        <w:pStyle w:val="NormalHanging12a"/>
        <w:widowControl/>
        <w:ind w:left="0" w:firstLine="0"/>
        <w:jc w:val="center"/>
      </w:pPr>
      <w:r w:rsidRPr="0087009D">
        <w:t>°</w:t>
      </w:r>
    </w:p>
    <w:p w14:paraId="28E49243" w14:textId="63CBE1D0" w:rsidR="00355403" w:rsidRPr="0087009D" w:rsidRDefault="00355403" w:rsidP="00355403">
      <w:pPr>
        <w:pStyle w:val="NormalHanging12a"/>
        <w:widowControl/>
        <w:ind w:left="0" w:firstLine="0"/>
        <w:jc w:val="center"/>
      </w:pPr>
      <w:r w:rsidRPr="0087009D">
        <w:t>°     °</w:t>
      </w:r>
    </w:p>
    <w:p w14:paraId="22038C20" w14:textId="7E4079E0" w:rsidR="008C2977" w:rsidRPr="0087009D" w:rsidRDefault="00A8040B" w:rsidP="008C2977">
      <w:pPr>
        <w:pStyle w:val="NormalHanging12a"/>
      </w:pPr>
      <w:r w:rsidRPr="0087009D">
        <w:t>60</w:t>
      </w:r>
      <w:r w:rsidR="000E46FE" w:rsidRPr="0087009D">
        <w:t>.</w:t>
      </w:r>
      <w:r w:rsidR="000E46FE" w:rsidRPr="0087009D">
        <w:tab/>
        <w:t>Encarrega a sua Presidente de transmitir a presente resolução ao Conselho e à Comissão.</w:t>
      </w:r>
    </w:p>
    <w:sectPr w:rsidR="008C2977" w:rsidRPr="0087009D" w:rsidSect="008C29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FD8B" w14:textId="77777777" w:rsidR="00F63577" w:rsidRPr="008C2977" w:rsidRDefault="00F63577">
      <w:r w:rsidRPr="008C2977">
        <w:separator/>
      </w:r>
    </w:p>
  </w:endnote>
  <w:endnote w:type="continuationSeparator" w:id="0">
    <w:p w14:paraId="23F673ED" w14:textId="77777777" w:rsidR="00F63577" w:rsidRPr="008C2977" w:rsidRDefault="00F63577">
      <w:r w:rsidRPr="008C29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957F" w14:textId="77777777" w:rsidR="00F63577" w:rsidRPr="008C2977" w:rsidRDefault="00F63577">
      <w:r w:rsidRPr="008C2977">
        <w:separator/>
      </w:r>
    </w:p>
  </w:footnote>
  <w:footnote w:type="continuationSeparator" w:id="0">
    <w:p w14:paraId="272B6A19" w14:textId="77777777" w:rsidR="00F63577" w:rsidRPr="008C2977" w:rsidRDefault="00F63577">
      <w:r w:rsidRPr="008C2977">
        <w:continuationSeparator/>
      </w:r>
    </w:p>
  </w:footnote>
  <w:footnote w:id="1">
    <w:p w14:paraId="53282690" w14:textId="2683341E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 354 de 28.12.2013, p. 22, ELI: </w:t>
      </w:r>
      <w:hyperlink r:id="rId1" w:history="1">
        <w:r w:rsidRPr="00B60520">
          <w:rPr>
            <w:rStyle w:val="Hyperlink"/>
            <w:sz w:val="24"/>
            <w:lang w:val="fi-FI"/>
          </w:rPr>
          <w:t>http://data.europa.eu/eli/reg/2013/1380/oj</w:t>
        </w:r>
      </w:hyperlink>
      <w:r w:rsidRPr="00B60520">
        <w:rPr>
          <w:sz w:val="24"/>
          <w:lang w:val="fi-FI"/>
        </w:rPr>
        <w:t>.</w:t>
      </w:r>
    </w:p>
  </w:footnote>
  <w:footnote w:id="2">
    <w:p w14:paraId="465C33C2" w14:textId="0113D60D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 191 de 15.7.2016, p. 1. </w:t>
      </w:r>
      <w:r w:rsidR="003C5BD7" w:rsidRPr="00B60520">
        <w:rPr>
          <w:sz w:val="24"/>
          <w:lang w:val="fi-FI"/>
        </w:rPr>
        <w:t xml:space="preserve">ELI: </w:t>
      </w:r>
      <w:hyperlink r:id="rId2" w:history="1">
        <w:r w:rsidR="003C5BD7" w:rsidRPr="00B60520">
          <w:rPr>
            <w:rStyle w:val="Hyperlink"/>
            <w:sz w:val="24"/>
            <w:lang w:val="fi-FI"/>
          </w:rPr>
          <w:t>http://data.europa.eu/eli/reg/2016/1139/oj</w:t>
        </w:r>
      </w:hyperlink>
      <w:r w:rsidRPr="00B60520">
        <w:rPr>
          <w:sz w:val="24"/>
          <w:lang w:val="fi-FI"/>
        </w:rPr>
        <w:t>.</w:t>
      </w:r>
    </w:p>
  </w:footnote>
  <w:footnote w:id="3">
    <w:p w14:paraId="5A3A8453" w14:textId="777BB073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 400 de 30.11.2020, p. 1, ELI: </w:t>
      </w:r>
      <w:hyperlink r:id="rId3" w:history="1">
        <w:r w:rsidRPr="00B60520">
          <w:rPr>
            <w:rStyle w:val="Hyperlink"/>
            <w:sz w:val="24"/>
            <w:lang w:val="fi-FI"/>
          </w:rPr>
          <w:t>http://data.europa.eu/eli/reg/2020/1781/oj</w:t>
        </w:r>
      </w:hyperlink>
      <w:r w:rsidRPr="00B60520">
        <w:rPr>
          <w:sz w:val="24"/>
          <w:lang w:val="fi-FI"/>
        </w:rPr>
        <w:t>.</w:t>
      </w:r>
    </w:p>
  </w:footnote>
  <w:footnote w:id="4">
    <w:p w14:paraId="11F33EBE" w14:textId="6284535C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 164 de 25.6.2008, p. 19, ELI: </w:t>
      </w:r>
      <w:hyperlink r:id="rId4" w:history="1">
        <w:r w:rsidRPr="00B60520">
          <w:rPr>
            <w:rStyle w:val="Hyperlink"/>
            <w:sz w:val="24"/>
            <w:lang w:val="fi-FI"/>
          </w:rPr>
          <w:t>http://data.europa.eu/eli/dir/2008/56/oj</w:t>
        </w:r>
      </w:hyperlink>
      <w:r w:rsidRPr="00B60520">
        <w:rPr>
          <w:sz w:val="24"/>
          <w:lang w:val="fi-FI"/>
        </w:rPr>
        <w:t>.</w:t>
      </w:r>
    </w:p>
  </w:footnote>
  <w:footnote w:id="5">
    <w:p w14:paraId="3BBAC9A7" w14:textId="640D70E0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 206 de 22.7.1992, p. 7, ELI: </w:t>
      </w:r>
      <w:hyperlink r:id="rId5" w:history="1">
        <w:r w:rsidRPr="00B60520">
          <w:rPr>
            <w:rStyle w:val="Hyperlink"/>
            <w:sz w:val="24"/>
            <w:lang w:val="fi-FI"/>
          </w:rPr>
          <w:t>http://data.europa.eu/eli/dir/1992/43/oj</w:t>
        </w:r>
      </w:hyperlink>
      <w:r w:rsidRPr="00B60520">
        <w:rPr>
          <w:sz w:val="24"/>
          <w:lang w:val="fi-FI"/>
        </w:rPr>
        <w:t>.</w:t>
      </w:r>
    </w:p>
  </w:footnote>
  <w:footnote w:id="6">
    <w:p w14:paraId="07D6E237" w14:textId="6BEDDDAC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 247 de 28.9.1977, p. 2, ELI: </w:t>
      </w:r>
      <w:hyperlink r:id="rId6" w:history="1">
        <w:r w:rsidRPr="00B60520">
          <w:rPr>
            <w:rStyle w:val="Hyperlink"/>
            <w:sz w:val="24"/>
            <w:lang w:val="fi-FI"/>
          </w:rPr>
          <w:t>http://data.europa.eu/eli/reg/1977/2115/oj</w:t>
        </w:r>
      </w:hyperlink>
      <w:r w:rsidRPr="00B60520">
        <w:rPr>
          <w:sz w:val="24"/>
          <w:lang w:val="fi-FI"/>
        </w:rPr>
        <w:t>.</w:t>
      </w:r>
    </w:p>
  </w:footnote>
  <w:footnote w:id="7">
    <w:p w14:paraId="59B10396" w14:textId="743C7F53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L 20 de 26.1.2010, p. 7, ELI: </w:t>
      </w:r>
      <w:hyperlink r:id="rId7" w:history="1">
        <w:r w:rsidRPr="00B60520">
          <w:rPr>
            <w:rStyle w:val="Hyperlink"/>
            <w:sz w:val="24"/>
            <w:lang w:val="fi-FI"/>
          </w:rPr>
          <w:t>http://data.europa.eu/eli/dir/2009/147/oj</w:t>
        </w:r>
      </w:hyperlink>
      <w:r w:rsidRPr="00B60520">
        <w:rPr>
          <w:sz w:val="24"/>
          <w:lang w:val="fi-FI"/>
        </w:rPr>
        <w:t>.</w:t>
      </w:r>
    </w:p>
  </w:footnote>
  <w:footnote w:id="8">
    <w:p w14:paraId="76E386C0" w14:textId="6432EA28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>JO C 506 de 15.12.2021, p. 9.</w:t>
      </w:r>
    </w:p>
  </w:footnote>
  <w:footnote w:id="9">
    <w:p w14:paraId="11B57E38" w14:textId="18ECBB96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C, C/2024/5735, 17.10.2024, ELI: </w:t>
      </w:r>
      <w:hyperlink r:id="rId8" w:history="1">
        <w:r w:rsidRPr="00B60520">
          <w:rPr>
            <w:rStyle w:val="Hyperlink"/>
            <w:sz w:val="24"/>
            <w:lang w:val="fi-FI"/>
          </w:rPr>
          <w:t>http://data.europa.eu/eli/C/2024/5735/oj</w:t>
        </w:r>
      </w:hyperlink>
      <w:r w:rsidRPr="00B60520">
        <w:rPr>
          <w:sz w:val="24"/>
          <w:lang w:val="fi-FI"/>
        </w:rPr>
        <w:t xml:space="preserve">. </w:t>
      </w:r>
    </w:p>
  </w:footnote>
  <w:footnote w:id="10">
    <w:p w14:paraId="7AB7F797" w14:textId="0FF660D7" w:rsidR="000E46FE" w:rsidRPr="0087009D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7009D">
        <w:rPr>
          <w:sz w:val="24"/>
          <w:lang w:val="fi-FI"/>
        </w:rPr>
        <w:t xml:space="preserve"> </w:t>
      </w:r>
      <w:r w:rsidR="008C2977" w:rsidRPr="0087009D">
        <w:rPr>
          <w:sz w:val="24"/>
          <w:lang w:val="fi-FI"/>
        </w:rPr>
        <w:tab/>
      </w:r>
      <w:r w:rsidRPr="0087009D">
        <w:rPr>
          <w:sz w:val="24"/>
          <w:lang w:val="fi-FI"/>
        </w:rPr>
        <w:t>JO C 21 E de 28.1.2010, p. 11.</w:t>
      </w:r>
    </w:p>
  </w:footnote>
  <w:footnote w:id="11">
    <w:p w14:paraId="7EA26678" w14:textId="2A981F8C" w:rsidR="000E46FE" w:rsidRPr="00B60520" w:rsidRDefault="000E46FE" w:rsidP="008C2977">
      <w:pPr>
        <w:pStyle w:val="FootnoteText"/>
        <w:ind w:left="567" w:hanging="567"/>
        <w:rPr>
          <w:sz w:val="24"/>
          <w:lang w:val="fi-FI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fi-FI"/>
        </w:rPr>
        <w:t xml:space="preserve"> </w:t>
      </w:r>
      <w:r w:rsidR="008C2977" w:rsidRPr="00B60520">
        <w:rPr>
          <w:sz w:val="24"/>
          <w:lang w:val="fi-FI"/>
        </w:rPr>
        <w:tab/>
      </w:r>
      <w:r w:rsidRPr="00B60520">
        <w:rPr>
          <w:sz w:val="24"/>
          <w:lang w:val="fi-FI"/>
        </w:rPr>
        <w:t xml:space="preserve">JO C, C/2025/809, 11.2.2025, ELI: </w:t>
      </w:r>
      <w:hyperlink r:id="rId9" w:history="1">
        <w:r w:rsidRPr="00B60520">
          <w:rPr>
            <w:rStyle w:val="Hyperlink"/>
            <w:sz w:val="24"/>
            <w:lang w:val="fi-FI"/>
          </w:rPr>
          <w:t>http://data.europa.eu/eli/C/2025/809/oj</w:t>
        </w:r>
      </w:hyperlink>
      <w:r w:rsidRPr="00B60520">
        <w:rPr>
          <w:sz w:val="24"/>
          <w:lang w:val="fi-FI"/>
        </w:rPr>
        <w:t>.</w:t>
      </w:r>
    </w:p>
  </w:footnote>
  <w:footnote w:id="12">
    <w:p w14:paraId="37420B4C" w14:textId="178D714F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r w:rsidRPr="008C2977">
        <w:rPr>
          <w:sz w:val="24"/>
          <w:lang w:val="pt-PT"/>
        </w:rPr>
        <w:t>ECLI:EU:C:2024:19.</w:t>
      </w:r>
    </w:p>
  </w:footnote>
  <w:footnote w:id="13">
    <w:p w14:paraId="7BB82644" w14:textId="2EF9B3C2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r w:rsidRPr="008C2977">
        <w:rPr>
          <w:sz w:val="24"/>
          <w:lang w:val="pt-PT"/>
        </w:rPr>
        <w:t xml:space="preserve">Análise contextual </w:t>
      </w:r>
      <w:r w:rsidR="0056035F">
        <w:rPr>
          <w:sz w:val="24"/>
          <w:lang w:val="pt-PT"/>
        </w:rPr>
        <w:t>–</w:t>
      </w:r>
      <w:r w:rsidR="0056035F" w:rsidRPr="008C2977">
        <w:rPr>
          <w:sz w:val="24"/>
          <w:lang w:val="pt-PT"/>
        </w:rPr>
        <w:t xml:space="preserve"> </w:t>
      </w:r>
      <w:r w:rsidRPr="008C2977">
        <w:rPr>
          <w:sz w:val="24"/>
          <w:lang w:val="pt-PT"/>
        </w:rPr>
        <w:t xml:space="preserve">«The </w:t>
      </w:r>
      <w:proofErr w:type="spellStart"/>
      <w:r w:rsidRPr="008C2977">
        <w:rPr>
          <w:sz w:val="24"/>
          <w:lang w:val="pt-PT"/>
        </w:rPr>
        <w:t>multiannual</w:t>
      </w:r>
      <w:proofErr w:type="spellEnd"/>
      <w:r w:rsidRPr="008C2977">
        <w:rPr>
          <w:sz w:val="24"/>
          <w:lang w:val="pt-PT"/>
        </w:rPr>
        <w:t xml:space="preserve"> </w:t>
      </w:r>
      <w:proofErr w:type="spellStart"/>
      <w:r w:rsidRPr="008C2977">
        <w:rPr>
          <w:sz w:val="24"/>
          <w:lang w:val="pt-PT"/>
        </w:rPr>
        <w:t>plan</w:t>
      </w:r>
      <w:proofErr w:type="spellEnd"/>
      <w:r w:rsidRPr="008C2977">
        <w:rPr>
          <w:sz w:val="24"/>
          <w:lang w:val="pt-PT"/>
        </w:rPr>
        <w:t xml:space="preserve"> for </w:t>
      </w:r>
      <w:proofErr w:type="spellStart"/>
      <w:r w:rsidRPr="008C2977">
        <w:rPr>
          <w:sz w:val="24"/>
          <w:lang w:val="pt-PT"/>
        </w:rPr>
        <w:t>the</w:t>
      </w:r>
      <w:proofErr w:type="spellEnd"/>
      <w:r w:rsidRPr="008C2977">
        <w:rPr>
          <w:sz w:val="24"/>
          <w:lang w:val="pt-PT"/>
        </w:rPr>
        <w:t xml:space="preserve"> </w:t>
      </w:r>
      <w:proofErr w:type="spellStart"/>
      <w:r w:rsidRPr="008C2977">
        <w:rPr>
          <w:sz w:val="24"/>
          <w:lang w:val="pt-PT"/>
        </w:rPr>
        <w:t>Baltic</w:t>
      </w:r>
      <w:proofErr w:type="spellEnd"/>
      <w:r w:rsidRPr="008C2977">
        <w:rPr>
          <w:sz w:val="24"/>
          <w:lang w:val="pt-PT"/>
        </w:rPr>
        <w:t xml:space="preserve"> </w:t>
      </w:r>
      <w:proofErr w:type="spellStart"/>
      <w:r w:rsidRPr="008C2977">
        <w:rPr>
          <w:sz w:val="24"/>
          <w:lang w:val="pt-PT"/>
        </w:rPr>
        <w:t>Sea</w:t>
      </w:r>
      <w:proofErr w:type="spellEnd"/>
      <w:r w:rsidRPr="008C2977">
        <w:rPr>
          <w:sz w:val="24"/>
          <w:lang w:val="pt-PT"/>
        </w:rPr>
        <w:t xml:space="preserve"> </w:t>
      </w:r>
      <w:r w:rsidR="0056035F">
        <w:rPr>
          <w:sz w:val="24"/>
          <w:lang w:val="pt-PT"/>
        </w:rPr>
        <w:t>–</w:t>
      </w:r>
      <w:r w:rsidR="0056035F" w:rsidRPr="008C2977">
        <w:rPr>
          <w:sz w:val="24"/>
          <w:lang w:val="pt-PT"/>
        </w:rPr>
        <w:t xml:space="preserve"> </w:t>
      </w:r>
      <w:r w:rsidRPr="008C2977">
        <w:rPr>
          <w:sz w:val="24"/>
          <w:lang w:val="pt-PT"/>
        </w:rPr>
        <w:t xml:space="preserve">A </w:t>
      </w:r>
      <w:proofErr w:type="spellStart"/>
      <w:r w:rsidRPr="008C2977">
        <w:rPr>
          <w:sz w:val="24"/>
          <w:lang w:val="pt-PT"/>
        </w:rPr>
        <w:t>change</w:t>
      </w:r>
      <w:proofErr w:type="spellEnd"/>
      <w:r w:rsidRPr="008C2977">
        <w:rPr>
          <w:sz w:val="24"/>
          <w:lang w:val="pt-PT"/>
        </w:rPr>
        <w:t xml:space="preserve"> in management </w:t>
      </w:r>
      <w:proofErr w:type="spellStart"/>
      <w:r w:rsidRPr="008C2977">
        <w:rPr>
          <w:sz w:val="24"/>
          <w:lang w:val="pt-PT"/>
        </w:rPr>
        <w:t>needed</w:t>
      </w:r>
      <w:proofErr w:type="spellEnd"/>
      <w:r w:rsidRPr="008C2977">
        <w:rPr>
          <w:sz w:val="24"/>
          <w:lang w:val="pt-PT"/>
        </w:rPr>
        <w:t xml:space="preserve">» [Plano plurianual para o mar Báltico </w:t>
      </w:r>
      <w:r w:rsidR="0056035F">
        <w:rPr>
          <w:sz w:val="24"/>
          <w:lang w:val="pt-PT"/>
        </w:rPr>
        <w:t>–</w:t>
      </w:r>
      <w:r w:rsidR="0056035F" w:rsidRPr="008C2977">
        <w:rPr>
          <w:sz w:val="24"/>
          <w:lang w:val="pt-PT"/>
        </w:rPr>
        <w:t xml:space="preserve"> </w:t>
      </w:r>
      <w:r w:rsidRPr="008C2977">
        <w:rPr>
          <w:sz w:val="24"/>
          <w:lang w:val="pt-PT"/>
        </w:rPr>
        <w:t>É necessária uma mudança na gestão], Parlamento Europeu, Direção</w:t>
      </w:r>
      <w:r w:rsidRPr="008C2977">
        <w:rPr>
          <w:sz w:val="24"/>
          <w:lang w:val="pt-PT"/>
        </w:rPr>
        <w:noBreakHyphen/>
        <w:t>Geral da Coesão, da Agricultura e das Políticas Sociais, Departamento Temático do Desenvolvimento Regional, Agricultura e Pescas, agosto de 2025.</w:t>
      </w:r>
    </w:p>
  </w:footnote>
  <w:footnote w:id="14">
    <w:p w14:paraId="62A0FFBA" w14:textId="65AE67C6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r w:rsidRPr="008C2977">
        <w:rPr>
          <w:sz w:val="24"/>
          <w:lang w:val="pt-PT"/>
        </w:rPr>
        <w:t>Relatórios científicos do CIEM. 4:2.</w:t>
      </w:r>
    </w:p>
  </w:footnote>
  <w:footnote w:id="15">
    <w:p w14:paraId="557F7AAE" w14:textId="3BF2749E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r w:rsidRPr="008C2977">
        <w:rPr>
          <w:sz w:val="24"/>
          <w:lang w:val="pt-PT"/>
        </w:rPr>
        <w:t>Relatórios científicos do CIEM. 4:68.</w:t>
      </w:r>
    </w:p>
  </w:footnote>
  <w:footnote w:id="16">
    <w:p w14:paraId="16924592" w14:textId="7DA8B462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r w:rsidRPr="008C2977">
        <w:rPr>
          <w:sz w:val="24"/>
          <w:lang w:val="pt-PT"/>
        </w:rPr>
        <w:t>Relatórios científicos do CIEM. 5:112.</w:t>
      </w:r>
    </w:p>
  </w:footnote>
  <w:footnote w:id="17">
    <w:p w14:paraId="0483BC26" w14:textId="13B2CA65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r w:rsidRPr="008C2977">
        <w:rPr>
          <w:sz w:val="24"/>
          <w:lang w:val="pt-PT"/>
        </w:rPr>
        <w:t xml:space="preserve">Regulamento (UE) 2023/2842 do Parlamento Europeu e do Conselho, de 22 de novembro de 2023, que altera o Regulamento (CE) n.º 1224/2009 do Conselho e que altera os Regulamentos (CE) n.º 1967/2006 e (CE) n.º 1005/2008 do Conselho e os Regulamentos (UE) 2016/1139, (UE) 2017/2403 e (UE) 2019/473 do Parlamento Europeu e do Conselho, no que respeita ao controlo das pescas (JO L, 2023/2842, 20.12.2023, ELI: </w:t>
      </w:r>
      <w:hyperlink r:id="rId10" w:history="1">
        <w:r w:rsidRPr="008C2977">
          <w:rPr>
            <w:rStyle w:val="Hyperlink"/>
            <w:sz w:val="24"/>
            <w:lang w:val="pt-PT"/>
          </w:rPr>
          <w:t>http://data.europa.eu/eli/reg/2023/2842/oj</w:t>
        </w:r>
      </w:hyperlink>
      <w:r w:rsidRPr="008C2977">
        <w:rPr>
          <w:sz w:val="24"/>
          <w:lang w:val="pt-PT"/>
        </w:rPr>
        <w:t xml:space="preserve">). </w:t>
      </w:r>
    </w:p>
  </w:footnote>
  <w:footnote w:id="18">
    <w:p w14:paraId="3AF0E07F" w14:textId="5236128A" w:rsidR="000E46FE" w:rsidRPr="008C2977" w:rsidRDefault="000E46FE" w:rsidP="008C2977">
      <w:pPr>
        <w:pStyle w:val="FootnoteText"/>
        <w:ind w:left="567" w:hanging="567"/>
        <w:rPr>
          <w:sz w:val="24"/>
          <w:lang w:val="pt-PT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C2977">
        <w:rPr>
          <w:sz w:val="24"/>
          <w:lang w:val="pt-PT"/>
        </w:rPr>
        <w:t xml:space="preserve"> </w:t>
      </w:r>
      <w:r w:rsidR="008C2977" w:rsidRPr="008C2977">
        <w:rPr>
          <w:sz w:val="24"/>
          <w:lang w:val="pt-PT"/>
        </w:rPr>
        <w:tab/>
      </w:r>
      <w:hyperlink r:id="rId11" w:history="1">
        <w:r w:rsidRPr="008C2977">
          <w:rPr>
            <w:rStyle w:val="Hyperlink"/>
            <w:sz w:val="24"/>
            <w:lang w:val="pt-PT"/>
          </w:rPr>
          <w:t>https://helcom.fi/wp</w:t>
        </w:r>
        <w:r w:rsidRPr="008C2977">
          <w:rPr>
            <w:rStyle w:val="Hyperlink"/>
            <w:sz w:val="24"/>
            <w:lang w:val="pt-PT"/>
          </w:rPr>
          <w:noBreakHyphen/>
          <w:t>content/uploads/2025/06/Red</w:t>
        </w:r>
        <w:r w:rsidRPr="008C2977">
          <w:rPr>
            <w:rStyle w:val="Hyperlink"/>
            <w:sz w:val="24"/>
            <w:lang w:val="pt-PT"/>
          </w:rPr>
          <w:noBreakHyphen/>
          <w:t>List</w:t>
        </w:r>
        <w:r w:rsidRPr="008C2977">
          <w:rPr>
            <w:rStyle w:val="Hyperlink"/>
            <w:sz w:val="24"/>
            <w:lang w:val="pt-PT"/>
          </w:rPr>
          <w:noBreakHyphen/>
          <w:t>II</w:t>
        </w:r>
        <w:r w:rsidRPr="008C2977">
          <w:rPr>
            <w:rStyle w:val="Hyperlink"/>
            <w:sz w:val="24"/>
            <w:lang w:val="pt-PT"/>
          </w:rPr>
          <w:noBreakHyphen/>
          <w:t>species</w:t>
        </w:r>
        <w:r w:rsidRPr="008C2977">
          <w:rPr>
            <w:rStyle w:val="Hyperlink"/>
            <w:sz w:val="24"/>
            <w:lang w:val="pt-PT"/>
          </w:rPr>
          <w:noBreakHyphen/>
          <w:t>2025.pdf</w:t>
        </w:r>
      </w:hyperlink>
      <w:r w:rsidRPr="008C2977">
        <w:rPr>
          <w:sz w:val="24"/>
          <w:lang w:val="pt-PT"/>
        </w:rPr>
        <w:t>.</w:t>
      </w:r>
    </w:p>
  </w:footnote>
  <w:footnote w:id="19">
    <w:p w14:paraId="45E1346A" w14:textId="2C6708EF" w:rsidR="000E46FE" w:rsidRPr="00B60520" w:rsidRDefault="000E46FE" w:rsidP="008C2977">
      <w:pPr>
        <w:pStyle w:val="FootnoteText"/>
        <w:ind w:left="567" w:hanging="567"/>
        <w:rPr>
          <w:sz w:val="24"/>
          <w:lang w:val="da-DK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da-DK"/>
        </w:rPr>
        <w:t xml:space="preserve"> </w:t>
      </w:r>
      <w:r w:rsidR="008C2977" w:rsidRPr="00B60520">
        <w:rPr>
          <w:sz w:val="24"/>
          <w:lang w:val="da-DK"/>
        </w:rPr>
        <w:tab/>
      </w:r>
      <w:r w:rsidRPr="00B60520">
        <w:rPr>
          <w:sz w:val="24"/>
          <w:lang w:val="da-DK"/>
        </w:rPr>
        <w:t>JO C 241 de 29.8.1994, p.</w:t>
      </w:r>
      <w:r w:rsidR="00C1199E" w:rsidRPr="00B60520">
        <w:rPr>
          <w:sz w:val="24"/>
          <w:lang w:val="da-DK"/>
        </w:rPr>
        <w:t xml:space="preserve"> </w:t>
      </w:r>
      <w:r w:rsidRPr="00B60520">
        <w:rPr>
          <w:sz w:val="24"/>
          <w:lang w:val="da-DK"/>
        </w:rPr>
        <w:t>9.</w:t>
      </w:r>
    </w:p>
  </w:footnote>
  <w:footnote w:id="20">
    <w:p w14:paraId="6BA49CE6" w14:textId="10608E6D" w:rsidR="000E46FE" w:rsidRPr="00B60520" w:rsidRDefault="000E46FE" w:rsidP="008C2977">
      <w:pPr>
        <w:pStyle w:val="FootnoteText"/>
        <w:ind w:left="567" w:hanging="567"/>
        <w:rPr>
          <w:sz w:val="24"/>
          <w:lang w:val="da-DK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da-DK"/>
        </w:rPr>
        <w:t xml:space="preserve"> </w:t>
      </w:r>
      <w:r w:rsidR="008C2977" w:rsidRPr="00B60520">
        <w:rPr>
          <w:sz w:val="24"/>
          <w:lang w:val="da-DK"/>
        </w:rPr>
        <w:tab/>
      </w:r>
      <w:hyperlink r:id="rId12" w:history="1">
        <w:r w:rsidRPr="00B60520">
          <w:rPr>
            <w:rStyle w:val="Hyperlink"/>
            <w:sz w:val="24"/>
            <w:lang w:val="da-DK"/>
          </w:rPr>
          <w:t>https://commission.europa.eu/document/download/486161f4</w:t>
        </w:r>
        <w:r w:rsidRPr="00B60520">
          <w:rPr>
            <w:rStyle w:val="Hyperlink"/>
            <w:sz w:val="24"/>
            <w:lang w:val="da-DK"/>
          </w:rPr>
          <w:noBreakHyphen/>
          <w:t>241f</w:t>
        </w:r>
        <w:r w:rsidRPr="00B60520">
          <w:rPr>
            <w:rStyle w:val="Hyperlink"/>
            <w:sz w:val="24"/>
            <w:lang w:val="da-DK"/>
          </w:rPr>
          <w:noBreakHyphen/>
          <w:t>4388</w:t>
        </w:r>
        <w:r w:rsidRPr="00B60520">
          <w:rPr>
            <w:rStyle w:val="Hyperlink"/>
            <w:sz w:val="24"/>
            <w:lang w:val="da-DK"/>
          </w:rPr>
          <w:noBreakHyphen/>
          <w:t>b10e</w:t>
        </w:r>
        <w:r w:rsidRPr="00B60520">
          <w:rPr>
            <w:rStyle w:val="Hyperlink"/>
            <w:sz w:val="24"/>
            <w:lang w:val="da-DK"/>
          </w:rPr>
          <w:noBreakHyphen/>
          <w:t>22f4711acd16_en?filename=ministerial_declaration_our_baltic_conference.pdf</w:t>
        </w:r>
      </w:hyperlink>
      <w:r w:rsidRPr="00B60520">
        <w:rPr>
          <w:sz w:val="24"/>
          <w:lang w:val="da-DK"/>
        </w:rPr>
        <w:t>.</w:t>
      </w:r>
    </w:p>
  </w:footnote>
  <w:footnote w:id="21">
    <w:p w14:paraId="25240DF4" w14:textId="5AEDA9B1" w:rsidR="000E46FE" w:rsidRPr="00B60520" w:rsidRDefault="000E46FE" w:rsidP="008C2977">
      <w:pPr>
        <w:pStyle w:val="FootnoteText"/>
        <w:ind w:left="567" w:hanging="567"/>
        <w:rPr>
          <w:sz w:val="24"/>
          <w:lang w:val="da-DK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B60520">
        <w:rPr>
          <w:sz w:val="24"/>
          <w:lang w:val="da-DK"/>
        </w:rPr>
        <w:t xml:space="preserve"> </w:t>
      </w:r>
      <w:r w:rsidR="008C2977" w:rsidRPr="00B60520">
        <w:rPr>
          <w:sz w:val="24"/>
          <w:lang w:val="da-DK"/>
        </w:rPr>
        <w:tab/>
      </w:r>
      <w:hyperlink r:id="rId13" w:history="1">
        <w:r w:rsidRPr="00B60520">
          <w:rPr>
            <w:rStyle w:val="Hyperlink"/>
            <w:sz w:val="24"/>
            <w:lang w:val="da-DK"/>
          </w:rPr>
          <w:t>https://ec.europa.eu/info/law/better</w:t>
        </w:r>
        <w:r w:rsidRPr="00B60520">
          <w:rPr>
            <w:rStyle w:val="Hyperlink"/>
            <w:sz w:val="24"/>
            <w:lang w:val="da-DK"/>
          </w:rPr>
          <w:noBreakHyphen/>
          <w:t>regulation/have</w:t>
        </w:r>
        <w:r w:rsidRPr="00B60520">
          <w:rPr>
            <w:rStyle w:val="Hyperlink"/>
            <w:sz w:val="24"/>
            <w:lang w:val="da-DK"/>
          </w:rPr>
          <w:noBreakHyphen/>
          <w:t>your</w:t>
        </w:r>
        <w:r w:rsidRPr="00B60520">
          <w:rPr>
            <w:rStyle w:val="Hyperlink"/>
            <w:sz w:val="24"/>
            <w:lang w:val="da-DK"/>
          </w:rPr>
          <w:noBreakHyphen/>
          <w:t>say/initiatives/14031</w:t>
        </w:r>
        <w:r w:rsidRPr="00B60520">
          <w:rPr>
            <w:rStyle w:val="Hyperlink"/>
            <w:sz w:val="24"/>
            <w:lang w:val="da-DK"/>
          </w:rPr>
          <w:noBreakHyphen/>
          <w:t>Trade</w:t>
        </w:r>
        <w:r w:rsidRPr="00B60520">
          <w:rPr>
            <w:rStyle w:val="Hyperlink"/>
            <w:sz w:val="24"/>
            <w:lang w:val="da-DK"/>
          </w:rPr>
          <w:noBreakHyphen/>
          <w:t>in</w:t>
        </w:r>
        <w:r w:rsidRPr="00B60520">
          <w:rPr>
            <w:rStyle w:val="Hyperlink"/>
            <w:sz w:val="24"/>
            <w:lang w:val="da-DK"/>
          </w:rPr>
          <w:noBreakHyphen/>
          <w:t>seal</w:t>
        </w:r>
        <w:r w:rsidRPr="00B60520">
          <w:rPr>
            <w:rStyle w:val="Hyperlink"/>
            <w:sz w:val="24"/>
            <w:lang w:val="da-DK"/>
          </w:rPr>
          <w:noBreakHyphen/>
          <w:t>products</w:t>
        </w:r>
        <w:r w:rsidRPr="00B60520">
          <w:rPr>
            <w:rStyle w:val="Hyperlink"/>
            <w:sz w:val="24"/>
            <w:lang w:val="da-DK"/>
          </w:rPr>
          <w:noBreakHyphen/>
          <w:t>fitness</w:t>
        </w:r>
        <w:r w:rsidRPr="00B60520">
          <w:rPr>
            <w:rStyle w:val="Hyperlink"/>
            <w:sz w:val="24"/>
            <w:lang w:val="da-DK"/>
          </w:rPr>
          <w:noBreakHyphen/>
          <w:t>check</w:t>
        </w:r>
        <w:r w:rsidRPr="00B60520">
          <w:rPr>
            <w:rStyle w:val="Hyperlink"/>
            <w:sz w:val="24"/>
            <w:lang w:val="da-DK"/>
          </w:rPr>
          <w:noBreakHyphen/>
          <w:t>of</w:t>
        </w:r>
        <w:r w:rsidRPr="00B60520">
          <w:rPr>
            <w:rStyle w:val="Hyperlink"/>
            <w:sz w:val="24"/>
            <w:lang w:val="da-DK"/>
          </w:rPr>
          <w:noBreakHyphen/>
          <w:t>EU</w:t>
        </w:r>
        <w:r w:rsidRPr="00B60520">
          <w:rPr>
            <w:rStyle w:val="Hyperlink"/>
            <w:sz w:val="24"/>
            <w:lang w:val="da-DK"/>
          </w:rPr>
          <w:noBreakHyphen/>
          <w:t>rules/public</w:t>
        </w:r>
        <w:r w:rsidRPr="00B60520">
          <w:rPr>
            <w:rStyle w:val="Hyperlink"/>
            <w:sz w:val="24"/>
            <w:lang w:val="da-DK"/>
          </w:rPr>
          <w:noBreakHyphen/>
          <w:t>consultation_pt</w:t>
        </w:r>
      </w:hyperlink>
      <w:r w:rsidRPr="00B60520">
        <w:rPr>
          <w:sz w:val="24"/>
          <w:lang w:val="da-DK"/>
        </w:rPr>
        <w:t>.</w:t>
      </w:r>
    </w:p>
  </w:footnote>
  <w:footnote w:id="22">
    <w:p w14:paraId="733820C8" w14:textId="6C641902" w:rsidR="000E46FE" w:rsidRPr="0087009D" w:rsidRDefault="000E46FE" w:rsidP="008C2977">
      <w:pPr>
        <w:pStyle w:val="FootnoteText"/>
        <w:ind w:left="567" w:hanging="567"/>
        <w:rPr>
          <w:sz w:val="24"/>
          <w:lang w:val="da-DK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7009D">
        <w:rPr>
          <w:sz w:val="24"/>
          <w:lang w:val="da-DK"/>
        </w:rPr>
        <w:t xml:space="preserve"> </w:t>
      </w:r>
      <w:r w:rsidR="008C2977" w:rsidRPr="0087009D">
        <w:rPr>
          <w:sz w:val="24"/>
          <w:lang w:val="da-DK"/>
        </w:rPr>
        <w:tab/>
      </w:r>
      <w:hyperlink r:id="rId14" w:history="1">
        <w:r w:rsidR="00355403" w:rsidRPr="0087009D">
          <w:rPr>
            <w:rStyle w:val="Hyperlink"/>
            <w:sz w:val="24"/>
            <w:lang w:val="da-DK"/>
          </w:rPr>
          <w:t>https://www.fao.org/fishery/services/storage/fs/fishery/documents/EIFAAC/cormorantsplan/EuropeanManagementPlanforCormorants-April2025.pdf</w:t>
        </w:r>
      </w:hyperlink>
      <w:r w:rsidRPr="0087009D">
        <w:rPr>
          <w:sz w:val="24"/>
          <w:lang w:val="da-DK"/>
        </w:rPr>
        <w:t>.</w:t>
      </w:r>
    </w:p>
  </w:footnote>
  <w:footnote w:id="23">
    <w:p w14:paraId="4B4E7C03" w14:textId="169B04CA" w:rsidR="000E46FE" w:rsidRPr="0087009D" w:rsidRDefault="000E46FE" w:rsidP="008C2977">
      <w:pPr>
        <w:pStyle w:val="FootnoteText"/>
        <w:ind w:left="567" w:hanging="567"/>
        <w:rPr>
          <w:sz w:val="24"/>
          <w:lang w:val="da-DK"/>
        </w:rPr>
      </w:pPr>
      <w:r w:rsidRPr="008C2977">
        <w:rPr>
          <w:rStyle w:val="FootnoteReference"/>
          <w:sz w:val="24"/>
          <w:lang w:val="pt-PT"/>
        </w:rPr>
        <w:footnoteRef/>
      </w:r>
      <w:r w:rsidR="008C2977" w:rsidRPr="0087009D">
        <w:rPr>
          <w:sz w:val="24"/>
          <w:lang w:val="da-DK"/>
        </w:rPr>
        <w:t xml:space="preserve"> </w:t>
      </w:r>
      <w:r w:rsidR="008C2977" w:rsidRPr="0087009D">
        <w:rPr>
          <w:sz w:val="24"/>
          <w:lang w:val="da-DK"/>
        </w:rPr>
        <w:tab/>
      </w:r>
      <w:hyperlink r:id="rId15" w:history="1">
        <w:r w:rsidRPr="0087009D">
          <w:rPr>
            <w:rStyle w:val="Hyperlink"/>
            <w:sz w:val="24"/>
            <w:lang w:val="da-DK"/>
          </w:rPr>
          <w:t>https://www.ceh.ac.uk/our</w:t>
        </w:r>
        <w:r w:rsidRPr="0087009D">
          <w:rPr>
            <w:rStyle w:val="Hyperlink"/>
            <w:sz w:val="24"/>
            <w:lang w:val="da-DK"/>
          </w:rPr>
          <w:noBreakHyphen/>
          <w:t>science/projects/intercafe</w:t>
        </w:r>
      </w:hyperlink>
      <w:r w:rsidRPr="0087009D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4903289">
    <w:abstractNumId w:val="9"/>
  </w:num>
  <w:num w:numId="2" w16cid:durableId="1601064933">
    <w:abstractNumId w:val="9"/>
  </w:num>
  <w:num w:numId="3" w16cid:durableId="561331304">
    <w:abstractNumId w:val="7"/>
  </w:num>
  <w:num w:numId="4" w16cid:durableId="816848095">
    <w:abstractNumId w:val="7"/>
  </w:num>
  <w:num w:numId="5" w16cid:durableId="1068311014">
    <w:abstractNumId w:val="6"/>
  </w:num>
  <w:num w:numId="6" w16cid:durableId="787890224">
    <w:abstractNumId w:val="6"/>
  </w:num>
  <w:num w:numId="7" w16cid:durableId="91512919">
    <w:abstractNumId w:val="5"/>
  </w:num>
  <w:num w:numId="8" w16cid:durableId="704792850">
    <w:abstractNumId w:val="5"/>
  </w:num>
  <w:num w:numId="9" w16cid:durableId="2121141442">
    <w:abstractNumId w:val="4"/>
  </w:num>
  <w:num w:numId="10" w16cid:durableId="1337656194">
    <w:abstractNumId w:val="4"/>
  </w:num>
  <w:num w:numId="11" w16cid:durableId="669602339">
    <w:abstractNumId w:val="8"/>
  </w:num>
  <w:num w:numId="12" w16cid:durableId="1508448688">
    <w:abstractNumId w:val="8"/>
  </w:num>
  <w:num w:numId="13" w16cid:durableId="874578212">
    <w:abstractNumId w:val="3"/>
  </w:num>
  <w:num w:numId="14" w16cid:durableId="724135594">
    <w:abstractNumId w:val="3"/>
  </w:num>
  <w:num w:numId="15" w16cid:durableId="1579710363">
    <w:abstractNumId w:val="2"/>
  </w:num>
  <w:num w:numId="16" w16cid:durableId="489635967">
    <w:abstractNumId w:val="2"/>
  </w:num>
  <w:num w:numId="17" w16cid:durableId="328825635">
    <w:abstractNumId w:val="1"/>
  </w:num>
  <w:num w:numId="18" w16cid:durableId="521482944">
    <w:abstractNumId w:val="1"/>
  </w:num>
  <w:num w:numId="19" w16cid:durableId="918952620">
    <w:abstractNumId w:val="0"/>
  </w:num>
  <w:num w:numId="20" w16cid:durableId="1457258902">
    <w:abstractNumId w:val="0"/>
  </w:num>
  <w:num w:numId="21" w16cid:durableId="952785845">
    <w:abstractNumId w:val="9"/>
  </w:num>
  <w:num w:numId="22" w16cid:durableId="2133283621">
    <w:abstractNumId w:val="7"/>
  </w:num>
  <w:num w:numId="23" w16cid:durableId="266352407">
    <w:abstractNumId w:val="6"/>
  </w:num>
  <w:num w:numId="24" w16cid:durableId="2060126438">
    <w:abstractNumId w:val="5"/>
  </w:num>
  <w:num w:numId="25" w16cid:durableId="683213976">
    <w:abstractNumId w:val="4"/>
  </w:num>
  <w:num w:numId="26" w16cid:durableId="1599020804">
    <w:abstractNumId w:val="8"/>
  </w:num>
  <w:num w:numId="27" w16cid:durableId="1052771674">
    <w:abstractNumId w:val="3"/>
  </w:num>
  <w:num w:numId="28" w16cid:durableId="382213267">
    <w:abstractNumId w:val="2"/>
  </w:num>
  <w:num w:numId="29" w16cid:durableId="3945745">
    <w:abstractNumId w:val="1"/>
  </w:num>
  <w:num w:numId="30" w16cid:durableId="238104253">
    <w:abstractNumId w:val="0"/>
  </w:num>
  <w:num w:numId="31" w16cid:durableId="1964774090">
    <w:abstractNumId w:val="9"/>
  </w:num>
  <w:num w:numId="32" w16cid:durableId="1970545110">
    <w:abstractNumId w:val="7"/>
  </w:num>
  <w:num w:numId="33" w16cid:durableId="361244533">
    <w:abstractNumId w:val="6"/>
  </w:num>
  <w:num w:numId="34" w16cid:durableId="1275820538">
    <w:abstractNumId w:val="5"/>
  </w:num>
  <w:num w:numId="35" w16cid:durableId="734351707">
    <w:abstractNumId w:val="4"/>
  </w:num>
  <w:num w:numId="36" w16cid:durableId="1873153770">
    <w:abstractNumId w:val="8"/>
  </w:num>
  <w:num w:numId="37" w16cid:durableId="718283208">
    <w:abstractNumId w:val="3"/>
  </w:num>
  <w:num w:numId="38" w16cid:durableId="354889693">
    <w:abstractNumId w:val="2"/>
  </w:num>
  <w:num w:numId="39" w16cid:durableId="1195849581">
    <w:abstractNumId w:val="1"/>
  </w:num>
  <w:num w:numId="40" w16cid:durableId="1902010660">
    <w:abstractNumId w:val="0"/>
  </w:num>
  <w:num w:numId="41" w16cid:durableId="1106995791">
    <w:abstractNumId w:val="10"/>
  </w:num>
  <w:num w:numId="42" w16cid:durableId="626398260">
    <w:abstractNumId w:val="10"/>
  </w:num>
  <w:num w:numId="43" w16cid:durableId="55520731">
    <w:abstractNumId w:val="10"/>
  </w:num>
  <w:num w:numId="44" w16cid:durableId="2040161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1/2026"/>
    <w:docVar w:name="dvlangue" w:val="PT"/>
    <w:docVar w:name="dvnumam" w:val="0"/>
    <w:docVar w:name="dvpe" w:val="778.399"/>
    <w:docVar w:name="dvrapporteur" w:val="Relatora: "/>
    <w:docVar w:name="dvtitre" w:val="Resolução do Parlamento Europeu, de ... de ... de 2026,_x000d__x000a_ sobre o plano plurianual para o mar Báltico e próximas etapas(2024/2127(INI))"/>
  </w:docVars>
  <w:rsids>
    <w:rsidRoot w:val="00F63577"/>
    <w:rsid w:val="00002272"/>
    <w:rsid w:val="00030C25"/>
    <w:rsid w:val="00064002"/>
    <w:rsid w:val="000677B9"/>
    <w:rsid w:val="000831BA"/>
    <w:rsid w:val="000A42CC"/>
    <w:rsid w:val="000A54C1"/>
    <w:rsid w:val="000E1C14"/>
    <w:rsid w:val="000E46FE"/>
    <w:rsid w:val="000E7DD9"/>
    <w:rsid w:val="0010095E"/>
    <w:rsid w:val="00125B37"/>
    <w:rsid w:val="00187494"/>
    <w:rsid w:val="001F32AE"/>
    <w:rsid w:val="0020251C"/>
    <w:rsid w:val="00235C2B"/>
    <w:rsid w:val="002767FF"/>
    <w:rsid w:val="002B18FE"/>
    <w:rsid w:val="002B5493"/>
    <w:rsid w:val="00342102"/>
    <w:rsid w:val="00343214"/>
    <w:rsid w:val="00355403"/>
    <w:rsid w:val="00361C00"/>
    <w:rsid w:val="00385CD7"/>
    <w:rsid w:val="00395FA1"/>
    <w:rsid w:val="003C5BD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47A"/>
    <w:rsid w:val="0050519A"/>
    <w:rsid w:val="005072A1"/>
    <w:rsid w:val="00514517"/>
    <w:rsid w:val="00545827"/>
    <w:rsid w:val="00560270"/>
    <w:rsid w:val="0056035F"/>
    <w:rsid w:val="0058031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FB3"/>
    <w:rsid w:val="007D1690"/>
    <w:rsid w:val="007E22AD"/>
    <w:rsid w:val="00817416"/>
    <w:rsid w:val="00842779"/>
    <w:rsid w:val="00865F67"/>
    <w:rsid w:val="0087009D"/>
    <w:rsid w:val="00881A7B"/>
    <w:rsid w:val="008840E5"/>
    <w:rsid w:val="00887B3E"/>
    <w:rsid w:val="008C2977"/>
    <w:rsid w:val="008C2AC6"/>
    <w:rsid w:val="00922B57"/>
    <w:rsid w:val="00930C23"/>
    <w:rsid w:val="0093193B"/>
    <w:rsid w:val="009509D8"/>
    <w:rsid w:val="00950B64"/>
    <w:rsid w:val="00981893"/>
    <w:rsid w:val="00A1687D"/>
    <w:rsid w:val="00A43E52"/>
    <w:rsid w:val="00A45836"/>
    <w:rsid w:val="00A4678D"/>
    <w:rsid w:val="00A778C7"/>
    <w:rsid w:val="00A8040B"/>
    <w:rsid w:val="00AB441E"/>
    <w:rsid w:val="00AB6293"/>
    <w:rsid w:val="00AE0928"/>
    <w:rsid w:val="00AF3B82"/>
    <w:rsid w:val="00B12E95"/>
    <w:rsid w:val="00B22876"/>
    <w:rsid w:val="00B558F0"/>
    <w:rsid w:val="00B60520"/>
    <w:rsid w:val="00B61FC2"/>
    <w:rsid w:val="00BD48FE"/>
    <w:rsid w:val="00BD7BD8"/>
    <w:rsid w:val="00BE6ADC"/>
    <w:rsid w:val="00C05BFE"/>
    <w:rsid w:val="00C1199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45D"/>
    <w:rsid w:val="00DA7FCD"/>
    <w:rsid w:val="00DD3B09"/>
    <w:rsid w:val="00E0685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A58"/>
    <w:rsid w:val="00F5134D"/>
    <w:rsid w:val="00F6357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9C20C"/>
  <w15:chartTrackingRefBased/>
  <w15:docId w15:val="{5F1D65B0-A29F-4334-8437-CA14BC2F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E46FE"/>
    <w:pPr>
      <w:spacing w:after="240"/>
      <w:ind w:left="567" w:hanging="567"/>
    </w:pPr>
  </w:style>
  <w:style w:type="paragraph" w:customStyle="1" w:styleId="EPComma">
    <w:name w:val="EPComma"/>
    <w:basedOn w:val="Normal"/>
    <w:rsid w:val="000E46FE"/>
    <w:pPr>
      <w:spacing w:before="480" w:after="240"/>
    </w:pPr>
  </w:style>
  <w:style w:type="character" w:styleId="Hyperlink">
    <w:name w:val="Hyperlink"/>
    <w:basedOn w:val="DefaultParagraphFont"/>
    <w:rsid w:val="000E46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6035F"/>
    <w:rPr>
      <w:sz w:val="24"/>
      <w:lang w:val="pt-PT"/>
    </w:rPr>
  </w:style>
  <w:style w:type="character" w:styleId="FollowedHyperlink">
    <w:name w:val="FollowedHyperlink"/>
    <w:basedOn w:val="DefaultParagraphFont"/>
    <w:rsid w:val="00C119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40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85C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5C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5CD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85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5CD7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5/oj" TargetMode="External"/><Relationship Id="rId13" Type="http://schemas.openxmlformats.org/officeDocument/2006/relationships/hyperlink" Target="https://ec.europa.eu/info/law/better-regulation/have-your-say/initiatives/14031-Trade-in-seal-products-fitness-check-of-EU-rules/public-consultation_pt" TargetMode="External"/><Relationship Id="rId3" Type="http://schemas.openxmlformats.org/officeDocument/2006/relationships/hyperlink" Target="http://data.europa.eu/eli/reg/2020/1781/oj" TargetMode="External"/><Relationship Id="rId7" Type="http://schemas.openxmlformats.org/officeDocument/2006/relationships/hyperlink" Target="http://data.europa.eu/eli/dir/2009/147/oj" TargetMode="External"/><Relationship Id="rId12" Type="http://schemas.openxmlformats.org/officeDocument/2006/relationships/hyperlink" Target="https://commission.europa.eu/document/download/486161f4-241f-4388-b10e-22f4711acd16_en?filename=ministerial_declaration_our_baltic_conference.pdf" TargetMode="External"/><Relationship Id="rId2" Type="http://schemas.openxmlformats.org/officeDocument/2006/relationships/hyperlink" Target="http://data.europa.eu/eli/reg/2016/1139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1977/2115/oj" TargetMode="External"/><Relationship Id="rId11" Type="http://schemas.openxmlformats.org/officeDocument/2006/relationships/hyperlink" Target="https://helcom.fi/wp-content/uploads/2025/06/Red-List-II-species-2025.pdf" TargetMode="External"/><Relationship Id="rId5" Type="http://schemas.openxmlformats.org/officeDocument/2006/relationships/hyperlink" Target="http://data.europa.eu/eli/dir/1992/43/oj" TargetMode="External"/><Relationship Id="rId15" Type="http://schemas.openxmlformats.org/officeDocument/2006/relationships/hyperlink" Target="https://www.ceh.ac.uk/our-science/projects/intercafe" TargetMode="External"/><Relationship Id="rId10" Type="http://schemas.openxmlformats.org/officeDocument/2006/relationships/hyperlink" Target="http://data.europa.eu/eli/reg/2023/2842/oj" TargetMode="External"/><Relationship Id="rId4" Type="http://schemas.openxmlformats.org/officeDocument/2006/relationships/hyperlink" Target="http://data.europa.eu/eli/dir/2008/56/oj" TargetMode="External"/><Relationship Id="rId9" Type="http://schemas.openxmlformats.org/officeDocument/2006/relationships/hyperlink" Target="http://data.europa.eu/eli/C/2025/809/oj" TargetMode="External"/><Relationship Id="rId14" Type="http://schemas.openxmlformats.org/officeDocument/2006/relationships/hyperlink" Target="https://www.fao.org/fishery/services/storage/fs/fishery/documents/EIFAAC/cormorantsplan/EuropeanManagementPlanforCormorants-April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10492</Words>
  <Characters>58297</Characters>
  <Application>Microsoft Office Word</Application>
  <DocSecurity>0</DocSecurity>
  <Lines>485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CAMPS Beatriz</cp:lastModifiedBy>
  <cp:revision>2</cp:revision>
  <cp:lastPrinted>2004-11-19T15:42:00Z</cp:lastPrinted>
  <dcterms:created xsi:type="dcterms:W3CDTF">2026-06-28T20:05:00Z</dcterms:created>
  <dcterms:modified xsi:type="dcterms:W3CDTF">2026-06-28T20:05:00Z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A10-0121/2026</vt:lpwstr>
  </property>
  <property fmtid="{D5CDD505-2E9C-101B-9397-08002B2CF9AE}" pid="4" name="&lt;Type&gt;">
    <vt:lpwstr>RR</vt:lpwstr>
  </property>
</Properties>
</file>