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3EC0" w14:paraId="4F60DD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CD0D33" w14:textId="2D7F67A3" w:rsidR="00751A4A" w:rsidRPr="00393EC0" w:rsidRDefault="00263868" w:rsidP="0010095E">
            <w:pPr>
              <w:pStyle w:val="EPName"/>
            </w:pPr>
            <w:r w:rsidRPr="00393EC0">
              <w:t>Европейски</w:t>
            </w:r>
            <w:r w:rsidR="00305343" w:rsidRPr="00393EC0">
              <w:t xml:space="preserve"> парламент</w:t>
            </w:r>
          </w:p>
          <w:p w14:paraId="3E805590" w14:textId="0AC51F5A" w:rsidR="00751A4A" w:rsidRPr="00393E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3EC0">
              <w:t>2024</w:t>
            </w:r>
            <w:r w:rsidR="00263868">
              <w:rPr>
                <w:lang w:val="en-GB"/>
              </w:rPr>
              <w:t> – </w:t>
            </w:r>
            <w:r w:rsidR="00817416" w:rsidRPr="00393EC0">
              <w:t>202</w:t>
            </w:r>
            <w:r w:rsidRPr="00393EC0">
              <w:t>9</w:t>
            </w:r>
          </w:p>
        </w:tc>
        <w:tc>
          <w:tcPr>
            <w:tcW w:w="2268" w:type="dxa"/>
            <w:shd w:val="clear" w:color="auto" w:fill="auto"/>
          </w:tcPr>
          <w:p w14:paraId="5C5F4EDA" w14:textId="77777777" w:rsidR="00751A4A" w:rsidRPr="00393EC0" w:rsidRDefault="00187494" w:rsidP="0010095E">
            <w:pPr>
              <w:pStyle w:val="EPLogo"/>
            </w:pPr>
            <w:r w:rsidRPr="00393EC0">
              <w:rPr>
                <w:noProof/>
                <w:lang w:eastAsia="ja-JP"/>
              </w:rPr>
              <w:drawing>
                <wp:inline distT="0" distB="0" distL="0" distR="0" wp14:anchorId="5103F9E2" wp14:editId="209644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18D5EE" w14:textId="77777777" w:rsidR="00D058B8" w:rsidRPr="00393EC0" w:rsidRDefault="00D058B8" w:rsidP="004C5D52">
      <w:pPr>
        <w:pStyle w:val="LineTop"/>
      </w:pPr>
    </w:p>
    <w:p w14:paraId="1DD3FE8E" w14:textId="38AEA9F9" w:rsidR="00680577" w:rsidRPr="00393EC0" w:rsidRDefault="00305343" w:rsidP="00680577">
      <w:pPr>
        <w:pStyle w:val="EPBodyTA1"/>
      </w:pPr>
      <w:r w:rsidRPr="00393EC0">
        <w:t>ПРИЕТИ ТЕКСТОВЕ</w:t>
      </w:r>
    </w:p>
    <w:p w14:paraId="68D9410F" w14:textId="77777777" w:rsidR="00D058B8" w:rsidRPr="00393EC0" w:rsidRDefault="00D058B8" w:rsidP="00D058B8">
      <w:pPr>
        <w:pStyle w:val="LineBottom"/>
      </w:pPr>
    </w:p>
    <w:p w14:paraId="0D9B4FE4" w14:textId="00005D6B" w:rsidR="00305343" w:rsidRPr="00393EC0" w:rsidRDefault="00305343" w:rsidP="00305343">
      <w:pPr>
        <w:pStyle w:val="ATHeading1"/>
      </w:pPr>
      <w:bookmarkStart w:id="0" w:name="TANumber"/>
      <w:r w:rsidRPr="00393EC0">
        <w:t>P10_TA(2026)0</w:t>
      </w:r>
      <w:r w:rsidR="00DC1432">
        <w:t>191</w:t>
      </w:r>
      <w:bookmarkEnd w:id="0"/>
    </w:p>
    <w:p w14:paraId="15FF188E" w14:textId="77777777" w:rsidR="00305343" w:rsidRPr="00393EC0" w:rsidRDefault="00305343" w:rsidP="00305343">
      <w:pPr>
        <w:pStyle w:val="ATHeading2"/>
      </w:pPr>
      <w:bookmarkStart w:id="1" w:name="title"/>
      <w:r w:rsidRPr="00393EC0">
        <w:t>Необходимостта да се намалят свързаните с работата смъртни случаи</w:t>
      </w:r>
      <w:bookmarkEnd w:id="1"/>
    </w:p>
    <w:p w14:paraId="58913C6E" w14:textId="77777777" w:rsidR="00305343" w:rsidRPr="00393EC0" w:rsidRDefault="00305343" w:rsidP="00305343">
      <w:pPr>
        <w:rPr>
          <w:i/>
          <w:vanish/>
        </w:rPr>
      </w:pPr>
      <w:r w:rsidRPr="00393EC0">
        <w:rPr>
          <w:i/>
        </w:rPr>
        <w:fldChar w:fldCharType="begin"/>
      </w:r>
      <w:r w:rsidRPr="00393EC0">
        <w:rPr>
          <w:i/>
        </w:rPr>
        <w:instrText xml:space="preserve"> TC"(</w:instrText>
      </w:r>
      <w:bookmarkStart w:id="2" w:name="DocNumber"/>
      <w:r w:rsidRPr="00393EC0">
        <w:rPr>
          <w:i/>
        </w:rPr>
        <w:instrText>B10-0244/2026</w:instrText>
      </w:r>
      <w:bookmarkEnd w:id="2"/>
      <w:r w:rsidRPr="00393EC0">
        <w:rPr>
          <w:i/>
        </w:rPr>
        <w:instrText xml:space="preserve">)"\l3 \n&gt; \* MERGEFORMAT </w:instrText>
      </w:r>
      <w:r w:rsidRPr="00393EC0">
        <w:rPr>
          <w:i/>
        </w:rPr>
        <w:fldChar w:fldCharType="end"/>
      </w:r>
    </w:p>
    <w:p w14:paraId="37DDE435" w14:textId="77777777" w:rsidR="00305343" w:rsidRPr="00393EC0" w:rsidRDefault="00305343" w:rsidP="00305343">
      <w:pPr>
        <w:rPr>
          <w:vanish/>
        </w:rPr>
      </w:pPr>
      <w:bookmarkStart w:id="3" w:name="PE"/>
      <w:r w:rsidRPr="00393EC0">
        <w:rPr>
          <w:vanish/>
        </w:rPr>
        <w:t>PE782.343</w:t>
      </w:r>
      <w:bookmarkEnd w:id="3"/>
    </w:p>
    <w:p w14:paraId="3BD6314C" w14:textId="38A4E9E7" w:rsidR="00305343" w:rsidRPr="00393EC0" w:rsidRDefault="00305343" w:rsidP="00305343">
      <w:pPr>
        <w:pStyle w:val="ATHeading3"/>
      </w:pPr>
      <w:bookmarkStart w:id="4" w:name="Sujet"/>
      <w:r w:rsidRPr="00393EC0">
        <w:t xml:space="preserve">Резолюция на Европейския парламент от </w:t>
      </w:r>
      <w:r w:rsidR="00FA645F">
        <w:rPr>
          <w:lang w:val="en-GB"/>
        </w:rPr>
        <w:t xml:space="preserve">21 </w:t>
      </w:r>
      <w:r w:rsidR="00FA645F">
        <w:t>май</w:t>
      </w:r>
      <w:r w:rsidRPr="00393EC0">
        <w:t xml:space="preserve"> 2026 г. относно необходимостта да се намалят свързаните с работата смъртни случаи</w:t>
      </w:r>
      <w:bookmarkEnd w:id="4"/>
      <w:r w:rsidRPr="00393EC0">
        <w:t xml:space="preserve"> </w:t>
      </w:r>
      <w:bookmarkStart w:id="5" w:name="References"/>
      <w:r w:rsidRPr="00393EC0">
        <w:t>(2025/3046(RSP))</w:t>
      </w:r>
      <w:bookmarkEnd w:id="5"/>
    </w:p>
    <w:p w14:paraId="598598CD" w14:textId="77777777" w:rsidR="005D6B41" w:rsidRPr="00393EC0" w:rsidRDefault="005D6B41" w:rsidP="005D6B41">
      <w:pPr>
        <w:pStyle w:val="EPComma"/>
      </w:pPr>
      <w:bookmarkStart w:id="6" w:name="TextBodyBegin"/>
      <w:bookmarkStart w:id="7" w:name="_Hlk229584736"/>
      <w:bookmarkEnd w:id="6"/>
      <w:r w:rsidRPr="00393EC0">
        <w:rPr>
          <w:i/>
          <w:iCs/>
        </w:rPr>
        <w:t>Европейският парламент</w:t>
      </w:r>
      <w:r w:rsidRPr="00393EC0">
        <w:t>,</w:t>
      </w:r>
    </w:p>
    <w:p w14:paraId="7543D240" w14:textId="77777777" w:rsidR="005D6B41" w:rsidRPr="00393EC0" w:rsidRDefault="005D6B41" w:rsidP="005D6B41">
      <w:pPr>
        <w:pStyle w:val="NormalHanging12a"/>
      </w:pPr>
      <w:r w:rsidRPr="00393EC0">
        <w:t>–</w:t>
      </w:r>
      <w:r w:rsidRPr="00393EC0">
        <w:tab/>
        <w:t>като взе предвид членове 151, 153 и 156 от Договора за функционирането на Европейския съюз,</w:t>
      </w:r>
    </w:p>
    <w:p w14:paraId="45E5E307" w14:textId="77777777" w:rsidR="005D6B41" w:rsidRPr="00393EC0" w:rsidRDefault="005D6B41" w:rsidP="005D6B41">
      <w:pPr>
        <w:pStyle w:val="NormalHanging12a"/>
      </w:pPr>
      <w:r w:rsidRPr="00393EC0">
        <w:t xml:space="preserve">– </w:t>
      </w:r>
      <w:r w:rsidRPr="00393EC0">
        <w:tab/>
        <w:t>като взе предвид Директива 89/391/ЕИО на Съвета от 12 юни 1989 г. за въвеждане на мерки за насърчаване подобряването на безопасността и здравето на работниците на работното място</w:t>
      </w:r>
      <w:r w:rsidRPr="00393EC0">
        <w:rPr>
          <w:rStyle w:val="FootnoteReference"/>
        </w:rPr>
        <w:footnoteReference w:id="1"/>
      </w:r>
      <w:r w:rsidRPr="00393EC0">
        <w:t>,</w:t>
      </w:r>
    </w:p>
    <w:p w14:paraId="1F434E19" w14:textId="77777777" w:rsidR="005D6B41" w:rsidRPr="00393EC0" w:rsidRDefault="005D6B41" w:rsidP="005D6B41">
      <w:pPr>
        <w:pStyle w:val="NormalHanging12a"/>
      </w:pPr>
      <w:r w:rsidRPr="00393EC0">
        <w:t xml:space="preserve">– </w:t>
      </w:r>
      <w:r w:rsidRPr="00393EC0">
        <w:tab/>
        <w:t>като взе предвид Стратегическата рамка на ЕС за здравословни и безопасни условия на труд за периода 2021 – 2027 г.,</w:t>
      </w:r>
    </w:p>
    <w:p w14:paraId="7417E4A7" w14:textId="77777777" w:rsidR="005D6B41" w:rsidRPr="00393EC0" w:rsidRDefault="005D6B41" w:rsidP="005D6B41">
      <w:pPr>
        <w:pStyle w:val="NormalHanging12a"/>
      </w:pPr>
      <w:r w:rsidRPr="00393EC0">
        <w:t>–</w:t>
      </w:r>
      <w:r w:rsidRPr="00393EC0">
        <w:tab/>
        <w:t>като взе предвид своята резолюция от 10 март 2022 г. относно нова стратегическа рамка на ЕС за здравословни и безопасни условия на труд след 2020 г.</w:t>
      </w:r>
      <w:r w:rsidRPr="00393EC0">
        <w:rPr>
          <w:rStyle w:val="FootnoteReference"/>
        </w:rPr>
        <w:footnoteReference w:id="2"/>
      </w:r>
    </w:p>
    <w:p w14:paraId="53ABD71F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rPr>
          <w:b/>
          <w:i/>
        </w:rPr>
        <w:t>–</w:t>
      </w:r>
      <w:r w:rsidRPr="00393EC0">
        <w:rPr>
          <w:b/>
          <w:i/>
        </w:rPr>
        <w:tab/>
      </w:r>
      <w:r w:rsidRPr="00393EC0">
        <w:t>като взе предвид своята резолюция от 17 декември 2025 г. с препоръки до Комисията относно цифровизацията, изкуствения интелект и алгоритмичното управление на работното място – оформяне на бъдещето на труда</w:t>
      </w:r>
      <w:r w:rsidRPr="00393EC0">
        <w:rPr>
          <w:rStyle w:val="FootnoteReference"/>
          <w:bCs/>
          <w:iCs/>
        </w:rPr>
        <w:footnoteReference w:id="3"/>
      </w:r>
      <w:r w:rsidRPr="00393EC0">
        <w:t>,</w:t>
      </w:r>
    </w:p>
    <w:p w14:paraId="0268B53B" w14:textId="77777777" w:rsidR="005D6B41" w:rsidRPr="00393EC0" w:rsidRDefault="005D6B41" w:rsidP="005D6B41">
      <w:pPr>
        <w:pStyle w:val="NormalHanging12a"/>
      </w:pPr>
      <w:r w:rsidRPr="00393EC0">
        <w:t>–</w:t>
      </w:r>
      <w:r w:rsidRPr="00393EC0">
        <w:tab/>
        <w:t>като взе предвид Хартата на основните права на Европейския съюз, по-специално член 31, в който се посочва, че всеки работник има право на условия на труд, които опазват неговото здраве и сигурност и зачитат достойнството му,</w:t>
      </w:r>
    </w:p>
    <w:p w14:paraId="05FD3A4E" w14:textId="77777777" w:rsidR="005D6B41" w:rsidRPr="00393EC0" w:rsidRDefault="005D6B41" w:rsidP="005D6B41">
      <w:pPr>
        <w:pStyle w:val="NormalHanging12a"/>
      </w:pPr>
      <w:r w:rsidRPr="00393EC0">
        <w:t xml:space="preserve">– </w:t>
      </w:r>
      <w:r w:rsidRPr="00393EC0">
        <w:tab/>
        <w:t>като взе предвид член 136, параграф 2 от своя Правилник за дейността,</w:t>
      </w:r>
    </w:p>
    <w:p w14:paraId="5EB279B5" w14:textId="77777777" w:rsidR="005D6B41" w:rsidRPr="00393EC0" w:rsidRDefault="005D6B41" w:rsidP="005D6B41">
      <w:pPr>
        <w:pStyle w:val="NormalHanging12a"/>
      </w:pPr>
      <w:r w:rsidRPr="00393EC0">
        <w:t>А.</w:t>
      </w:r>
      <w:r w:rsidRPr="00393EC0">
        <w:tab/>
        <w:t xml:space="preserve">като има предвид, че здравословните и безопасни условия на труд са основен стълб на европейската социална политика и важен елемент от защитата на човешкото достойнство, основните права на работниците и справедливите и </w:t>
      </w:r>
      <w:r w:rsidRPr="00393EC0">
        <w:lastRenderedPageBreak/>
        <w:t>безопасни условия на труд;</w:t>
      </w:r>
    </w:p>
    <w:p w14:paraId="7FF40E80" w14:textId="77777777" w:rsidR="005D6B41" w:rsidRPr="00393EC0" w:rsidRDefault="005D6B41" w:rsidP="005D6B41">
      <w:pPr>
        <w:pStyle w:val="NormalHanging12a"/>
      </w:pPr>
      <w:r w:rsidRPr="00393EC0">
        <w:t>Б.</w:t>
      </w:r>
      <w:r w:rsidRPr="00393EC0">
        <w:tab/>
        <w:t>като има предвид, че през 2023 г. в ЕС са регистрирани 3298 смъртоносни трудови злополуки и около 2,8 милиона злополуки без фатален изход, довели до най-малко четири дни отсъствие от работа; като има предвид, че тези статистически данни продължават да сочат за наличието на сериозни проблеми във високорисковите сектори с висока честота на трудови злополуки, като строителството, транспорта, производството и селското стопанство;</w:t>
      </w:r>
    </w:p>
    <w:p w14:paraId="50DD3BC9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В.</w:t>
      </w:r>
      <w:r w:rsidRPr="00393EC0">
        <w:tab/>
        <w:t>като има предвид, че младите работници са с по-голяма уязвимост по отношение на сериозни трудови злополуки в сравнение с по-възрастните си колеги, като делът при младите е с над 40% по-висок от този при по-опитните работници и това отразява тяхната повишена уязвимост, дължаща се на ограничения професионален опит, недостатъчното обучение и по-ниската осведоменост относно опасностите на работното място; като има предвид, че е възможно те да се трудят при лоши условия, които могат да доведат до професионални заболявания на млади години или по-късно в живота;</w:t>
      </w:r>
    </w:p>
    <w:p w14:paraId="524B6E74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Г.</w:t>
      </w:r>
      <w:r w:rsidRPr="00393EC0">
        <w:tab/>
        <w:t>като има предвид, че отчитането на измерението на пола е важно за здравословните и безопасни условия на труд, тъй като работниците може да бъдат различно изложени и по-уязвими на разнообразни видове вещества или рискове в зависимост от своя пол;</w:t>
      </w:r>
    </w:p>
    <w:p w14:paraId="32D92937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Д.</w:t>
      </w:r>
      <w:r w:rsidRPr="00393EC0">
        <w:tab/>
        <w:t xml:space="preserve">като има предвид, че работниците в сектори като здравеопазването и социалните грижи са изложени на насилие и </w:t>
      </w:r>
      <w:proofErr w:type="spellStart"/>
      <w:r w:rsidRPr="00393EC0">
        <w:t>психосоциални</w:t>
      </w:r>
      <w:proofErr w:type="spellEnd"/>
      <w:r w:rsidRPr="00393EC0">
        <w:t xml:space="preserve"> рискове и също така са изправени пред значителни и често подценявани рискове за своята безопасност; като има предвид, че насилието и тормозът на работното място могат да причинят сериозни психологически вреди и са свързвани с повишен риск от проблеми с психичното здраве; като има предвид, че за тези явления се съобщава по-специално в областта на здравеопазването и услугите за полагане на грижи;</w:t>
      </w:r>
    </w:p>
    <w:p w14:paraId="500EEAFC" w14:textId="6608F613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Е.</w:t>
      </w:r>
      <w:r w:rsidRPr="00393EC0">
        <w:tab/>
        <w:t xml:space="preserve">като има предвид, че през последните години няколко държави членки докладваха за значително увеличаване на нападенията срещу </w:t>
      </w:r>
      <w:r w:rsidR="00DC1432" w:rsidRPr="00DC1432">
        <w:t xml:space="preserve">длъжностни лица на публичните органи, изпълняващи задължения в областта на правоприлагането, и служители на </w:t>
      </w:r>
      <w:r w:rsidRPr="00393EC0">
        <w:t xml:space="preserve"> службите за спешна помощ; като има предвид, че някои професионални дейности, по-специално тези, свързани с упражняването на публична власт и законната употреба на сила, се характеризират със структурно и постоянно излагане на риск от сериозни физически наранявания или смърт в резултат на умишлени актове на насилие от трети страни; като има предвид, че заплахите и умишлените актове на насилие срещу работещите в службите за спешна помощ, например парамедиците и пожарникарите, са сравнително ново явление, като подобно излагане, включващо умишлени действия на трети страни, отличава тези професии от другите форми на опасен труд и оправдава конкретното признаване на естеството на свързаните с тях рискове;</w:t>
      </w:r>
    </w:p>
    <w:p w14:paraId="6759B4BD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Ж.</w:t>
      </w:r>
      <w:r w:rsidRPr="00393EC0">
        <w:tab/>
        <w:t xml:space="preserve">като има предвид, че трансграничните работници и работниците мигранти, включително работниците от трети държави, са особено уязвими спрямо трудова експлоатация и различни форми на незаконосъобразни дейности, свързани с работата; като има предвид, че проучванията показват, че в световен мащаб рискът от свързани с работата смъртоносни злополуки е приблизително със 70% </w:t>
      </w:r>
      <w:r w:rsidRPr="00393EC0">
        <w:lastRenderedPageBreak/>
        <w:t>по-висок за тези работници в сравнение с този за местните работници</w:t>
      </w:r>
      <w:r w:rsidRPr="00393EC0">
        <w:rPr>
          <w:bCs/>
          <w:iCs/>
          <w:vertAlign w:val="superscript"/>
        </w:rPr>
        <w:footnoteReference w:id="4"/>
      </w:r>
      <w:r w:rsidRPr="00393EC0">
        <w:t>, а в ЕС рискът също е значително по-висок – около 65%, особено за работниците от Източна Европа; като има предвид, че гражданите на трети държави са изправени пред три пъти по-голям риск от трудови злополуки и се счита, че само около една на всеки пет злополуки се докладва, което подчертава сериозното подценяване на явлението и необходимостта от укрепване на механизмите за защита и правоприлагане и от спазване на законността и зачитане на достойнството на труда;</w:t>
      </w:r>
    </w:p>
    <w:p w14:paraId="7777A5C7" w14:textId="77777777" w:rsidR="005D6B41" w:rsidRPr="00393EC0" w:rsidRDefault="005D6B41" w:rsidP="005D6B41">
      <w:pPr>
        <w:pStyle w:val="NormalHanging12a"/>
      </w:pPr>
      <w:r w:rsidRPr="00393EC0">
        <w:t>З.</w:t>
      </w:r>
      <w:r w:rsidRPr="00393EC0">
        <w:tab/>
        <w:t>като има предвид, че значителен брой смъртни случаи, свързани с работата, са причинени от професионални заболявания, които твърде често се подценяват и се признават и докладват в по-малка степен, по-специално поради неравенствата в достъпа до грижи, профилактика и последващи действия, неадекватна проследимост на излагането и латентност на някои медицински състояния; като има предвид, че пропуските в докладването и признаването в недостатъчна степен на професионалните заболявания подкопават ефективността на политиките за превенция, механизмите за обезщетение и системите за правоприлагане;</w:t>
      </w:r>
    </w:p>
    <w:p w14:paraId="441FAB72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И.</w:t>
      </w:r>
      <w:r w:rsidRPr="00393EC0">
        <w:tab/>
        <w:t>като има предвид, че ракът е водещата причина за свързани с работата смъртни случаи в ЕС; като има предвид, че на работното място работниците могат да бъдат изложени на комбинация от вещества, които допълнително увеличават рисковете за здравето; като има предвид, че излагането на фактори като радиация, причинен от работата стрес, неподходяща организация на труда и неподходящи условия на труд се свързва с професионални ракови заболявания; като има предвид, че случаите на рак на кожата, едно от най-разпространените професионални заболявания, се увеличават, а само ограничена част от тези случаи се признават за случаи на професионално заболяване;</w:t>
      </w:r>
    </w:p>
    <w:p w14:paraId="0E00FA7A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Й.</w:t>
      </w:r>
      <w:r w:rsidRPr="00393EC0">
        <w:tab/>
        <w:t>като има предвид, че в контекста на актуализираната препоръка на Комисията относно професионалните заболявания, приета на 28 ноември 2022 г.</w:t>
      </w:r>
      <w:r w:rsidRPr="00393EC0">
        <w:rPr>
          <w:rStyle w:val="FootnoteReference"/>
          <w:bCs/>
          <w:iCs/>
        </w:rPr>
        <w:footnoteReference w:id="5"/>
      </w:r>
      <w:r w:rsidRPr="00393EC0">
        <w:t xml:space="preserve"> се подчертава колко е важно да се подкрепят работниците, изложени на професионални рискове, и семействата, които са загубили роднини поради такова излагане, включително като се предоставя адекватна помощ;</w:t>
      </w:r>
    </w:p>
    <w:p w14:paraId="5695C76D" w14:textId="77777777" w:rsidR="005D6B41" w:rsidRPr="00393EC0" w:rsidRDefault="005D6B41" w:rsidP="005D6B41">
      <w:pPr>
        <w:pStyle w:val="NormalHanging12a"/>
      </w:pPr>
      <w:r w:rsidRPr="00393EC0">
        <w:t>К.</w:t>
      </w:r>
      <w:r w:rsidRPr="00393EC0">
        <w:tab/>
        <w:t xml:space="preserve">като има предвид, че предотвратяването на трудовите злополуки и професионалните заболявания е крайъгълен камък на европейската социална политика и на правото на свободно движение на работниците; като има предвид, че това не само е правно задължение, произтичащо от законодателството на ЕС, по-специално Директива 89/391/ЕИО на Съвета, и от националните правни системи, но и стратегическа социална и икономическа инвестиция, която може да донесе положителни и трайни последици за работниците, предприятията и общностите като цяло, като допринася за намаляването на рисковете, ограничаването на социално-икономическите разходи, свързани с трудовите </w:t>
      </w:r>
      <w:r w:rsidRPr="00393EC0">
        <w:lastRenderedPageBreak/>
        <w:t>злополуки, и цялостното подобряване на качеството и устойчивостта на работната среда;</w:t>
      </w:r>
    </w:p>
    <w:p w14:paraId="4B1087C6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Л.</w:t>
      </w:r>
      <w:r w:rsidRPr="00393EC0">
        <w:tab/>
        <w:t>като има предвид, че е доказано, че специфичното обучение, предоставяно на пожарникарите доброволци, включително обучението за оказване на първа помощ, оценка на риска, процедури за евакуация и предотвратяване на пожари, повишава безопасността на работното място, като дава възможност за бърза и ефективна реакция при сериозни инциденти и насърчава култура на превенция на риска, като по този начин допринася за намаляване на сериозността на злополуките на работното място; като има предвид, че съгласно Директива 89/391/ЕИО работодателите имат правно задължение да извършват оценки на риска, да предоставят обучение и да гарантират мерки за първа помощ, борба с пожарите и евакуация, както и че подкрепата за уменията на пожарникарите доброволци на работното място може да допълни тези задължения и да укрепи допълнително безопасността на работното място;</w:t>
      </w:r>
    </w:p>
    <w:p w14:paraId="54359557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М.</w:t>
      </w:r>
      <w:r w:rsidRPr="00393EC0">
        <w:tab/>
        <w:t>като има предвид, че инспекциите по труда играят решаваща роля за гарантиране на ефективното прилагане на политиките в областта на здравословните и безопасни условия на труд на национално, регионално и местно равнище и са от съществено значение за предотвратяване на трудовата експлоатация и небезопасните условия на труд;</w:t>
      </w:r>
    </w:p>
    <w:p w14:paraId="26AEFF5A" w14:textId="77777777" w:rsidR="005D6B41" w:rsidRPr="00393EC0" w:rsidRDefault="005D6B41" w:rsidP="005D6B41">
      <w:pPr>
        <w:pStyle w:val="NormalHanging12a"/>
      </w:pPr>
      <w:r w:rsidRPr="00393EC0">
        <w:t>Н.</w:t>
      </w:r>
      <w:r w:rsidRPr="00393EC0">
        <w:tab/>
        <w:t xml:space="preserve">като има предвид, че дълбоките промени в сферата на труда, например разпространението на нестандартни форми на труд, несигурната работа, нарастващият дял на младите работници на несигурни и високорискови работни места, застаряването на работната сила, цифровизацията, въвеждането на нови технологии и глобализацията, доведоха до увеличаване на </w:t>
      </w:r>
      <w:proofErr w:type="spellStart"/>
      <w:r w:rsidRPr="00393EC0">
        <w:t>психосоциалните</w:t>
      </w:r>
      <w:proofErr w:type="spellEnd"/>
      <w:r w:rsidRPr="00393EC0">
        <w:t xml:space="preserve"> рискове, стреса на работното място и новите предизвикателства, свързани със здравето на работното място, и изискват по-широки и интегрирани стратегии за превенция;</w:t>
      </w:r>
    </w:p>
    <w:p w14:paraId="2286E3E2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О.</w:t>
      </w:r>
      <w:r w:rsidRPr="00393EC0">
        <w:tab/>
        <w:t xml:space="preserve">като има предвид, че </w:t>
      </w:r>
      <w:proofErr w:type="spellStart"/>
      <w:r w:rsidRPr="00393EC0">
        <w:t>психосоциалните</w:t>
      </w:r>
      <w:proofErr w:type="spellEnd"/>
      <w:r w:rsidRPr="00393EC0">
        <w:t xml:space="preserve"> рискове на работното място, като хроничен стрес, изтощение и тормоз, са основен и нарастващ фактор за влошено здраве и свързани с работата смъртни случаи, но въпреки това често биват подценявани и недостатъчно докладвани, като за тях се вземат недостатъчни мерки;</w:t>
      </w:r>
    </w:p>
    <w:p w14:paraId="2BE113D1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П.</w:t>
      </w:r>
      <w:r w:rsidRPr="00393EC0">
        <w:tab/>
        <w:t xml:space="preserve">като има предвид, че подкрепящата в психологическо отношение работна среда е от съществено значение за психичното здраве и физическото благосъстояние на работниците; като има предвид, че </w:t>
      </w:r>
      <w:proofErr w:type="spellStart"/>
      <w:r w:rsidRPr="00393EC0">
        <w:t>психосоциалните</w:t>
      </w:r>
      <w:proofErr w:type="spellEnd"/>
      <w:r w:rsidRPr="00393EC0">
        <w:t xml:space="preserve"> рискове могат да възникнат от неподходяща структура на работата и от лоши организационни или управленски практики и могат да доведат до стрес, тревожност, професионално изчерпване и депресия; като има предвид, че продължителното излагане на неблагоприятни </w:t>
      </w:r>
      <w:proofErr w:type="spellStart"/>
      <w:r w:rsidRPr="00393EC0">
        <w:t>психосоциални</w:t>
      </w:r>
      <w:proofErr w:type="spellEnd"/>
      <w:r w:rsidRPr="00393EC0">
        <w:t xml:space="preserve"> условия на труд е свързано с тежки последици за психичното здраве, включително хронични заболявания и повишен риск от самоубийство;</w:t>
      </w:r>
    </w:p>
    <w:p w14:paraId="74C21409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Р.</w:t>
      </w:r>
      <w:r w:rsidRPr="00393EC0">
        <w:tab/>
        <w:t xml:space="preserve">като има предвид, че нарастващото използване на изкуствен интелект (ИИ) и системи за алгоритмично управление на работното място може да ускори темпа на работа, да доведе до по-голямо работно натоварване, да увеличи </w:t>
      </w:r>
      <w:proofErr w:type="spellStart"/>
      <w:r w:rsidRPr="00393EC0">
        <w:t>психосоциалните</w:t>
      </w:r>
      <w:proofErr w:type="spellEnd"/>
      <w:r w:rsidRPr="00393EC0">
        <w:t xml:space="preserve"> рискове, да подкопае автономността на работниците и да </w:t>
      </w:r>
      <w:r w:rsidRPr="00393EC0">
        <w:lastRenderedPageBreak/>
        <w:t>създаде нови рискове за безопасността и здравето при работа;</w:t>
      </w:r>
    </w:p>
    <w:p w14:paraId="548798AD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С.</w:t>
      </w:r>
      <w:r w:rsidRPr="00393EC0">
        <w:tab/>
        <w:t>като има предвид, че изменението на климата, включително покачващите се температури, по-честите и интензивни горещини и други екстремни метеорологични явления, представлява нарастващ и многостранен риск за здравето, безопасността и условията на труд на работниците в целия ЕС; като има предвид, че продължителното излагане на топлина може да доведе до сериозни последици за здравето, например изтощение от топлина, топлинен удар и други свързани с горещината заболявания, като същевременно увеличава вероятността от умора, намалена концентрация и нарушена способност за вземане на решения и съответно риска от трудови злополуки, и поради това са необходими целеви превантивни и предпазни мерки;</w:t>
      </w:r>
    </w:p>
    <w:p w14:paraId="70F904FA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Т.</w:t>
      </w:r>
      <w:r w:rsidRPr="00393EC0">
        <w:tab/>
        <w:t>като има предвид, че ефективните стратегии за превенция, мерките за повишаване на осведомеността, инициативите за благосъстояние и насърчаването на силна култура на здравословни и безопасни условия на труд са от съществено значение за предотвратяването на сериозни злополуки и професионални заболявания и за намаляването на смъртните случаи, свързани с работата; като има предвид, че подобни превантивни подходи не само защитават здравето и безопасността на работниците, но и генерират икономически ползи за предприятията и обществото като цяло;</w:t>
      </w:r>
    </w:p>
    <w:p w14:paraId="1C40ECC0" w14:textId="77777777" w:rsidR="005D6B41" w:rsidRPr="00393EC0" w:rsidRDefault="005D6B41" w:rsidP="005D6B41">
      <w:pPr>
        <w:pStyle w:val="NormalHanging12a"/>
      </w:pPr>
      <w:r w:rsidRPr="00393EC0">
        <w:t>У.</w:t>
      </w:r>
      <w:r w:rsidRPr="00393EC0">
        <w:tab/>
        <w:t>като има предвид, че е необходимо да се увеличат усилията за постигане на целите, определени в Програмата до 2030 г. за устойчиво развитие, и по-специално цел 8.8: „Защита на трудовите права и насърчаване на безопасна и сигурна работна среда за всички работници, включително работниците мигранти, по-специално жените мигранти, и лицата с несигурна заетост“;</w:t>
      </w:r>
    </w:p>
    <w:p w14:paraId="01C73408" w14:textId="77777777" w:rsidR="005D6B41" w:rsidRPr="00393EC0" w:rsidRDefault="005D6B41" w:rsidP="005D6B41">
      <w:pPr>
        <w:pStyle w:val="NormalHanging12a"/>
      </w:pPr>
      <w:r w:rsidRPr="00393EC0">
        <w:t>Ф.</w:t>
      </w:r>
      <w:r w:rsidRPr="00393EC0">
        <w:tab/>
        <w:t>като има предвид, че в резолюцията му от 10 март 2022 г. се приветства въвеждането на подхода за „нулева смъртност“ по отношение на трудовите злополуки и професионалните заболявания, като се призовава за амбициозна пътна карта за намаляване на злополуките и премахване на смъртните случаи на работното място и професионалните заболявания, както и за укрепване на превантивните мерки и прилагането на съществуващото законодателство в областта на здравословните и безопасни условия на труд; като има предвид, че целта за „нулева смъртност“ трябва да се разглежда не само като политическа цел, но и като етично и социално задължение към всички работници;</w:t>
      </w:r>
    </w:p>
    <w:p w14:paraId="5223C5D0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Х.</w:t>
      </w:r>
      <w:r w:rsidRPr="00393EC0">
        <w:tab/>
        <w:t>като има предвид, че правото на всеки работник на безопасна и здравословна работна среда трябва да бъде напълно гарантирано чрез ефективни мерки за предотвратяване на трудови злополуки и професионални заболявания, както и чрез редовен контрол и действително възпиращи санкции, подкрепени с подходящи ресурси за компетентните органи; като има предвид, че неспазването на законодателството в областта на здравословните и безопасни условия на труд е основна част от трудовата експлоатация и подкопава постигането на целта за нулев брой смъртни случаи, поради което е от съществено значение да се гарантира стриктно и ефективно прилагане на съществуващото законодателство, включително чрез укрепване на инспекциите по труда и техните инструменти за контрол и санкциониране;</w:t>
      </w:r>
    </w:p>
    <w:p w14:paraId="41688B2A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Ц.</w:t>
      </w:r>
      <w:r w:rsidRPr="00393EC0">
        <w:tab/>
        <w:t xml:space="preserve">като има предвид, че ефективното прилагане на подхода за „нулева смъртност“ </w:t>
      </w:r>
      <w:r w:rsidRPr="00393EC0">
        <w:lastRenderedPageBreak/>
        <w:t>изисква измерими действия и цели, всеобхватен подход, обхващащ всички трудови злополуки и заболявания, развиване и насърчаване на култура на превенция, както и подходящи ресурси;</w:t>
      </w:r>
    </w:p>
    <w:p w14:paraId="62AFA97D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Ч.</w:t>
      </w:r>
      <w:r w:rsidRPr="00393EC0">
        <w:tab/>
        <w:t>като има предвид, че синдикалните организации и представителите на работниците играят важна роля за защитата на здравословните и безопасни условия на труд, включително като наблюдават спазването на изискванията и подкрепят ефективното прилагане на съществуващите правила; като има предвид обаче, че продължават да съществуват пропуски в обхвата на Директива 89/391/ЕИО, особено по отношение на някои категории работници, включително домашните работници, които са частично или изцяло изключени от закрила, като по този начин се подкопава принципът на еднаква закрила, по-специално за жените, гражданите на трети държави и други групи в уязвимо положение, което налага да се гарантира адекватно и еднакво равнище на закрила;</w:t>
      </w:r>
    </w:p>
    <w:p w14:paraId="08061B72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Ш.</w:t>
      </w:r>
      <w:r w:rsidRPr="00393EC0">
        <w:tab/>
        <w:t>като има предвид, че настоящата Стратегическа рамка на ЕС за здравословни и безопасни условия на труд за периода 2021 – 2027 г. наближава своя край; като има предвид, че ще бъдат необходими подновен политически ангажимент и актуализирана, по-амбициозна рамка, за да се ускори напредъкът към целта за „нулева смъртност“;</w:t>
      </w:r>
    </w:p>
    <w:p w14:paraId="6D57A1A1" w14:textId="77777777" w:rsidR="005D6B41" w:rsidRPr="00393EC0" w:rsidRDefault="005D6B41" w:rsidP="005D6B41">
      <w:pPr>
        <w:pStyle w:val="NormalHanging12a"/>
      </w:pPr>
      <w:r w:rsidRPr="00393EC0">
        <w:t>Щ.</w:t>
      </w:r>
      <w:r w:rsidRPr="00393EC0">
        <w:tab/>
        <w:t>като има предвид, че паметта за жертвите на трудови злополуки е колективна памет и морална отговорност, която спомага да се поддържа високо равнище на обществено внимание към стойността на човешкия живот, да се укрепва културата на превенция и да се подновява ангажиментът на европейските и националните институции за постигане на целта за нулева смъртност на работното място;</w:t>
      </w:r>
    </w:p>
    <w:p w14:paraId="55E086B0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АА.</w:t>
      </w:r>
      <w:r w:rsidRPr="00393EC0">
        <w:tab/>
        <w:t>като има предвид, че колективната памет трябва да се въплъти в отчетност, включително чрез надеждно докладване; като има предвид, че често остава особено трудно да се регистрират всички трудови злополуки, включително смъртоносните; като има предвид, че е необходимо да се гарантира, че всички работници се ползват от адекватни равнища на социална закрила;</w:t>
      </w:r>
    </w:p>
    <w:p w14:paraId="219BE8AE" w14:textId="77777777" w:rsidR="005D6B41" w:rsidRPr="00393EC0" w:rsidRDefault="005D6B41" w:rsidP="005D6B41">
      <w:pPr>
        <w:pStyle w:val="NormalHanging12a"/>
      </w:pPr>
      <w:r w:rsidRPr="00393EC0">
        <w:t>АБ.</w:t>
      </w:r>
      <w:r w:rsidRPr="00393EC0">
        <w:tab/>
        <w:t xml:space="preserve">като има предвид, че трагедията с мината Боа дю </w:t>
      </w:r>
      <w:proofErr w:type="spellStart"/>
      <w:r w:rsidRPr="00393EC0">
        <w:t>Казие</w:t>
      </w:r>
      <w:proofErr w:type="spellEnd"/>
      <w:r w:rsidRPr="00393EC0">
        <w:t xml:space="preserve"> в </w:t>
      </w:r>
      <w:proofErr w:type="spellStart"/>
      <w:r w:rsidRPr="00393EC0">
        <w:t>Марсинел</w:t>
      </w:r>
      <w:proofErr w:type="spellEnd"/>
      <w:r w:rsidRPr="00393EC0">
        <w:t xml:space="preserve"> на 8 август 1956 г., отнела живота на 262 миньори, много от които граждани на държави – членки на Европейския съюз, е траен символ на борбата за достоен труд, солидарност и социална справедливост в Европа;</w:t>
      </w:r>
    </w:p>
    <w:p w14:paraId="753A0D69" w14:textId="77777777" w:rsidR="005D6B41" w:rsidRPr="00393EC0" w:rsidRDefault="005D6B41" w:rsidP="005D6B41">
      <w:pPr>
        <w:pStyle w:val="NormalHanging12a"/>
        <w:rPr>
          <w:i/>
          <w:iCs/>
        </w:rPr>
      </w:pPr>
      <w:r w:rsidRPr="00393EC0">
        <w:t>АВ.</w:t>
      </w:r>
      <w:r w:rsidRPr="00393EC0">
        <w:tab/>
        <w:t xml:space="preserve">като има предвид, че поради големия брой европейски граждани сред жертвите трагедията в </w:t>
      </w:r>
      <w:proofErr w:type="spellStart"/>
      <w:r w:rsidRPr="00393EC0">
        <w:t>Марсинел</w:t>
      </w:r>
      <w:proofErr w:type="spellEnd"/>
      <w:r w:rsidRPr="00393EC0">
        <w:t xml:space="preserve"> беше първото споделено бедствие в една Европа, която от този момент нататък възприе братски подход по важни теми като работата, безопасността, справедливостта и достойнството;</w:t>
      </w:r>
    </w:p>
    <w:p w14:paraId="4F2169CF" w14:textId="77777777" w:rsidR="005D6B41" w:rsidRPr="00393EC0" w:rsidRDefault="005D6B41" w:rsidP="005D6B41">
      <w:pPr>
        <w:pStyle w:val="NormalHanging12a"/>
      </w:pPr>
      <w:r w:rsidRPr="00393EC0">
        <w:t>АГ.</w:t>
      </w:r>
      <w:r w:rsidRPr="00393EC0">
        <w:tab/>
        <w:t xml:space="preserve">като има предвид, че споменът за трагедията в </w:t>
      </w:r>
      <w:proofErr w:type="spellStart"/>
      <w:r w:rsidRPr="00393EC0">
        <w:t>Марсинел</w:t>
      </w:r>
      <w:proofErr w:type="spellEnd"/>
      <w:r w:rsidRPr="00393EC0">
        <w:t xml:space="preserve"> поддържа съзнанието за основната ценност на свободното движение на работниците, техните права и тяхната безопасност, които са приоритети за една ефективна и конкурентоспособна социална Европа;</w:t>
      </w:r>
    </w:p>
    <w:p w14:paraId="4FE4FCFF" w14:textId="77777777" w:rsidR="005D6B41" w:rsidRPr="00393EC0" w:rsidRDefault="005D6B41" w:rsidP="005D6B41">
      <w:pPr>
        <w:pStyle w:val="NormalHanging12a"/>
      </w:pPr>
      <w:r w:rsidRPr="00393EC0">
        <w:t>АД.</w:t>
      </w:r>
      <w:r w:rsidRPr="00393EC0">
        <w:tab/>
        <w:t xml:space="preserve">като има предвид, че други исторически трагедии в работна среда, включително пожарът в мината Мари на 31 май 1892 г., злополуката в мината Куриер на 10 </w:t>
      </w:r>
      <w:r w:rsidRPr="00393EC0">
        <w:lastRenderedPageBreak/>
        <w:t xml:space="preserve">март 1906 г., злополуката в мината </w:t>
      </w:r>
      <w:proofErr w:type="spellStart"/>
      <w:r w:rsidRPr="00393EC0">
        <w:t>Луизентал</w:t>
      </w:r>
      <w:proofErr w:type="spellEnd"/>
      <w:r w:rsidRPr="00393EC0">
        <w:t xml:space="preserve"> на 7 февруари 1962 г., злополуката в мината </w:t>
      </w:r>
      <w:proofErr w:type="spellStart"/>
      <w:r w:rsidRPr="00393EC0">
        <w:t>Аливери</w:t>
      </w:r>
      <w:proofErr w:type="spellEnd"/>
      <w:r w:rsidRPr="00393EC0">
        <w:t xml:space="preserve"> през 1968 г., експлозията във фабриката за патрони </w:t>
      </w:r>
      <w:proofErr w:type="spellStart"/>
      <w:r w:rsidRPr="00393EC0">
        <w:t>Лапуа</w:t>
      </w:r>
      <w:proofErr w:type="spellEnd"/>
      <w:r w:rsidRPr="00393EC0">
        <w:t xml:space="preserve"> във Финландия през 1976 г. и смъртоносната експлозия и пожар във фабриката </w:t>
      </w:r>
      <w:proofErr w:type="spellStart"/>
      <w:r w:rsidRPr="00393EC0">
        <w:t>Виоланта</w:t>
      </w:r>
      <w:proofErr w:type="spellEnd"/>
      <w:r w:rsidRPr="00393EC0">
        <w:t xml:space="preserve"> в Гърция през 2026 г., са дълбоко вкоренени в колективната памет на различни държави членки и продължават да напомнят, че спешно са необходими ефективни политики за превенция и за защита на работниците;</w:t>
      </w:r>
    </w:p>
    <w:p w14:paraId="1ECA9177" w14:textId="77777777" w:rsidR="005D6B41" w:rsidRPr="00393EC0" w:rsidRDefault="005D6B41" w:rsidP="005D6B41">
      <w:pPr>
        <w:pStyle w:val="NormalHanging12a"/>
      </w:pPr>
      <w:r w:rsidRPr="00393EC0">
        <w:t>1.</w:t>
      </w:r>
      <w:r w:rsidRPr="00393EC0">
        <w:tab/>
        <w:t xml:space="preserve">призовава да се създаде „Европейски ден в памет на жертвите на трудови злополуки и за защита и достойнство на работниците“; той следва да се отбелязва всяка година на 8 август в памет на трагедията в мината Боа дю </w:t>
      </w:r>
      <w:proofErr w:type="spellStart"/>
      <w:r w:rsidRPr="00393EC0">
        <w:t>Казие</w:t>
      </w:r>
      <w:proofErr w:type="spellEnd"/>
      <w:r w:rsidRPr="00393EC0">
        <w:t xml:space="preserve"> в </w:t>
      </w:r>
      <w:proofErr w:type="spellStart"/>
      <w:r w:rsidRPr="00393EC0">
        <w:t>Марсинел</w:t>
      </w:r>
      <w:proofErr w:type="spellEnd"/>
      <w:r w:rsidRPr="00393EC0">
        <w:t>, която поради присъщия си европейски характер – това, че засегна работници от няколко държави, понастоящем членки на ЕС – представлява общ символ на борбата за достоен труд и необходимостта от общ подход към защитата на здравословните и безопасни условия на труд;</w:t>
      </w:r>
    </w:p>
    <w:p w14:paraId="5C3B3900" w14:textId="77777777" w:rsidR="005D6B41" w:rsidRPr="00393EC0" w:rsidRDefault="005D6B41" w:rsidP="005D6B41">
      <w:pPr>
        <w:pStyle w:val="NormalHanging12a"/>
      </w:pPr>
      <w:r w:rsidRPr="00393EC0">
        <w:t>2.</w:t>
      </w:r>
      <w:r w:rsidRPr="00393EC0">
        <w:tab/>
        <w:t xml:space="preserve">посочва, че целите на този Европейски ден са да се почете паметта на жертвите на трудови злополуки и професионални заболявания, както и да се повиши осведомеността сред широката общественост, предприятията и институциите относно ролята на превенцията, безопасността и достойните условия на труд; припомня обаче, че повишаването на осведомеността следва да бъде свързано с настоящите рискове за здравето и безопасността, като по този начин действително допринася за предотвратяването на смъртни случаи, злополуки и заболявания на работното място; подчертава, че този Европейски ден може да допринесе за засилване на ангажимента на EС и държавите членки към подхода за „нулева смъртност“, по-специално като насърчи превенцията на работното място, безопасния и достоен труд, обучението, повишаването на осведомеността относно нововъзникващите рискове, социалния диалог и ефективното прилагане на съществуващото законодателство, както и като ускори действията на ЕС по отношение на </w:t>
      </w:r>
      <w:proofErr w:type="spellStart"/>
      <w:r w:rsidRPr="00393EC0">
        <w:t>психосоциалните</w:t>
      </w:r>
      <w:proofErr w:type="spellEnd"/>
      <w:r w:rsidRPr="00393EC0">
        <w:t xml:space="preserve"> рискове, мускулно-скелетните смущения (МСС) и професионалните здравни рискове, свързани с екстремните метеорологични явления във всички сектори и в дружества от всякакъв мащаб; счита, че този Европейски ден би бил също и ежегодна възможност за оценка на напредъка към целта за „нулева смъртност“, установяване на пропуските в превенцията и правоприлагането и засилване на политическата отчетност на национално равнище и на равнище ЕС и за затвърждаване на необходимостта от ефективен контрол;</w:t>
      </w:r>
    </w:p>
    <w:p w14:paraId="6706ACBC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3.</w:t>
      </w:r>
      <w:r w:rsidRPr="00393EC0">
        <w:tab/>
        <w:t>подчертава, че този Европейски ден, който допълва Световния ден на МОТ за безопасност и здраве по време на работа на 28 април, следва да насърчава конкретни инициативи в училищата, работните места и институциите, включително кампании за повишаване на осведомеността, програми за обучение и обмен на най-добри практики в областта на превенцията, като по този начин се укрепва културата на безопасност у всички поколения и във всички сектори;</w:t>
      </w:r>
    </w:p>
    <w:p w14:paraId="061D8C2E" w14:textId="77777777" w:rsidR="005D6B41" w:rsidRPr="00393EC0" w:rsidRDefault="005D6B41" w:rsidP="005D6B41">
      <w:pPr>
        <w:pStyle w:val="NormalHanging12a"/>
      </w:pPr>
      <w:r w:rsidRPr="00393EC0">
        <w:t>4.</w:t>
      </w:r>
      <w:r w:rsidRPr="00393EC0">
        <w:tab/>
        <w:t xml:space="preserve">подчертава, че този Европейски ден следва да допринесе за засилване на ангажимента на ЕС и държавите членки към целта за систематично и устойчиво изкореняване на свързаните с работата злополуки, заболявания и смъртни случаи, в съответствие с подхода за „нулева смъртност“, по-специално като се постави акцент върху превенцията, насърчаването на безопасния и достоен труд, обучението, повишаването на осведомеността относно нововъзникващите рискове, социалния диалог и ефективното прилагане на съществуващото </w:t>
      </w:r>
      <w:r w:rsidRPr="00393EC0">
        <w:lastRenderedPageBreak/>
        <w:t>законодателство;</w:t>
      </w:r>
    </w:p>
    <w:p w14:paraId="3697790F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5.</w:t>
      </w:r>
      <w:r w:rsidRPr="00393EC0">
        <w:tab/>
        <w:t>подчертава, че е важно да се укрепят правата на работниците да бъдат информирани, консултирани и включвани в процеса, като избират свои представители по въпросите на здравето и безопасността и приемат колективни трудови договори;</w:t>
      </w:r>
    </w:p>
    <w:p w14:paraId="6C0BFEB3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6.</w:t>
      </w:r>
      <w:r w:rsidRPr="00393EC0">
        <w:tab/>
        <w:t>подчертава, че постигането на целта за нулеви смъртни случаи, свързани с работата, изисква тясно сътрудничество между държавите членки, работодателите, социалните партньори, инспекциите по труда, научноизследователските институции и агенциите на ЕС; призовава за засилен обмен на най-добри практики, данни и методологии за превенция с подкрепата на Европейската агенция за безопасност и здраве при работа (EU-OSHA);</w:t>
      </w:r>
    </w:p>
    <w:p w14:paraId="23371975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7.</w:t>
      </w:r>
      <w:r w:rsidRPr="00393EC0">
        <w:tab/>
        <w:t xml:space="preserve">призовава Комисията да оцени и вземе мерки спрямо рисковете за здравословните и безопасни условия на труд, свързани с ИИ и системите за алгоритмично управление, включително повишаването на интензивността на труда, </w:t>
      </w:r>
      <w:proofErr w:type="spellStart"/>
      <w:r w:rsidRPr="00393EC0">
        <w:t>психосоциалното</w:t>
      </w:r>
      <w:proofErr w:type="spellEnd"/>
      <w:r w:rsidRPr="00393EC0">
        <w:t xml:space="preserve"> напрежение, нередното наблюдение и размиването на границите на работното време; призовава Комисията и държавите членки да признаят и да предприемат мерки относно нововъзникващите рискове от смъртни случаи и сериозни злополуки, свързани с новите форми на заетост, включително работа през платформи и работа с алгоритмично управление; подчертава, че работниците, наети чрез цифрови трудови платформи, и тези, чиито задачи, темпове и резултати се ръководят или оценяват от основани на ИИ инструменти, може да бъдат изправени пред повишени рискове за безопасността и здравето при работа в резултат от засилен ритъм на работа, неправомерно наблюдение, недостатъчна прозрачност при вземането на решения въз основа на алгоритми, включително във връзка с </w:t>
      </w:r>
      <w:proofErr w:type="spellStart"/>
      <w:r w:rsidRPr="00393EC0">
        <w:t>идентифицируемите</w:t>
      </w:r>
      <w:proofErr w:type="spellEnd"/>
      <w:r w:rsidRPr="00393EC0">
        <w:t xml:space="preserve"> човешки звена за контакт и неподходящата или недостатъчна информация или обучение; подчертава, че въвеждането на такива технологии трябва да зависи от подходяща оценка на риска, прозрачно информиране и консултиране на работниците и пълноценен човешки надзор в съответствие със законодателството в областта на здравословните и безопасни условия на труд;</w:t>
      </w:r>
    </w:p>
    <w:p w14:paraId="13D85DDF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8.</w:t>
      </w:r>
      <w:r w:rsidRPr="00393EC0">
        <w:tab/>
        <w:t>призовава Комисията да направи цялостна оценка и да предвиди рисковете за безопасността и здравето при работа, произтичащи от свързани с климата фактори, включително топлинен стрес, екстремни метеорологични явления, замърсяване на въздуха, повишено излагане на опасни вещества по време на проекти за обновяване и модернизиране на инфраструктурата, както и появата на нови биологични опасности; призовава да се засилят превантивните действия въз основа на тази оценка с цел да се укрепи издръжливостта и подготвеността в рамките на националните системи за здравословни и безопасни условия на труд, включително чрез механизми за ранно предупреждение и секторни насоки за високорискови сектори като строителството, селското стопанство и транспорта, както и за другите засегнати сектори, сред които са и службите за спешно реагиране; подчертава необходимостта инспекциите по труда и работодателите да получат практически насоки на равнището на ЕС относно управлението на горещините на работното място и относно други свързани с климата професионални рискове;</w:t>
      </w:r>
    </w:p>
    <w:p w14:paraId="6E95E89C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9.</w:t>
      </w:r>
      <w:r w:rsidRPr="00393EC0">
        <w:tab/>
        <w:t xml:space="preserve">подчертава необходимостта да се признаят последиците от екстремните горещини </w:t>
      </w:r>
      <w:r w:rsidRPr="00393EC0">
        <w:lastRenderedPageBreak/>
        <w:t>и изменението на климата като важни професионални рискови фактори и призовава Комисията и държавите членки да засилят превантивните, защитните и адаптивните мерки на работното място, за да се намалят свързаните с работата злополуки, професионални заболявания и смъртни случаи;</w:t>
      </w:r>
    </w:p>
    <w:p w14:paraId="08099625" w14:textId="77777777" w:rsidR="005D6B41" w:rsidRPr="00393EC0" w:rsidRDefault="005D6B41" w:rsidP="005D6B41">
      <w:pPr>
        <w:pStyle w:val="NormalHanging12a"/>
      </w:pPr>
      <w:r w:rsidRPr="00393EC0">
        <w:t>10.</w:t>
      </w:r>
      <w:r w:rsidRPr="00393EC0">
        <w:tab/>
        <w:t xml:space="preserve">призовава Комисията, Съвета, гражданското общество и социалните партньори да подкрепят създаването и отбелязването на този Европейски ден като граждански ангажимент, обединяващ институции, предприятия и граждани, включително чрез инициативи за информиране и повишаване на осведомеността и практически инструменти за превенция, насочени към малките и средните предприятия и уязвимите работници, както и чрез обмен на добри практики в областта на здравословните и безопасни условия на труд; подчертава, че тези инициативи следва да са насочени конкретно към </w:t>
      </w:r>
      <w:proofErr w:type="spellStart"/>
      <w:r w:rsidRPr="00393EC0">
        <w:t>психосоциалните</w:t>
      </w:r>
      <w:proofErr w:type="spellEnd"/>
      <w:r w:rsidRPr="00393EC0">
        <w:t xml:space="preserve"> рискове, рисковете, свързани с горещините и екстремните температури на работа, рисковете, свързани с веригите от подизпълнители и нестандартните форми на труд, както и предизвикателствата, засягащи командированите, сезонните и други трансгранични работници, като се гарантира спазването на принципа на равно третиране и ефективното прилагане на правилата на приемащата държава относно здравословните и безопасни условия на труд и социалната закрила; припомня, че прекомерно дългото работно време често води до умора и увеличава риска от смъртоносни трудови злополуки;</w:t>
      </w:r>
    </w:p>
    <w:p w14:paraId="72D1CB73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11.</w:t>
      </w:r>
      <w:r w:rsidRPr="00393EC0">
        <w:tab/>
        <w:t>насърчава държавите членки да повишават осведомеността сред работодателите и работниците относно тяхната отговорност да гарантират собствената си безопасност и тази на другите, да стимулират предоставянето на обучение по оказване на първа помощ за всички служители, особено в секторите с по-високи професионални рискове, и да гарантират, че това обучение се актуализира редовно и е широко достъпно и интегрирано в политиките за безопасност на работното място; подчертава, че работодателите носят основната отговорност за гарантиране на здравето и безопасността на работниците, включително чрез оценка на риска, превантивни мерки, предоставяне на лични предпазни средства, услуги в областта на здравословните условия на труд, ефективно прилагане на законодателството в областта на безопасността на труда и предоставяне на подходяща информация, инструкции и обучение на служителите; подчертава отговорността на работодателите да гарантират истинско участие на служителите и техните представители в разработването на процеси за здравословни и безопасни условия на труд на работното място, оценяването на рисковете и опасностите, както и планирането на мерки, техния мониторинг и извършването на превантивна работа;</w:t>
      </w:r>
    </w:p>
    <w:p w14:paraId="7576FBF3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12.</w:t>
      </w:r>
      <w:r w:rsidRPr="00393EC0">
        <w:tab/>
        <w:t>припомня, че насилието е нарастващо предизвикателство на много работни места, особено в секторите на услугите и здравеопазването, както и за служителите в спешната помощ: настоява, че са необходими мерки, изготвени за прилагането на подход на нулева толерантност към малтретирането, тормоза и други форми на насилие на работното място чрез подобряване и насърчаване на организационните и законодателните структури за подкрепа, както и чрез по-добри системи за докладване на инциденти;</w:t>
      </w:r>
    </w:p>
    <w:p w14:paraId="70AC9F2C" w14:textId="77777777" w:rsidR="005D6B41" w:rsidRPr="00393EC0" w:rsidRDefault="005D6B41" w:rsidP="005D6B41">
      <w:pPr>
        <w:pStyle w:val="NormalHanging12a"/>
      </w:pPr>
      <w:r w:rsidRPr="00393EC0">
        <w:t>13.</w:t>
      </w:r>
      <w:r w:rsidRPr="00393EC0">
        <w:tab/>
        <w:t xml:space="preserve">призовава Комисията и EU-OSHA да използват Европейския ден като възможност за разпространение на актуални данни, сравнителни анализи и основани на факти насоки относно здравословните и безопасни условия на труд, като се обръща </w:t>
      </w:r>
      <w:r w:rsidRPr="00393EC0">
        <w:lastRenderedPageBreak/>
        <w:t xml:space="preserve">специално внимание на </w:t>
      </w:r>
      <w:proofErr w:type="spellStart"/>
      <w:r w:rsidRPr="00393EC0">
        <w:t>психосоциалните</w:t>
      </w:r>
      <w:proofErr w:type="spellEnd"/>
      <w:r w:rsidRPr="00393EC0">
        <w:t xml:space="preserve"> рискове, нестандартните форми на труд, микропредприятията и малките предприятия и най-уязвимите групи работници; освен това призовава Комисията и EU-OSHA да публикуват моментна снимка за целия ЕС и досиета по държави относно професионалните заболявания и свързаните с работата смъртни случаи, включително показатели за превенция и контрол (в т.ч. инспекциите по труда), за да бъдат по-добре ориентирани публичните политики и да се засили отчетността; също така подчертава колко е важно систематичното наблюдение и анализ на тенденциите в условията на труд, </w:t>
      </w:r>
      <w:proofErr w:type="spellStart"/>
      <w:r w:rsidRPr="00393EC0">
        <w:t>психосоциалните</w:t>
      </w:r>
      <w:proofErr w:type="spellEnd"/>
      <w:r w:rsidRPr="00393EC0">
        <w:t xml:space="preserve"> рискове, капацитета на инспекциите по труда и спазването на стандартите за здравословни и безопасни условия на труд във всички държави членки, за да се укрепят превенцията, прозрачността и сближаването във възходяща посока на условията на труд в целия ЕС;</w:t>
      </w:r>
    </w:p>
    <w:p w14:paraId="29634B9A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14.</w:t>
      </w:r>
      <w:r w:rsidRPr="00393EC0">
        <w:tab/>
        <w:t xml:space="preserve">призовава Комисията, в сътрудничество с Евростат и държавите членки, да подобри събирането, хармонизирането и прозрачността на данните относно трудовите злополуки и професионалните заболявания, включително </w:t>
      </w:r>
      <w:proofErr w:type="spellStart"/>
      <w:r w:rsidRPr="00393EC0">
        <w:t>психосоциалните</w:t>
      </w:r>
      <w:proofErr w:type="spellEnd"/>
      <w:r w:rsidRPr="00393EC0">
        <w:t xml:space="preserve"> рискове и заболяванията с дълга латентност, и да предприеме мерки за справяне с недостатъчното докладване;</w:t>
      </w:r>
    </w:p>
    <w:p w14:paraId="61582D15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15.</w:t>
      </w:r>
      <w:r w:rsidRPr="00393EC0">
        <w:tab/>
        <w:t>призовава Комисията и държавите членки да гарантират, че отговорността за спазването на законодателството в областта на здравословните и безопасни условия на труд е ясно установена на управленско равнище и широко интегрирана в организацията, включително чрез ефективни планове за превенция и участие на работниците; подчертава, че извършването на оценки на риска само по себе си допринася за намаляване на броя на злополуките;</w:t>
      </w:r>
    </w:p>
    <w:p w14:paraId="0EC66C2D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16.</w:t>
      </w:r>
      <w:r w:rsidRPr="00393EC0">
        <w:tab/>
        <w:t>подчертава колко са важни регулаторните инспекции в областта на здравословните и безопасни условия на труд за постигането на безопасни и здравословни работни места, като същевременно признава, че обхватът на инспекциите може да бъде ограничен; призовава държавите членки да укрепят инспекциите по труда с постоянен персонал, подходящи ресурси и институционална независимост, за да се гарантира ефективното прилагане на законодателството в областта на здравословните и безопасни условия на труд и да се отговори на трансформацията в сферата на труда;</w:t>
      </w:r>
    </w:p>
    <w:p w14:paraId="6D30C340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17.</w:t>
      </w:r>
      <w:r w:rsidRPr="00393EC0">
        <w:tab/>
        <w:t>призовава Комисията и държавите членки да заздравят прилагането на законодателството в областта на здравословните и безопасни условия на труд, включително като осигурят подходящи ресурси за инспекциите по труда, подобрят трансграничното сътрудничество и насърчат ефективното спазване на изискванията, по-специално в случаите, когато се е стигнало до тежко нараняване или смърт поради груба небрежност; счита, че за да бъдат правилата за здравословни и безопасни условия на труд надеждни и ефективни, те трябва да бъдат достатъчно възпиращи и пропорционални;</w:t>
      </w:r>
    </w:p>
    <w:p w14:paraId="02BF6457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18.</w:t>
      </w:r>
      <w:r w:rsidRPr="00393EC0">
        <w:tab/>
        <w:t xml:space="preserve">приветства доклада на Комисията за оценка на Европейския орган по труда (ЕОТ), в който се признава неговата роля за ефективното прилагане на трудовото право на ЕС и правилата за здравословни и безопасни условия на труд, по-специално в трансграничен контекст и във високорисковите сектори, и отново призовава Комисията да укрепи мандата на ЕОТ, за да се подобри прилагането на трудовото право на ЕС и здравословните и безопасни условия на труд; подчертава, че е важно да се гарантира конкретната добавена стойност на </w:t>
      </w:r>
      <w:r w:rsidRPr="00393EC0">
        <w:lastRenderedPageBreak/>
        <w:t>подкрепата, оказвана на националните правоприлагащи органи, включително чрез засилени съгласувани и съвместни инспекции по труда и възможността да се допринесе по-ефективно за установяването и справянето с нарушенията; подчертава необходимостта да се стимулира по-голямо синхронизиране и опростяване на правилата относно трудовата мобилност и свързаните с това процедури за контрол, включително чрез по-единни правила и по-ефективен обмен на информация, в съответствие с насоките на ЕОТ;</w:t>
      </w:r>
    </w:p>
    <w:p w14:paraId="03791B47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19.</w:t>
      </w:r>
      <w:r w:rsidRPr="00393EC0">
        <w:tab/>
        <w:t xml:space="preserve">призовава Комисията, въз основа на приоритетите на настоящата стратегическа рамка на ЕС за здравословни и безопасни условия на труд за периода 2021 – 2027 г. и натрупания с нея опит, да формулира нова стратегическа рамка в съответствие с пътната карта за качествени работни места за периода 2028 – 2034 г.; подчертава, че тази нова стратегическа рамка следва да бъде ясна, измерима и обвързана със срокове, следва да определя ясни нови изисквания и следва да бъде насочена към намаляване на свързаните с работата злополуки и смъртни случаи, завършване на прехода към нулеви смъртни случаи на работното място, укрепване на защитата на работниците, особено във високорисковите сектори и за уязвимите групи, справяне с възникващите професионални рискове, включително тези, произтичащи от новите форми на труд, цифровизацията и </w:t>
      </w:r>
      <w:proofErr w:type="spellStart"/>
      <w:r w:rsidRPr="00393EC0">
        <w:t>психосоциалните</w:t>
      </w:r>
      <w:proofErr w:type="spellEnd"/>
      <w:r w:rsidRPr="00393EC0">
        <w:t xml:space="preserve"> рискове, и гарантиране на адаптирането на условията на труд към екстремните температури;</w:t>
      </w:r>
    </w:p>
    <w:p w14:paraId="581812B7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20.</w:t>
      </w:r>
      <w:r w:rsidRPr="00393EC0">
        <w:tab/>
        <w:t xml:space="preserve">приветства директивите, насочени към намаляване на рисковете от излагане на канцерогенни вещества и от други потенциално смъртоносни професионални заболявания; отбелязва, че превенцията на смъртоносните професионални заболявания изисква да се натрупа експертен опит, свързан с подобно излагане, както на работното място, така и в службите по трудова медицина; припомня, че е важно на местата на работа да има подходящи ресурси, за да бъдат идентифицирани и предотвратявани рисковете от излагане, което да се извърши в сътрудничество със службите по трудова медицина, които могат да дават насоки относно подходящите мерки в областта на здравословните и безопасни условия на труд; счита, че работниците, изложени на риск от експозиция на вещества, причиняващи сериозни професионални заболявания, следва да имат достъп до здравни услуги на работното място и периодични здравни прегледи, за да се наблюдава потенциалното излагане; подчертава, че всяка всеобхватна стратегия за намаляване на смъртните случаи на работното място трябва изрично да разглежда професионалните ракови заболявания като тиха, но водеща причина за смъртни случаи, свързани с работата, включително поради заболявания с дълга латентност, произтичащи от продължително излагане на </w:t>
      </w:r>
      <w:proofErr w:type="spellStart"/>
      <w:r w:rsidRPr="00393EC0">
        <w:t>канцерогени</w:t>
      </w:r>
      <w:proofErr w:type="spellEnd"/>
      <w:r w:rsidRPr="00393EC0">
        <w:t xml:space="preserve"> на работното място; подчертава необходимостта от подобряване на събирането на данни на равнището на Съюза относно професионалните ракови заболявания, за да се отрази напълно реалният мащаб на свързаните с работата смъртни случаи;</w:t>
      </w:r>
    </w:p>
    <w:p w14:paraId="2E92CF7D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21.</w:t>
      </w:r>
      <w:r w:rsidRPr="00393EC0">
        <w:tab/>
        <w:t xml:space="preserve">изразява загриженост, че командированите работници, работниците мигранти и работниците във веригите от подизпълнители са изложени на непропорционални рискове за здравето и безопасността, включително риска от смъртоносни злополуки, в резултат на фрагментираните вериги на отговорност, недостатъчната координация и намалената отчетност, особено във високорискови сектори като строителството; призовава Комисията да оцени дали настоящите достижения на правото в областта на здравословните и безопасни условия на труд гарантират в достатъчна степен ефективно прилагане на минималните изисквания за </w:t>
      </w:r>
      <w:r w:rsidRPr="00393EC0">
        <w:lastRenderedPageBreak/>
        <w:t>безопасност и здраве по веригите от подизпълнители, и да предложи законодателни действия, когато бъдат установени пропуски;</w:t>
      </w:r>
    </w:p>
    <w:p w14:paraId="512EB0DF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22.</w:t>
      </w:r>
      <w:r w:rsidRPr="00393EC0">
        <w:tab/>
        <w:t>приканва държавите членки да насърчават култура на безопасност в сферата на здравословните и безопасни условия на труд, особено за младите работници, чрез съчетаване на образование и практически опит; счита, че образователните институции следва да предоставят обща информация и обучение относно здравето и безопасността, а работодателите следва да осигурят специфично за работното място обучение, особено по време на чиракуване и стажове;</w:t>
      </w:r>
    </w:p>
    <w:p w14:paraId="07443946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23.</w:t>
      </w:r>
      <w:r w:rsidRPr="00393EC0">
        <w:tab/>
        <w:t>насърчава държавите членки да създадат рамки за подкрепа, улесняващи наемането на пожарникари доброволци, в които се признава стойността на придобитите умения, по-специално в областта на оказването на първа помощ, предотвратяването на рискове, борбата с пожарите, използването на противопожарно оборудване и организирането на евакуации, както и в подобряването на безопасността на работното място, предотвратяването на трудови злополуки и намаляването на тежестта на такива злополуки в очакване на пристигането на службите за спешно реагиране;</w:t>
      </w:r>
    </w:p>
    <w:p w14:paraId="5F55F93C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24.</w:t>
      </w:r>
      <w:r w:rsidRPr="00393EC0">
        <w:tab/>
        <w:t>подчертава, че микропредприятията и малките и средните предприятия често имат ограничен административен капацитет, финансови ресурси и специализиран експертен опит; призовава за всеобхватни и целенасочени мерки, за да им се помогне ефективно да идентифицират, предотвратяват и управляват професионалните рискове, свързаните с работата заболявания и смъртни случаи, включително чрез опростени и лесни за ползване инструменти за оценка на риска, специфични за съответния сектор насоки, практически програми за превенция и достъпно обучение, както и чрез подкрепа при спазването на задълженията в областта на здравословните и безопасни условия на труд;</w:t>
      </w:r>
    </w:p>
    <w:p w14:paraId="00476597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25.</w:t>
      </w:r>
      <w:r w:rsidRPr="00393EC0">
        <w:tab/>
        <w:t>призовава Комисията, в сътрудничество с държавите членки и социалните партньори, да укрепи насоките на ЕС относно подкрепата за жертвите на трудови злополуки и професионални заболявания и за техните семейства; освен това призовава Комисията да оцени възможността за разработване на препоръки, насочени към насърчаване на подходящи механизми за подкрепа и обезщетение на жертвите и техните семейства, като се насърчава сближаването във възходяща посока на защитата в целия ЕС;</w:t>
      </w:r>
    </w:p>
    <w:p w14:paraId="4E110FD2" w14:textId="77777777" w:rsidR="005D6B41" w:rsidRPr="00393EC0" w:rsidRDefault="005D6B41" w:rsidP="005D6B41">
      <w:pPr>
        <w:pStyle w:val="NormalHanging12a"/>
        <w:rPr>
          <w:bCs/>
          <w:iCs/>
        </w:rPr>
      </w:pPr>
      <w:r w:rsidRPr="00393EC0">
        <w:t>26.</w:t>
      </w:r>
      <w:r w:rsidRPr="00393EC0">
        <w:tab/>
        <w:t>призовава държавите членки да гарантират, че всички работници се ползват ефективно от защита на здравословните и безопасни условия на труд в съответствие с националните системи и практики, включително работещите през платформи, гражданите на трети държави и домашните работници, наети в частни домакинства; приканва държавите членки и социалните партньори да насърчават използването на иновативни решения и най-добри практики за предотвратяване на трудови злополуки и професионални заболявания, включително чрез инициативи като наградите на EU-OSHA за добри практики за здравословни работни места, изтъкващи ефективни стратегии и технологии, които могат да бъдат приложени във всички сектори за подобряване на здравословните и безопасни условия на труд;</w:t>
      </w:r>
    </w:p>
    <w:p w14:paraId="0EB8684B" w14:textId="3364CB8D" w:rsidR="00E365E1" w:rsidRPr="00393EC0" w:rsidRDefault="005D6B41" w:rsidP="00263868">
      <w:pPr>
        <w:ind w:left="567" w:hanging="567"/>
      </w:pPr>
      <w:r w:rsidRPr="00393EC0">
        <w:t>27.</w:t>
      </w:r>
      <w:r w:rsidRPr="00393EC0">
        <w:tab/>
        <w:t xml:space="preserve">възлага на своя председател да предаде настоящата резолюция съответно </w:t>
      </w:r>
      <w:r w:rsidR="00393EC0" w:rsidRPr="00393EC0">
        <w:t>на Съвета и на Комисията.</w:t>
      </w:r>
      <w:bookmarkEnd w:id="7"/>
    </w:p>
    <w:sectPr w:rsidR="00E365E1" w:rsidRPr="00393EC0" w:rsidSect="00393E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9EC48" w14:textId="77777777" w:rsidR="00305343" w:rsidRPr="00393EC0" w:rsidRDefault="00305343">
      <w:r w:rsidRPr="00393EC0">
        <w:separator/>
      </w:r>
    </w:p>
  </w:endnote>
  <w:endnote w:type="continuationSeparator" w:id="0">
    <w:p w14:paraId="53233C82" w14:textId="77777777" w:rsidR="00305343" w:rsidRPr="00393EC0" w:rsidRDefault="00305343">
      <w:r w:rsidRPr="00393E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59F03" w14:textId="77777777" w:rsidR="00064002" w:rsidRPr="00393E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93898" w14:textId="77777777" w:rsidR="00064002" w:rsidRPr="00393E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097C" w14:textId="77777777" w:rsidR="00064002" w:rsidRPr="00393E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8A4C4" w14:textId="77777777" w:rsidR="00305343" w:rsidRPr="00393EC0" w:rsidRDefault="00305343">
      <w:r w:rsidRPr="00393EC0">
        <w:separator/>
      </w:r>
    </w:p>
  </w:footnote>
  <w:footnote w:type="continuationSeparator" w:id="0">
    <w:p w14:paraId="76EC2050" w14:textId="77777777" w:rsidR="00305343" w:rsidRPr="00393EC0" w:rsidRDefault="00305343">
      <w:r w:rsidRPr="00393EC0">
        <w:continuationSeparator/>
      </w:r>
    </w:p>
  </w:footnote>
  <w:footnote w:id="1">
    <w:p w14:paraId="599F81E4" w14:textId="734B01C5" w:rsidR="005D6B41" w:rsidRPr="00393EC0" w:rsidRDefault="005D6B41" w:rsidP="00393EC0">
      <w:pPr>
        <w:pStyle w:val="FootnoteText"/>
        <w:ind w:left="567" w:hanging="567"/>
        <w:rPr>
          <w:sz w:val="24"/>
          <w:lang w:val="bg-BG"/>
        </w:rPr>
      </w:pPr>
      <w:r w:rsidRPr="00393EC0">
        <w:rPr>
          <w:rStyle w:val="FootnoteReference"/>
          <w:sz w:val="24"/>
          <w:lang w:val="bg-BG"/>
        </w:rPr>
        <w:footnoteRef/>
      </w:r>
      <w:r w:rsidR="00393EC0" w:rsidRPr="00393EC0">
        <w:rPr>
          <w:sz w:val="24"/>
          <w:lang w:val="bg-BG"/>
        </w:rPr>
        <w:t xml:space="preserve"> </w:t>
      </w:r>
      <w:r w:rsidR="00393EC0" w:rsidRPr="00393EC0">
        <w:rPr>
          <w:sz w:val="24"/>
          <w:lang w:val="bg-BG"/>
        </w:rPr>
        <w:tab/>
      </w:r>
      <w:r w:rsidRPr="00393EC0">
        <w:rPr>
          <w:sz w:val="24"/>
          <w:lang w:val="bg-BG"/>
        </w:rPr>
        <w:t>ОВ L 183, 29.6.1989 г., стр. 1, ELI: </w:t>
      </w:r>
      <w:hyperlink r:id="rId1" w:tooltip="Достъп до този документ чрез неговия идентификатор ELI URI." w:history="1">
        <w:r w:rsidRPr="00393EC0">
          <w:rPr>
            <w:rStyle w:val="Hyperlink"/>
            <w:sz w:val="24"/>
            <w:lang w:val="bg-BG"/>
          </w:rPr>
          <w:t>http://data.europa.eu/eli/dir/1989/391/oj</w:t>
        </w:r>
      </w:hyperlink>
      <w:r w:rsidRPr="00393EC0">
        <w:rPr>
          <w:sz w:val="24"/>
          <w:lang w:val="bg-BG"/>
        </w:rPr>
        <w:t>.</w:t>
      </w:r>
    </w:p>
  </w:footnote>
  <w:footnote w:id="2">
    <w:p w14:paraId="5746EEA1" w14:textId="6CC4FF47" w:rsidR="005D6B41" w:rsidRPr="00393EC0" w:rsidRDefault="005D6B41" w:rsidP="00393EC0">
      <w:pPr>
        <w:pStyle w:val="FootnoteText"/>
        <w:ind w:left="567" w:hanging="567"/>
        <w:rPr>
          <w:sz w:val="24"/>
          <w:lang w:val="bg-BG"/>
        </w:rPr>
      </w:pPr>
      <w:r w:rsidRPr="00393EC0">
        <w:rPr>
          <w:rStyle w:val="FootnoteReference"/>
          <w:sz w:val="24"/>
          <w:lang w:val="bg-BG"/>
        </w:rPr>
        <w:footnoteRef/>
      </w:r>
      <w:r w:rsidR="00393EC0" w:rsidRPr="00393EC0">
        <w:rPr>
          <w:sz w:val="24"/>
          <w:lang w:val="bg-BG"/>
        </w:rPr>
        <w:t xml:space="preserve"> </w:t>
      </w:r>
      <w:r w:rsidR="00393EC0" w:rsidRPr="00393EC0">
        <w:rPr>
          <w:sz w:val="24"/>
          <w:lang w:val="bg-BG"/>
        </w:rPr>
        <w:tab/>
      </w:r>
      <w:r w:rsidRPr="00393EC0">
        <w:rPr>
          <w:sz w:val="24"/>
          <w:lang w:val="bg-BG"/>
        </w:rPr>
        <w:t>OВ C 347, 9.9.2022 г., стр. 122.</w:t>
      </w:r>
    </w:p>
  </w:footnote>
  <w:footnote w:id="3">
    <w:p w14:paraId="573D786B" w14:textId="0B9A2598" w:rsidR="005D6B41" w:rsidRPr="00393EC0" w:rsidRDefault="005D6B41" w:rsidP="00393EC0">
      <w:pPr>
        <w:pStyle w:val="FootnoteText"/>
        <w:ind w:left="567" w:hanging="567"/>
        <w:rPr>
          <w:sz w:val="24"/>
          <w:lang w:val="bg-BG"/>
        </w:rPr>
      </w:pPr>
      <w:r w:rsidRPr="00393EC0">
        <w:rPr>
          <w:rStyle w:val="FootnoteReference"/>
          <w:sz w:val="24"/>
          <w:lang w:val="bg-BG"/>
        </w:rPr>
        <w:footnoteRef/>
      </w:r>
      <w:r w:rsidR="00393EC0" w:rsidRPr="00393EC0">
        <w:rPr>
          <w:sz w:val="24"/>
          <w:lang w:val="bg-BG"/>
        </w:rPr>
        <w:t xml:space="preserve"> </w:t>
      </w:r>
      <w:r w:rsidR="00393EC0" w:rsidRPr="00393EC0">
        <w:rPr>
          <w:sz w:val="24"/>
          <w:lang w:val="bg-BG"/>
        </w:rPr>
        <w:tab/>
      </w:r>
      <w:r w:rsidRPr="00393EC0">
        <w:rPr>
          <w:sz w:val="24"/>
          <w:lang w:val="bg-BG"/>
        </w:rPr>
        <w:t xml:space="preserve">ОВ C, C/2026/2154, 6.5.2026 г., ELI: </w:t>
      </w:r>
      <w:hyperlink r:id="rId2" w:history="1">
        <w:r w:rsidRPr="00393EC0">
          <w:rPr>
            <w:rStyle w:val="Hyperlink"/>
            <w:sz w:val="24"/>
            <w:lang w:val="bg-BG"/>
          </w:rPr>
          <w:t>http://data.europa.eu/eli/C/2026/2154/oj</w:t>
        </w:r>
      </w:hyperlink>
      <w:r w:rsidRPr="00393EC0">
        <w:rPr>
          <w:sz w:val="24"/>
          <w:lang w:val="bg-BG"/>
        </w:rPr>
        <w:t>.</w:t>
      </w:r>
    </w:p>
  </w:footnote>
  <w:footnote w:id="4">
    <w:p w14:paraId="6C418A38" w14:textId="0E149F78" w:rsidR="005D6B41" w:rsidRPr="00393EC0" w:rsidRDefault="005D6B41" w:rsidP="00393EC0">
      <w:pPr>
        <w:pStyle w:val="FootnoteText"/>
        <w:ind w:left="567" w:hanging="567"/>
        <w:rPr>
          <w:sz w:val="24"/>
          <w:lang w:val="bg-BG"/>
        </w:rPr>
      </w:pPr>
      <w:r w:rsidRPr="00393EC0">
        <w:rPr>
          <w:rStyle w:val="FootnoteReference"/>
          <w:sz w:val="24"/>
          <w:lang w:val="bg-BG"/>
        </w:rPr>
        <w:footnoteRef/>
      </w:r>
      <w:r w:rsidR="00393EC0" w:rsidRPr="00393EC0">
        <w:rPr>
          <w:sz w:val="24"/>
          <w:lang w:val="bg-BG"/>
        </w:rPr>
        <w:t xml:space="preserve"> </w:t>
      </w:r>
      <w:r w:rsidR="00393EC0" w:rsidRPr="00393EC0">
        <w:rPr>
          <w:sz w:val="24"/>
          <w:lang w:val="bg-BG"/>
        </w:rPr>
        <w:tab/>
      </w:r>
      <w:r w:rsidRPr="00393EC0">
        <w:rPr>
          <w:sz w:val="24"/>
          <w:lang w:val="bg-BG"/>
        </w:rPr>
        <w:t xml:space="preserve">Вж. например </w:t>
      </w:r>
      <w:proofErr w:type="spellStart"/>
      <w:r w:rsidRPr="00393EC0">
        <w:rPr>
          <w:sz w:val="24"/>
          <w:lang w:val="bg-BG"/>
        </w:rPr>
        <w:t>Lau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et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al</w:t>
      </w:r>
      <w:proofErr w:type="spellEnd"/>
      <w:r w:rsidRPr="00393EC0">
        <w:rPr>
          <w:sz w:val="24"/>
          <w:lang w:val="bg-BG"/>
        </w:rPr>
        <w:t xml:space="preserve">., </w:t>
      </w:r>
      <w:proofErr w:type="spellStart"/>
      <w:r w:rsidRPr="00393EC0">
        <w:rPr>
          <w:sz w:val="24"/>
          <w:lang w:val="bg-BG"/>
        </w:rPr>
        <w:t>Workplace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mortality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risk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and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social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determinants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among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migrant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workers</w:t>
      </w:r>
      <w:proofErr w:type="spellEnd"/>
      <w:r w:rsidRPr="00393EC0">
        <w:rPr>
          <w:sz w:val="24"/>
          <w:lang w:val="bg-BG"/>
        </w:rPr>
        <w:t xml:space="preserve"> (Риск от смъртност на работното място и социални фактори сред работниците мигранти), </w:t>
      </w:r>
      <w:proofErr w:type="spellStart"/>
      <w:r w:rsidRPr="00393EC0">
        <w:rPr>
          <w:sz w:val="24"/>
          <w:lang w:val="bg-BG"/>
        </w:rPr>
        <w:t>The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Lancet</w:t>
      </w:r>
      <w:proofErr w:type="spellEnd"/>
      <w:r w:rsidRPr="00393EC0">
        <w:rPr>
          <w:sz w:val="24"/>
          <w:lang w:val="bg-BG"/>
        </w:rPr>
        <w:t xml:space="preserve"> </w:t>
      </w:r>
      <w:proofErr w:type="spellStart"/>
      <w:r w:rsidRPr="00393EC0">
        <w:rPr>
          <w:sz w:val="24"/>
          <w:lang w:val="bg-BG"/>
        </w:rPr>
        <w:t>Public</w:t>
      </w:r>
      <w:proofErr w:type="spellEnd"/>
      <w:r w:rsidRPr="00393EC0">
        <w:rPr>
          <w:sz w:val="24"/>
          <w:lang w:val="bg-BG"/>
        </w:rPr>
        <w:t xml:space="preserve"> Health, том 9, брой 11, 2024 г., E935-E949,</w:t>
      </w:r>
      <w:r w:rsidRPr="00393EC0">
        <w:rPr>
          <w:sz w:val="24"/>
          <w:lang w:val="bg-BG"/>
        </w:rPr>
        <w:t xml:space="preserve"> </w:t>
      </w:r>
      <w:hyperlink r:id="rId3" w:tgtFrame="_blank" w:tooltip="Постоянна връзка посредством идентификатор на цифров обект" w:history="1">
        <w:r w:rsidRPr="00393EC0">
          <w:rPr>
            <w:rStyle w:val="Hyperlink"/>
            <w:sz w:val="24"/>
            <w:lang w:val="bg-BG"/>
          </w:rPr>
          <w:t>https://doi.org/10.1016/S2468-2667(24)00226-3</w:t>
        </w:r>
      </w:hyperlink>
      <w:r w:rsidRPr="00393EC0">
        <w:rPr>
          <w:sz w:val="24"/>
          <w:lang w:val="bg-BG"/>
        </w:rPr>
        <w:t>.</w:t>
      </w:r>
    </w:p>
  </w:footnote>
  <w:footnote w:id="5">
    <w:p w14:paraId="29606F05" w14:textId="67EDC874" w:rsidR="005D6B41" w:rsidRPr="00393EC0" w:rsidRDefault="005D6B41" w:rsidP="00393EC0">
      <w:pPr>
        <w:pStyle w:val="FootnoteText"/>
        <w:ind w:left="567" w:hanging="567"/>
        <w:rPr>
          <w:sz w:val="24"/>
          <w:lang w:val="bg-BG"/>
        </w:rPr>
      </w:pPr>
      <w:r w:rsidRPr="00393EC0">
        <w:rPr>
          <w:rStyle w:val="FootnoteReference"/>
          <w:sz w:val="24"/>
          <w:lang w:val="bg-BG"/>
        </w:rPr>
        <w:footnoteRef/>
      </w:r>
      <w:r w:rsidR="00393EC0" w:rsidRPr="00393EC0">
        <w:rPr>
          <w:sz w:val="24"/>
          <w:lang w:val="bg-BG"/>
        </w:rPr>
        <w:t xml:space="preserve"> </w:t>
      </w:r>
      <w:r w:rsidR="00393EC0" w:rsidRPr="00393EC0">
        <w:rPr>
          <w:sz w:val="24"/>
          <w:lang w:val="bg-BG"/>
        </w:rPr>
        <w:tab/>
      </w:r>
      <w:r w:rsidRPr="00393EC0">
        <w:rPr>
          <w:sz w:val="24"/>
          <w:lang w:val="bg-BG"/>
        </w:rPr>
        <w:t xml:space="preserve">Препоръка (ЕС) 2022/2337 на Комисията от 28 ноември 2022 г. относно европейския списък на професионалните болести (ОВ L 309, 30.11.2022 г., стр. 12, ELI: </w:t>
      </w:r>
      <w:hyperlink r:id="rId4" w:history="1">
        <w:r w:rsidRPr="00393EC0">
          <w:rPr>
            <w:rStyle w:val="Hyperlink"/>
            <w:sz w:val="24"/>
            <w:lang w:val="bg-BG"/>
          </w:rPr>
          <w:t>http://data.europa.eu/eli/reco/2022/2337/oj</w:t>
        </w:r>
      </w:hyperlink>
      <w:r w:rsidR="00FA645F">
        <w:rPr>
          <w:sz w:val="24"/>
          <w:lang w:val="en-GB"/>
        </w:rPr>
        <w:t>)</w:t>
      </w:r>
      <w:r w:rsidRPr="00393EC0">
        <w:rPr>
          <w:sz w:val="24"/>
          <w:lang w:val="bg-BG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7B413" w14:textId="77777777" w:rsidR="00064002" w:rsidRPr="00393E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ECB" w14:textId="77777777" w:rsidR="00064002" w:rsidRPr="00393E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18813" w14:textId="77777777" w:rsidR="00064002" w:rsidRPr="00393E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4641090">
    <w:abstractNumId w:val="9"/>
  </w:num>
  <w:num w:numId="2" w16cid:durableId="1126047602">
    <w:abstractNumId w:val="9"/>
  </w:num>
  <w:num w:numId="3" w16cid:durableId="832988525">
    <w:abstractNumId w:val="7"/>
  </w:num>
  <w:num w:numId="4" w16cid:durableId="1392195715">
    <w:abstractNumId w:val="7"/>
  </w:num>
  <w:num w:numId="5" w16cid:durableId="1883055626">
    <w:abstractNumId w:val="6"/>
  </w:num>
  <w:num w:numId="6" w16cid:durableId="424115891">
    <w:abstractNumId w:val="6"/>
  </w:num>
  <w:num w:numId="7" w16cid:durableId="1347294016">
    <w:abstractNumId w:val="5"/>
  </w:num>
  <w:num w:numId="8" w16cid:durableId="2104764774">
    <w:abstractNumId w:val="5"/>
  </w:num>
  <w:num w:numId="9" w16cid:durableId="1459759214">
    <w:abstractNumId w:val="4"/>
  </w:num>
  <w:num w:numId="10" w16cid:durableId="740298821">
    <w:abstractNumId w:val="4"/>
  </w:num>
  <w:num w:numId="11" w16cid:durableId="1383555014">
    <w:abstractNumId w:val="8"/>
  </w:num>
  <w:num w:numId="12" w16cid:durableId="2018265091">
    <w:abstractNumId w:val="8"/>
  </w:num>
  <w:num w:numId="13" w16cid:durableId="862088428">
    <w:abstractNumId w:val="3"/>
  </w:num>
  <w:num w:numId="14" w16cid:durableId="2016226509">
    <w:abstractNumId w:val="3"/>
  </w:num>
  <w:num w:numId="15" w16cid:durableId="1211917285">
    <w:abstractNumId w:val="2"/>
  </w:num>
  <w:num w:numId="16" w16cid:durableId="1615868836">
    <w:abstractNumId w:val="2"/>
  </w:num>
  <w:num w:numId="17" w16cid:durableId="2067071496">
    <w:abstractNumId w:val="1"/>
  </w:num>
  <w:num w:numId="18" w16cid:durableId="479151212">
    <w:abstractNumId w:val="1"/>
  </w:num>
  <w:num w:numId="19" w16cid:durableId="1901555729">
    <w:abstractNumId w:val="0"/>
  </w:num>
  <w:num w:numId="20" w16cid:durableId="1183085557">
    <w:abstractNumId w:val="0"/>
  </w:num>
  <w:num w:numId="21" w16cid:durableId="349647664">
    <w:abstractNumId w:val="9"/>
  </w:num>
  <w:num w:numId="22" w16cid:durableId="512113084">
    <w:abstractNumId w:val="7"/>
  </w:num>
  <w:num w:numId="23" w16cid:durableId="925530507">
    <w:abstractNumId w:val="6"/>
  </w:num>
  <w:num w:numId="24" w16cid:durableId="828834640">
    <w:abstractNumId w:val="5"/>
  </w:num>
  <w:num w:numId="25" w16cid:durableId="1390575451">
    <w:abstractNumId w:val="4"/>
  </w:num>
  <w:num w:numId="26" w16cid:durableId="1351640173">
    <w:abstractNumId w:val="8"/>
  </w:num>
  <w:num w:numId="27" w16cid:durableId="1238789185">
    <w:abstractNumId w:val="3"/>
  </w:num>
  <w:num w:numId="28" w16cid:durableId="1909798556">
    <w:abstractNumId w:val="2"/>
  </w:num>
  <w:num w:numId="29" w16cid:durableId="2019310591">
    <w:abstractNumId w:val="1"/>
  </w:num>
  <w:num w:numId="30" w16cid:durableId="218246653">
    <w:abstractNumId w:val="0"/>
  </w:num>
  <w:num w:numId="31" w16cid:durableId="1071611896">
    <w:abstractNumId w:val="9"/>
  </w:num>
  <w:num w:numId="32" w16cid:durableId="1236238259">
    <w:abstractNumId w:val="7"/>
  </w:num>
  <w:num w:numId="33" w16cid:durableId="895774800">
    <w:abstractNumId w:val="6"/>
  </w:num>
  <w:num w:numId="34" w16cid:durableId="1803309137">
    <w:abstractNumId w:val="5"/>
  </w:num>
  <w:num w:numId="35" w16cid:durableId="1050956142">
    <w:abstractNumId w:val="4"/>
  </w:num>
  <w:num w:numId="36" w16cid:durableId="248319184">
    <w:abstractNumId w:val="8"/>
  </w:num>
  <w:num w:numId="37" w16cid:durableId="197355036">
    <w:abstractNumId w:val="3"/>
  </w:num>
  <w:num w:numId="38" w16cid:durableId="1728215138">
    <w:abstractNumId w:val="2"/>
  </w:num>
  <w:num w:numId="39" w16cid:durableId="927999104">
    <w:abstractNumId w:val="1"/>
  </w:num>
  <w:num w:numId="40" w16cid:durableId="1556547818">
    <w:abstractNumId w:val="0"/>
  </w:num>
  <w:num w:numId="41" w16cid:durableId="1631279808">
    <w:abstractNumId w:val="10"/>
  </w:num>
  <w:num w:numId="42" w16cid:durableId="424036830">
    <w:abstractNumId w:val="10"/>
  </w:num>
  <w:num w:numId="43" w16cid:durableId="920479782">
    <w:abstractNumId w:val="10"/>
  </w:num>
  <w:num w:numId="44" w16cid:durableId="2562586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4/2026"/>
    <w:docVar w:name="dvlangue" w:val="BG"/>
    <w:docVar w:name="dvnumam" w:val="0"/>
    <w:docVar w:name="dvpe" w:val="782.343"/>
    <w:docVar w:name="dvtitre" w:val="Резолюция на Европейския парламент от ... 2026 г. относно необходимостта да се намалят свързаните с работата смъртни случаи(2025/3046(RSP))"/>
  </w:docVars>
  <w:rsids>
    <w:rsidRoot w:val="00305343"/>
    <w:rsid w:val="00002272"/>
    <w:rsid w:val="00064002"/>
    <w:rsid w:val="000677B9"/>
    <w:rsid w:val="0007604C"/>
    <w:rsid w:val="000831BA"/>
    <w:rsid w:val="000A42CC"/>
    <w:rsid w:val="000E7DD9"/>
    <w:rsid w:val="0010095E"/>
    <w:rsid w:val="00125B37"/>
    <w:rsid w:val="00187494"/>
    <w:rsid w:val="001F32AE"/>
    <w:rsid w:val="00263868"/>
    <w:rsid w:val="002767FF"/>
    <w:rsid w:val="002B18FE"/>
    <w:rsid w:val="002B5493"/>
    <w:rsid w:val="00305343"/>
    <w:rsid w:val="00343214"/>
    <w:rsid w:val="00361C00"/>
    <w:rsid w:val="00393EC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B4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258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432"/>
    <w:rsid w:val="00E365E1"/>
    <w:rsid w:val="00E820A4"/>
    <w:rsid w:val="00EB006A"/>
    <w:rsid w:val="00EB4772"/>
    <w:rsid w:val="00ED169E"/>
    <w:rsid w:val="00ED4235"/>
    <w:rsid w:val="00EF12DE"/>
    <w:rsid w:val="00F04346"/>
    <w:rsid w:val="00F075DC"/>
    <w:rsid w:val="00F149E9"/>
    <w:rsid w:val="00F5134D"/>
    <w:rsid w:val="00F74202"/>
    <w:rsid w:val="00F87713"/>
    <w:rsid w:val="00FA645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672FF4"/>
  <w15:chartTrackingRefBased/>
  <w15:docId w15:val="{D9B4AB6E-4F03-41D9-B29F-95E0E7C2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D6B41"/>
    <w:pPr>
      <w:spacing w:before="480" w:after="240"/>
    </w:pPr>
  </w:style>
  <w:style w:type="paragraph" w:customStyle="1" w:styleId="NormalHanging12a">
    <w:name w:val="NormalHanging12a"/>
    <w:basedOn w:val="Normal"/>
    <w:rsid w:val="005D6B41"/>
    <w:pPr>
      <w:spacing w:after="240"/>
      <w:ind w:left="567" w:hanging="567"/>
    </w:pPr>
  </w:style>
  <w:style w:type="character" w:styleId="Hyperlink">
    <w:name w:val="Hyperlink"/>
    <w:basedOn w:val="DefaultParagraphFont"/>
    <w:rsid w:val="005D6B4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A645F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1016/S2468-2667(24)00226-3" TargetMode="External"/><Relationship Id="rId2" Type="http://schemas.openxmlformats.org/officeDocument/2006/relationships/hyperlink" Target="http://data.europa.eu/eli/C/2026/2154/oj" TargetMode="External"/><Relationship Id="rId1" Type="http://schemas.openxmlformats.org/officeDocument/2006/relationships/hyperlink" Target="http://data.europa.eu/eli/dir/1989/391/oj" TargetMode="External"/><Relationship Id="rId4" Type="http://schemas.openxmlformats.org/officeDocument/2006/relationships/hyperlink" Target="http://data.europa.eu/eli/reco/2022/23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5150</Words>
  <Characters>31284</Characters>
  <Application>Microsoft Office Word</Application>
  <DocSecurity>0</DocSecurity>
  <Lines>260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2026-05-21T13:48:00Z</dcterms:created>
  <dcterms:modified xsi:type="dcterms:W3CDTF">2026-05-21T13:48:00Z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B10-0244/2026</vt:lpwstr>
  </property>
  <property fmtid="{D5CDD505-2E9C-101B-9397-08002B2CF9AE}" pid="4" name="&lt;Type&gt;">
    <vt:lpwstr>RR</vt:lpwstr>
  </property>
</Properties>
</file>