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5EFB" w14:paraId="4549E8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0B3736" w14:textId="77777777" w:rsidR="00751A4A" w:rsidRPr="00525EFB" w:rsidRDefault="00505EA7" w:rsidP="0010095E">
            <w:pPr>
              <w:pStyle w:val="EPName"/>
            </w:pPr>
            <w:r w:rsidRPr="00525EFB">
              <w:t>Evropský parlament</w:t>
            </w:r>
          </w:p>
          <w:p w14:paraId="4F51E689" w14:textId="77777777" w:rsidR="00751A4A" w:rsidRPr="00525E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5EFB">
              <w:t>2024</w:t>
            </w:r>
            <w:r w:rsidR="00817416" w:rsidRPr="00525EFB">
              <w:t>-202</w:t>
            </w:r>
            <w:r w:rsidRPr="00525EFB">
              <w:t>9</w:t>
            </w:r>
          </w:p>
        </w:tc>
        <w:tc>
          <w:tcPr>
            <w:tcW w:w="2268" w:type="dxa"/>
            <w:shd w:val="clear" w:color="auto" w:fill="auto"/>
          </w:tcPr>
          <w:p w14:paraId="14060065" w14:textId="77777777" w:rsidR="00751A4A" w:rsidRPr="00525EFB" w:rsidRDefault="00187494" w:rsidP="0010095E">
            <w:pPr>
              <w:pStyle w:val="EPLogo"/>
            </w:pPr>
            <w:r w:rsidRPr="00525EFB">
              <w:rPr>
                <w:noProof/>
                <w:lang w:eastAsia="ja-JP"/>
              </w:rPr>
              <w:drawing>
                <wp:inline distT="0" distB="0" distL="0" distR="0" wp14:anchorId="7CCCF9B8" wp14:editId="5E94F0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6481DE" w14:textId="77777777" w:rsidR="00D058B8" w:rsidRPr="00525EFB" w:rsidRDefault="00D058B8" w:rsidP="004C5D52">
      <w:pPr>
        <w:pStyle w:val="LineTop"/>
      </w:pPr>
    </w:p>
    <w:p w14:paraId="0DD6F712" w14:textId="77777777" w:rsidR="00680577" w:rsidRPr="00525EFB" w:rsidRDefault="00505EA7" w:rsidP="00680577">
      <w:pPr>
        <w:pStyle w:val="EPBodyTA1"/>
      </w:pPr>
      <w:r w:rsidRPr="00525EFB">
        <w:t>PŘIJATÉ TEXTY</w:t>
      </w:r>
    </w:p>
    <w:p w14:paraId="0AD123B7" w14:textId="77777777" w:rsidR="00D058B8" w:rsidRPr="00525EFB" w:rsidRDefault="00D058B8" w:rsidP="00D058B8">
      <w:pPr>
        <w:pStyle w:val="LineBottom"/>
      </w:pPr>
    </w:p>
    <w:p w14:paraId="1453E379" w14:textId="407D875C" w:rsidR="00505EA7" w:rsidRPr="001A52F6" w:rsidRDefault="00505EA7" w:rsidP="00505EA7">
      <w:pPr>
        <w:pStyle w:val="ATHeading1"/>
      </w:pPr>
      <w:bookmarkStart w:id="0" w:name="TANumber"/>
      <w:r w:rsidRPr="001A52F6">
        <w:t>P10_</w:t>
      </w:r>
      <w:proofErr w:type="gramStart"/>
      <w:r w:rsidRPr="001A52F6">
        <w:t>TA(</w:t>
      </w:r>
      <w:proofErr w:type="gramEnd"/>
      <w:r w:rsidRPr="001A52F6">
        <w:t>2026)0</w:t>
      </w:r>
      <w:r w:rsidR="00CB7ED8">
        <w:t>191</w:t>
      </w:r>
      <w:bookmarkEnd w:id="0"/>
    </w:p>
    <w:p w14:paraId="714A5113" w14:textId="77777777" w:rsidR="00505EA7" w:rsidRPr="001A52F6" w:rsidRDefault="00505EA7" w:rsidP="00505EA7">
      <w:pPr>
        <w:pStyle w:val="ATHeading2"/>
      </w:pPr>
      <w:bookmarkStart w:id="1" w:name="title"/>
      <w:r w:rsidRPr="001A52F6">
        <w:t>Potřeba snížit počet úmrtí souvisejících s prací</w:t>
      </w:r>
      <w:bookmarkEnd w:id="1"/>
    </w:p>
    <w:p w14:paraId="4B1547FA" w14:textId="77777777" w:rsidR="00505EA7" w:rsidRPr="00525EFB" w:rsidRDefault="00505EA7" w:rsidP="00505EA7">
      <w:pPr>
        <w:rPr>
          <w:i/>
          <w:vanish/>
        </w:rPr>
      </w:pPr>
      <w:r w:rsidRPr="00525EFB">
        <w:rPr>
          <w:i/>
        </w:rPr>
        <w:fldChar w:fldCharType="begin"/>
      </w:r>
      <w:r w:rsidRPr="00525EFB">
        <w:rPr>
          <w:i/>
        </w:rPr>
        <w:instrText xml:space="preserve"> TC"(</w:instrText>
      </w:r>
      <w:bookmarkStart w:id="2" w:name="DocNumber"/>
      <w:r w:rsidRPr="00525EFB">
        <w:rPr>
          <w:i/>
        </w:rPr>
        <w:instrText>B10-0244/2026</w:instrText>
      </w:r>
      <w:bookmarkEnd w:id="2"/>
      <w:r w:rsidRPr="00525EFB">
        <w:rPr>
          <w:i/>
        </w:rPr>
        <w:instrText xml:space="preserve">)"\l3 \n&gt; \* MERGEFORMAT </w:instrText>
      </w:r>
      <w:r w:rsidRPr="00525EFB">
        <w:rPr>
          <w:i/>
        </w:rPr>
        <w:fldChar w:fldCharType="end"/>
      </w:r>
    </w:p>
    <w:p w14:paraId="0A772840" w14:textId="77777777" w:rsidR="00505EA7" w:rsidRPr="00525EFB" w:rsidRDefault="00505EA7" w:rsidP="00505EA7">
      <w:pPr>
        <w:rPr>
          <w:vanish/>
        </w:rPr>
      </w:pPr>
      <w:bookmarkStart w:id="3" w:name="PE"/>
      <w:r w:rsidRPr="00525EFB">
        <w:rPr>
          <w:vanish/>
        </w:rPr>
        <w:t>PE782.343</w:t>
      </w:r>
      <w:bookmarkEnd w:id="3"/>
    </w:p>
    <w:p w14:paraId="184FDE58" w14:textId="77777777" w:rsidR="00505EA7" w:rsidRPr="001A52F6" w:rsidRDefault="00505EA7" w:rsidP="00505EA7">
      <w:pPr>
        <w:pStyle w:val="ATHeading3"/>
      </w:pPr>
      <w:bookmarkStart w:id="4" w:name="Sujet"/>
      <w:r w:rsidRPr="001A52F6">
        <w:t>Usnesení Evropského parlamentu ze dne 21. května 2026 o potřebě snížit počet úmrtí souvisejících s prací</w:t>
      </w:r>
      <w:bookmarkEnd w:id="4"/>
      <w:r w:rsidRPr="001A52F6">
        <w:t xml:space="preserve"> </w:t>
      </w:r>
      <w:bookmarkStart w:id="5" w:name="References"/>
      <w:r w:rsidRPr="001A52F6">
        <w:t>(2025/3046(RSP))</w:t>
      </w:r>
      <w:bookmarkEnd w:id="5"/>
    </w:p>
    <w:p w14:paraId="45143E67" w14:textId="77777777" w:rsidR="00276420" w:rsidRPr="00525EFB" w:rsidRDefault="00276420" w:rsidP="00276420">
      <w:pPr>
        <w:pStyle w:val="EPComma"/>
      </w:pPr>
      <w:bookmarkStart w:id="6" w:name="TextBodyBegin"/>
      <w:bookmarkStart w:id="7" w:name="_Hlk229584736"/>
      <w:bookmarkEnd w:id="6"/>
      <w:r w:rsidRPr="00525EFB">
        <w:rPr>
          <w:i/>
        </w:rPr>
        <w:t>Evropský parlament</w:t>
      </w:r>
      <w:r w:rsidRPr="00525EFB">
        <w:t>,</w:t>
      </w:r>
    </w:p>
    <w:p w14:paraId="34AADAA6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t>–</w:t>
      </w:r>
      <w:r w:rsidRPr="00525EFB">
        <w:tab/>
        <w:t>s ohledem na člá</w:t>
      </w:r>
      <w:r w:rsidRPr="00525EFB">
        <w:rPr>
          <w:szCs w:val="24"/>
        </w:rPr>
        <w:t>nky 151, 153 a 156 Smlouvy o fungování Evropské unie,</w:t>
      </w:r>
    </w:p>
    <w:p w14:paraId="1992D4FE" w14:textId="325A860E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–</w:t>
      </w:r>
      <w:r w:rsidRPr="00525EFB">
        <w:rPr>
          <w:szCs w:val="24"/>
        </w:rPr>
        <w:tab/>
        <w:t>s ohledem na směrnici Rady 89/391/EHS ze dne 12. června 1989 o zavádění opatření pro zlepšení bezpečnosti a ochrany zdraví zaměstnanců při práci</w:t>
      </w:r>
      <w:r w:rsidRPr="00525EFB">
        <w:rPr>
          <w:rStyle w:val="FootnoteReference"/>
          <w:szCs w:val="24"/>
        </w:rPr>
        <w:footnoteReference w:id="1"/>
      </w:r>
      <w:r w:rsidRPr="00525EFB">
        <w:rPr>
          <w:szCs w:val="24"/>
        </w:rPr>
        <w:t>,</w:t>
      </w:r>
    </w:p>
    <w:p w14:paraId="3101E114" w14:textId="7F381984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–</w:t>
      </w:r>
      <w:r w:rsidRPr="00525EFB">
        <w:rPr>
          <w:szCs w:val="24"/>
        </w:rPr>
        <w:tab/>
        <w:t>s ohledem na Strategický rámec EU pro bezpečnost a ochranu zdraví při práci na období 2021–2027,</w:t>
      </w:r>
    </w:p>
    <w:p w14:paraId="302476B6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–</w:t>
      </w:r>
      <w:r w:rsidRPr="00525EFB">
        <w:rPr>
          <w:szCs w:val="24"/>
        </w:rPr>
        <w:tab/>
        <w:t>s ohledem na své usnesení ze dne 10. března 2022 o novém strategickém rámci EU pro bezpečnost a ochranu zdraví při práci na období po roce 2020</w:t>
      </w:r>
      <w:r w:rsidRPr="00525EFB">
        <w:rPr>
          <w:rStyle w:val="FootnoteReference"/>
          <w:szCs w:val="24"/>
        </w:rPr>
        <w:footnoteReference w:id="2"/>
      </w:r>
      <w:r w:rsidRPr="00525EFB">
        <w:rPr>
          <w:szCs w:val="24"/>
        </w:rPr>
        <w:t>,</w:t>
      </w:r>
    </w:p>
    <w:p w14:paraId="01EAF1AC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b/>
          <w:i/>
          <w:szCs w:val="24"/>
        </w:rPr>
        <w:t>–</w:t>
      </w:r>
      <w:r w:rsidRPr="00525EFB">
        <w:rPr>
          <w:b/>
          <w:i/>
          <w:szCs w:val="24"/>
        </w:rPr>
        <w:tab/>
      </w:r>
      <w:r w:rsidRPr="00525EFB">
        <w:rPr>
          <w:szCs w:val="24"/>
        </w:rPr>
        <w:t>s ohledem na své usnesení ze dne 17. prosince 2025 obsahující doporučení Komisi k digitalizaci, umělé inteligenci a algoritmickému řízení na pracovišti – utváření budoucnosti práce</w:t>
      </w:r>
      <w:r w:rsidRPr="00525EFB">
        <w:rPr>
          <w:rStyle w:val="FootnoteReference"/>
          <w:bCs/>
          <w:iCs/>
          <w:szCs w:val="24"/>
        </w:rPr>
        <w:footnoteReference w:id="3"/>
      </w:r>
      <w:r w:rsidRPr="00525EFB">
        <w:rPr>
          <w:szCs w:val="24"/>
        </w:rPr>
        <w:t>,</w:t>
      </w:r>
    </w:p>
    <w:p w14:paraId="2D4606E3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–</w:t>
      </w:r>
      <w:r w:rsidRPr="00525EFB">
        <w:rPr>
          <w:szCs w:val="24"/>
        </w:rPr>
        <w:tab/>
        <w:t>s ohledem na Listinu základních práv Evropské unie, zejména na její článek 31, který stanoví, že každý pracovník má právo na pracovní podmínky respektující jeho zdraví, bezpečnost a důstojnost,</w:t>
      </w:r>
    </w:p>
    <w:p w14:paraId="7282FD2B" w14:textId="2637E121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–</w:t>
      </w:r>
      <w:r w:rsidRPr="00525EFB">
        <w:rPr>
          <w:szCs w:val="24"/>
        </w:rPr>
        <w:tab/>
        <w:t>s ohledem na čl. 136 odst. 2 jednacího řádu,</w:t>
      </w:r>
    </w:p>
    <w:p w14:paraId="26374F23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A.</w:t>
      </w:r>
      <w:r w:rsidRPr="00525EFB">
        <w:rPr>
          <w:szCs w:val="24"/>
        </w:rPr>
        <w:tab/>
        <w:t>vzhledem k tomu, že bezpečnost a ochrana zdraví při práci jsou základním pilířem evropské sociální politiky a ústředním prvkem ochrany lidské důstojnosti, základních práv pracovníků a spravedlivých a bezpečných pracovních podmínek;</w:t>
      </w:r>
    </w:p>
    <w:p w14:paraId="32E3B693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B.</w:t>
      </w:r>
      <w:r w:rsidRPr="00525EFB">
        <w:rPr>
          <w:szCs w:val="24"/>
        </w:rPr>
        <w:tab/>
        <w:t xml:space="preserve">vzhledem k tomu, že v roce 2023 bylo v EU zaznamenáno 3 298 smrtelných pracovních úrazů a přibližně 2,8 milionu jiných než smrtelných úrazů, které vedly k nejméně </w:t>
      </w:r>
      <w:r w:rsidRPr="00525EFB">
        <w:rPr>
          <w:szCs w:val="24"/>
        </w:rPr>
        <w:lastRenderedPageBreak/>
        <w:t>čtyřdenní pracovní neschopnosti; vzhledem k tomu, že tyto statistiky nadále upozorňují na závažné problémy v rizikových odvětvích s vysokým výskytem pracovních úrazů, jako je stavebnictví, doprava, zpracovatelský průmysl a zemědělství;</w:t>
      </w:r>
    </w:p>
    <w:p w14:paraId="64DFFC78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C.</w:t>
      </w:r>
      <w:r w:rsidRPr="00525EFB">
        <w:rPr>
          <w:szCs w:val="24"/>
        </w:rPr>
        <w:tab/>
        <w:t>vzhledem k tomu, že mladí pracovníci jsou zranitelnější vůči vážným pracovním úrazům oproti svým starším kolegům, kdy míra úrazovosti je o více než 40 % vyšší než u zkušenějších pracovníků, což odráží jejich větší zranitelnost kvůli omezeným pracovním zkušenostem, nedostatečnému školení a ničímu povědomí o rizicích na pracovišti; vzhledem k tomu, že mohou být v mládí nebo později v životě vystaveni špatným pracovním podmínkám, které mohou vést k nemocem z povolání;</w:t>
      </w:r>
    </w:p>
    <w:p w14:paraId="7FE563FA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D.</w:t>
      </w:r>
      <w:r w:rsidRPr="00525EFB">
        <w:rPr>
          <w:szCs w:val="24"/>
        </w:rPr>
        <w:tab/>
        <w:t>vzhledem k tomu, že je důležité uplatňovat genderové hledisko na bezpečnost a ochranu zdraví při práci, neboť v závislosti na pohlaví mohou být zaměstnanci v různé míře vystaveni určitým druhům látek nebo rizik a mohou být vůči nim zranitelnější;</w:t>
      </w:r>
    </w:p>
    <w:p w14:paraId="1E396C9A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E.</w:t>
      </w:r>
      <w:r w:rsidRPr="00525EFB">
        <w:rPr>
          <w:szCs w:val="24"/>
        </w:rPr>
        <w:tab/>
        <w:t>vzhledem k tomu, že pracovníci v odvětvích, jako je zdravotní a sociální péče, jsou vystaveni násilí a psychosociálním rizikům a rovněž čelí významným a často podceňovaným rizikům pro svoji bezpečnost; vzhledem k tomu, že násilí a šikana na pracovišti mohou způsobit vážnou psychickou újmu a jsou spojeny se zvýšeným rizikem problémů s duševním zdravím; vzhledem k tomu, že tyto jevy jsou hlášeny zejména ve zdravotnictví a pečovatelských službách;</w:t>
      </w:r>
    </w:p>
    <w:p w14:paraId="1C081050" w14:textId="48C47259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F.</w:t>
      </w:r>
      <w:r w:rsidRPr="00525EFB">
        <w:rPr>
          <w:szCs w:val="24"/>
        </w:rPr>
        <w:tab/>
        <w:t xml:space="preserve">vzhledem k tomu, že v posledních letech několik členských států informovalo o výrazném nárůstu útoků proti </w:t>
      </w:r>
      <w:r w:rsidR="00B037FA">
        <w:rPr>
          <w:szCs w:val="24"/>
        </w:rPr>
        <w:t>příslušníkům orgánů veřejné moci vykonávajícím povinnosti v oblasti prosazování práva</w:t>
      </w:r>
      <w:r w:rsidRPr="00525EFB">
        <w:rPr>
          <w:szCs w:val="24"/>
        </w:rPr>
        <w:t>, jakož i proti pracovníkům záchranných služeb; vzhledem k tomu, že některé profesní činnosti, zejména ty, které souvisejí s výkonem veřejné moci a oprávněným použitím síly, se vyznačují strukturálním a trvalým vystavením riziku vážného ublížení na zdraví nebo smrti v důsledku úmyslného násilí ze strany třetích osob; vzhledem k tomu, že vyhrožování a úmyslné násilné činy vůči pracovníkům záchranných služeb, jako jsou záchranáři a hasiči, jsou novým jevem; vzhledem k tomu, že takové vystavení zahrnující úmyslné činy třetích osob odlišuje tyto profese od jiných forem rizikové práce a odůvodňuje, aby byla povaha těchto rizik náležitě uznána;</w:t>
      </w:r>
    </w:p>
    <w:p w14:paraId="7C6681A9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G.</w:t>
      </w:r>
      <w:r w:rsidRPr="00525EFB">
        <w:rPr>
          <w:szCs w:val="24"/>
        </w:rPr>
        <w:tab/>
        <w:t>vzhledem k tomu, že přeshraniční a migrující pracovníci, včetně pracovníků ze třetích zemí, jsou obzvláště zranitelní vůči pracovnímu vykořisťování a trestné činnosti související s prací; vzhledem k tomu, že z výzkumu vyplývá, že celosvětově je u těchto pracovníků přibližně o 70 % vyšší riziko smrtelného pracovního úrazu než u místních pracovníků</w:t>
      </w:r>
      <w:r w:rsidRPr="00525EFB">
        <w:rPr>
          <w:bCs/>
          <w:iCs/>
          <w:szCs w:val="24"/>
          <w:vertAlign w:val="superscript"/>
        </w:rPr>
        <w:footnoteReference w:id="4"/>
      </w:r>
      <w:r w:rsidRPr="00525EFB">
        <w:rPr>
          <w:szCs w:val="24"/>
        </w:rPr>
        <w:t>, a že v EU je toto riziko rovněž výrazně vyšší, přibližně 65 %, zejména u pracovníků z východní Evropy; vzhledem k tomu, že státní příslušníci třetích zemí jsou třikrát více ohroženi pracovním úrazem a podle odhadu, že je hlášen pouze každý pátý úraz, což podtrhuje, že tento jev je velmi podceňován a že je nutné posílit mechanismy ochrany a prosazování a dodržovat právní předpisy a důstojnost práce;</w:t>
      </w:r>
    </w:p>
    <w:p w14:paraId="03891DDE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H.</w:t>
      </w:r>
      <w:r w:rsidRPr="00525EFB">
        <w:rPr>
          <w:szCs w:val="24"/>
        </w:rPr>
        <w:tab/>
        <w:t xml:space="preserve">vzhledem k tomu, že značný počet úmrtí souvisejících s prací je způsoben nemocemi z povolání, které jsou příliš často podceňovány, nedostatečně uznávány a nedostatečně </w:t>
      </w:r>
      <w:r w:rsidRPr="00525EFB">
        <w:rPr>
          <w:szCs w:val="24"/>
        </w:rPr>
        <w:lastRenderedPageBreak/>
        <w:t>hlášeny, zejména kvůli nerovnostem v přístupu k péči, prevenci a následným opatřením, nedostatečné sledovatelnosti expozice a latenci některých nemocí; vzhledem k tomu, že nedostatečné oznamování a nedostatečné uznávání nemocí z povolání podkopává účinné politiky prevence, kompenzační mechanismy a systémy prosazování;</w:t>
      </w:r>
    </w:p>
    <w:p w14:paraId="3E4B8FA9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I.</w:t>
      </w:r>
      <w:r w:rsidRPr="00525EFB">
        <w:rPr>
          <w:szCs w:val="24"/>
        </w:rPr>
        <w:tab/>
        <w:t>vzhledem k tomu, že rakovina je nejčastější příčinou úmrtí souvisejících s prací v EU; vzhledem k tomu, že pracovníci mohou být na pracovišti vystaveni kombinaci látek, které dále zvyšují zdravotní rizika; vzhledem k tomu, že vystavení faktorům, jako je záření, pracovní stres, nevhodná organizace práce a nevyhovující pracovní podmínky, je spojeno s rakovinou související s prací; vzhledem k tomu, že je na vzestupu výskyt rakoviny kůže jako jedné z nejrozšířenějších nemocí z povolání, avšak pouze velmi malé procento těchto případů je uznáváno za nemoc z povolání;</w:t>
      </w:r>
    </w:p>
    <w:p w14:paraId="73D32134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J.</w:t>
      </w:r>
      <w:r w:rsidRPr="00525EFB">
        <w:rPr>
          <w:szCs w:val="24"/>
        </w:rPr>
        <w:tab/>
        <w:t>vzhledem k tomu, že v souvislosti s aktualizovaným doporučením Komise o nemocech z povolání přijatým dne 28. listopadu 2022</w:t>
      </w:r>
      <w:r w:rsidRPr="00525EFB">
        <w:rPr>
          <w:rStyle w:val="FootnoteReference"/>
          <w:bCs/>
          <w:iCs/>
          <w:szCs w:val="24"/>
        </w:rPr>
        <w:footnoteReference w:id="5"/>
      </w:r>
      <w:r w:rsidRPr="00525EFB">
        <w:rPr>
          <w:szCs w:val="24"/>
        </w:rPr>
        <w:t xml:space="preserve"> bylo zdůrazněno, že je důležité podporovat pracovníky, kteří jsou vystaveni rizikům v souvislosti s prací, a rodiny, které v důsledku této expozice přišly o své příbuzné, včetně poskytnutí odpovídající pomoci;</w:t>
      </w:r>
    </w:p>
    <w:p w14:paraId="05ADCDCB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K.</w:t>
      </w:r>
      <w:r w:rsidRPr="00525EFB">
        <w:rPr>
          <w:szCs w:val="24"/>
        </w:rPr>
        <w:tab/>
        <w:t>vzhledem k tomu, že prevence pracovních úrazů a nemocí z povolání je základem evropské sociální politiky a práva na volný pohyb pracovníků; vzhledem k tomu, že se nejedná pouze o právní povinnost vyplývající z práva EU, zejména směrnice Rady 89/391/EHS, a vnitrostátních právních systémů, ale také o strategickou sociální a hospodářskou investici, která může mít pozitivní a trvalé účinky na pracovníky, společnosti a celou společnost a přispět ke snížení rizik, omezení socioekonomických nákladů spojených s pracovními úrazy a celkovému zlepšení kvality a udržitelnosti pracovního prostředí;</w:t>
      </w:r>
    </w:p>
    <w:p w14:paraId="77BC88A2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L.</w:t>
      </w:r>
      <w:r w:rsidRPr="00525EFB">
        <w:rPr>
          <w:szCs w:val="24"/>
        </w:rPr>
        <w:tab/>
        <w:t>vzhledem k tomu, že se ukázalo, že zvláštní školení poskytované dobrovolným hasičům, včetně školení první pomoci, posouzení rizik, evakuačních postupů a požární prevence, zvyšuje bezpečnost na pracovišti tím, že umožňuje rychlou a účinnou reakci na závažné incidenty a podporuje kulturu prevence rizik, čímž přispívá ke snížení závažnosti pracovních úrazů; vzhledem k tomu, že podle směrnice 89/391/EHS mají zaměstnavatelé právní povinnost provádět posouzení rizik, poskytovat odbornou přípravu a zajistit opatření pro první pomoc, hašení požárů a evakuaci a podpora dovedností dobrovolných hasičů na pracovišti může tyto povinnosti doplnit a dále posílit bezpečnost při práci;</w:t>
      </w:r>
    </w:p>
    <w:p w14:paraId="16D2AF48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M.</w:t>
      </w:r>
      <w:r w:rsidRPr="00525EFB">
        <w:rPr>
          <w:szCs w:val="24"/>
        </w:rPr>
        <w:tab/>
        <w:t>vzhledem k tomu, že inspekce práce hrají klíčovou úlohu při zajišťování účinného provádění politik v oblasti bezpečnosti a ochrany zdraví při práci na vnitrostátní, regionální a místní úrovni a mají zásadní význam pro předcházení pracovnímu vykořisťování a nebezpečným pracovním podmínkám;</w:t>
      </w:r>
    </w:p>
    <w:p w14:paraId="2B9B1D85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N.</w:t>
      </w:r>
      <w:r w:rsidRPr="00525EFB">
        <w:rPr>
          <w:szCs w:val="24"/>
        </w:rPr>
        <w:tab/>
        <w:t xml:space="preserve">vzhledem k tomu, že zásadní změny ve světě práce – včetně šíření nestandardních forem práce, nejisté práce, rostoucího podílu mladých pracujících v nejistých zaměstnáních a pracích s vysokým rizikem, stárnutí pracovní síly, digitalizace, zavádění nových technologií a globalizace – vedly ke zvýšeným psychosociálním rizikům, pracovnímu stresu a novým výzvám v oblasti zdraví při práci, což vyžaduje širší a </w:t>
      </w:r>
      <w:r w:rsidRPr="00525EFB">
        <w:rPr>
          <w:szCs w:val="24"/>
        </w:rPr>
        <w:lastRenderedPageBreak/>
        <w:t>integrované strategie prevence;</w:t>
      </w:r>
    </w:p>
    <w:p w14:paraId="78C85247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O.</w:t>
      </w:r>
      <w:r w:rsidRPr="00525EFB">
        <w:rPr>
          <w:szCs w:val="24"/>
        </w:rPr>
        <w:tab/>
        <w:t>vzhledem k tomu, že psychosociální rizika v práci, jako je chronický stres, vyhoření a obtěžování, jsou hlavní a rostoucí příčinou špatného zdravotního stavu a úmrtí souvisejících s prací, a často zůstávají podceňována, nedostatečně hlášena a není jim věnována dostatečná pozornost;</w:t>
      </w:r>
    </w:p>
    <w:p w14:paraId="38095B44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P.</w:t>
      </w:r>
      <w:r w:rsidRPr="00525EFB">
        <w:rPr>
          <w:szCs w:val="24"/>
        </w:rPr>
        <w:tab/>
        <w:t>vzhledem k tomu, že psychologicky podpůrné pracovní prostředí posiluje duševní zdraví a fyzickou pohodu pracovníků; vzhledem k tomu, že psychosociální rizika mohou vyplývat z nevhodného uspořádání práce a ze špatných organizačních nebo manažerských postupů a mohou vést ke stresu, úzkosti, vyhoření a depresi; vzhledem k tomu, že dlouhodobá expozice nepříznivým psychosociálním pracovním podmínkám je spojena se závažnými důsledky pro duševní zdraví, včetně chronického onemocnění a zvýšeného rizika sebevraždy;</w:t>
      </w:r>
    </w:p>
    <w:p w14:paraId="59FF01B7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Q.</w:t>
      </w:r>
      <w:r w:rsidRPr="00525EFB">
        <w:rPr>
          <w:szCs w:val="24"/>
        </w:rPr>
        <w:tab/>
        <w:t>vzhledem k tomu, že rostoucí využívání umělé inteligence a systémů algoritmického řízení na pracovišti může zintenzivnit pracovní tempo, vést k vyššímu pracovnímu zatížení, zvýšit psychosociální rizika, narušit samostatnost pracovníků a vytvořit nová rizika pro bezpečnost a zdraví při práci;</w:t>
      </w:r>
    </w:p>
    <w:p w14:paraId="26F1A44C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R.</w:t>
      </w:r>
      <w:r w:rsidRPr="00525EFB">
        <w:rPr>
          <w:szCs w:val="24"/>
        </w:rPr>
        <w:tab/>
        <w:t>vzhledem k tomu, že změna klimatu, včetně stoupajících teplot, častějších a intenzivnějších vln veder a dalších extrémních povětrnostních jevů, představuje rostoucí a mnohostranné riziko pro zdraví, bezpečnost a pracovní podmínky pracovníků v celé EU; vzhledem k tomu, že dlouhodobá expozice horku může mít závažné zdravotní důsledky, jako je vyčerpání z horka, úpal a další onemocnění související s horkem, a zároveň zvýšit pravděpodobnost únavy, sníženého soustředění, zhoršené schopnosti rozhodování a tím i pracovních úrazů, což vyžaduje cílená preventivní a ochranná opatření;</w:t>
      </w:r>
    </w:p>
    <w:p w14:paraId="1F38B0C8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S.</w:t>
      </w:r>
      <w:r w:rsidRPr="00525EFB">
        <w:rPr>
          <w:szCs w:val="24"/>
        </w:rPr>
        <w:tab/>
        <w:t>vzhledem k tomu, že účinné strategie prevence, osvětová opatření, iniciativy v oblasti dobrých životních podmínek a podpora silné kultury bezpečnosti a ochrany zdraví při práci mají zásadní význam pro prevenci závažných úrazů a nemocí z povolání a pro snížení počtu úmrtí souvisejících s prací; vzhledem k tomu, že tyto preventivní přístupy nejen chrání zdraví a bezpečnost pracovníků, ale přinášejí také hospodářské výhody podnikům a společnosti jako celku;</w:t>
      </w:r>
    </w:p>
    <w:p w14:paraId="5CE2B2D5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T.</w:t>
      </w:r>
      <w:r w:rsidRPr="00525EFB">
        <w:rPr>
          <w:szCs w:val="24"/>
        </w:rPr>
        <w:tab/>
        <w:t>vzhledem k tomu, že je třeba zvýšit úsilí o dosažení cílů stanovených v Agendě pro udržitelný rozvoj 2030, zejména cíle 8.8: „Chránit práva a podporovat bezpečné a stabilní pracovní podmínky pro všechny pracující, včetně pracujících migrantů – zejména žen, a lidí s nejistým zaměstnáním“;</w:t>
      </w:r>
    </w:p>
    <w:p w14:paraId="7FF38ED6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U.</w:t>
      </w:r>
      <w:r w:rsidRPr="00525EFB">
        <w:rPr>
          <w:szCs w:val="24"/>
        </w:rPr>
        <w:tab/>
        <w:t>vzhledem k tomu, že ve svém usnesení ze dne 10. března 2022 uvítal zavedení přístupu „vize nula“ k pracovním úrazům a nemocem z povolání a vyzval k vypracování ambiciózního plánu na snížení počtu pracovních úrazů a vymýcení úmrtí souvisejících s prací a nemocí z povolání, jakož i k posílení preventivních opatření a prosazování stávajících právních předpisů v oblasti bezpečnosti a ochrany zdraví při práci; vzhledem k tomu, že cíl nulového počtu úmrtí by měl být vnímán nejen jako politický cíl, ale také jako etická a sociální povinnost vůči všem pracovníkům;</w:t>
      </w:r>
    </w:p>
    <w:p w14:paraId="3DBB9271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V.</w:t>
      </w:r>
      <w:r w:rsidRPr="00525EFB">
        <w:rPr>
          <w:szCs w:val="24"/>
        </w:rPr>
        <w:tab/>
        <w:t xml:space="preserve">vzhledem k tomu, že právo každého pracovníka na bezpečné a zdravé pracovní prostředí musí být plně zaručeno prostřednictvím účinných opatření k prevenci </w:t>
      </w:r>
      <w:r w:rsidRPr="00525EFB">
        <w:rPr>
          <w:szCs w:val="24"/>
        </w:rPr>
        <w:lastRenderedPageBreak/>
        <w:t>pracovních úrazů a nemocí z povolání, jakož i prostřednictvím pravidelných kontrol a skutečně odrazujících sankcí, podpořených odpovídajícími prostředky pro příslušné orgány; vzhledem k tomu, že nedodržování právních předpisů v oblasti bezpečnosti a ochrany zdraví při práci je hlavní součástí pracovního vykořisťování a ohrožuje dosažení cíle nulového počtu úmrtí, je nezbytné zajistit důsledné a účinné prosazování stávajících právních předpisů, mimo jiné posílením inspektorátů práce a jejich kontrolních a sankčních nástrojů;</w:t>
      </w:r>
    </w:p>
    <w:p w14:paraId="5FEDC5B3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W.</w:t>
      </w:r>
      <w:r w:rsidRPr="00525EFB">
        <w:rPr>
          <w:szCs w:val="24"/>
        </w:rPr>
        <w:tab/>
        <w:t>vzhledem k tomu, že účinné provádění přístupu „vize nula“ vyžaduje měřitelná opatření a cíle, komplexní přístup zahrnující všechny pracovní úrazy a nemoci z povolání, rozvoj a podporu kultury prevence a odpovídající zdroje;</w:t>
      </w:r>
    </w:p>
    <w:p w14:paraId="3FC65D43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X.</w:t>
      </w:r>
      <w:r w:rsidRPr="00525EFB">
        <w:rPr>
          <w:szCs w:val="24"/>
        </w:rPr>
        <w:tab/>
        <w:t>vzhledem k tomu, že odbory a zástupci zaměstnanců hrají důležitou roli při ochraně bezpečnosti a ochrany zdraví při práci, včetně kontroly dodržování a podpory účinného provádění stávajících pravidel; vzhledem k tomu, že v oblasti působnosti směrnice 89/391/EHS však přetrvávají mezery, zejména pokud jde o některé kategorie pracovníků, včetně pracovníků v cizí domácnosti, kteří jsou z ochrany částečně nebo zcela vyloučeni, což narušuje zásadu rovné ochrany, zejména žen, státních příslušníků třetích zemí a dalších skupin ve zranitelném postavení, a je proto nezbytné zajistit odpovídající a jednotnou úroveň ochrany;</w:t>
      </w:r>
    </w:p>
    <w:p w14:paraId="37F4A922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Y.</w:t>
      </w:r>
      <w:r w:rsidRPr="00525EFB">
        <w:rPr>
          <w:szCs w:val="24"/>
        </w:rPr>
        <w:tab/>
        <w:t>vzhledem k tomu, že stávající Strategický rámec EU pro bezpečnost a ochranu zdraví při práci na období 2021–2027 brzy skončí; vzhledem k tomu, že k urychlení pokroku při plnění cíle nulového počtu úmrtí bude nezbytný obnovený politický závazek a aktualizovaný a ambicióznější rámec;</w:t>
      </w:r>
    </w:p>
    <w:p w14:paraId="4009565E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Z.</w:t>
      </w:r>
      <w:r w:rsidRPr="00525EFB">
        <w:rPr>
          <w:szCs w:val="24"/>
        </w:rPr>
        <w:tab/>
        <w:t>vzhledem k tomu, že památka obětí pracovních úrazů je aktem kolektivní paměti a morální odpovědnosti, který pomáhá udržet vysokou úroveň povědomí veřejnosti o hodnotě lidského života, posílit kulturu prevence a obnovit závazek evropských a vnitrostátních institucí k dosažení cíle nulového počtu úmrtí na pracovišti;</w:t>
      </w:r>
    </w:p>
    <w:p w14:paraId="414325E5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AA.</w:t>
      </w:r>
      <w:r w:rsidRPr="00525EFB">
        <w:rPr>
          <w:szCs w:val="24"/>
        </w:rPr>
        <w:tab/>
        <w:t>vzhledem k tomu, že kolektivní paměť se musí promítnout do odpovědnosti, a to i prostřednictvím spolehlivého podávání zpráv; vzhledem k tomu, že je často obzvláště obtížné zaznamenat všechny pracovní úrazy, včetně smrtelných; vzhledem k tomu, že je nutné zajistit, aby všichni pracovníci měli k dispozici odpovídající úroveň sociální ochrany;</w:t>
      </w:r>
    </w:p>
    <w:p w14:paraId="4811A28D" w14:textId="3363A57C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AB.</w:t>
      </w:r>
      <w:r w:rsidRPr="00525EFB">
        <w:rPr>
          <w:szCs w:val="24"/>
        </w:rPr>
        <w:tab/>
        <w:t xml:space="preserve">vzhledem k tomu, že tragédie v dole </w:t>
      </w:r>
      <w:proofErr w:type="spellStart"/>
      <w:r w:rsidRPr="00525EFB">
        <w:rPr>
          <w:szCs w:val="24"/>
        </w:rPr>
        <w:t>Bois</w:t>
      </w:r>
      <w:proofErr w:type="spellEnd"/>
      <w:r w:rsidRPr="00525EFB">
        <w:rPr>
          <w:szCs w:val="24"/>
        </w:rPr>
        <w:t xml:space="preserve"> </w:t>
      </w:r>
      <w:proofErr w:type="spellStart"/>
      <w:r w:rsidRPr="00525EFB">
        <w:rPr>
          <w:szCs w:val="24"/>
        </w:rPr>
        <w:t>du</w:t>
      </w:r>
      <w:proofErr w:type="spellEnd"/>
      <w:r w:rsidRPr="00525EFB">
        <w:rPr>
          <w:szCs w:val="24"/>
        </w:rPr>
        <w:t xml:space="preserve"> </w:t>
      </w:r>
      <w:proofErr w:type="spellStart"/>
      <w:r w:rsidRPr="00525EFB">
        <w:rPr>
          <w:szCs w:val="24"/>
        </w:rPr>
        <w:t>Cazier</w:t>
      </w:r>
      <w:proofErr w:type="spellEnd"/>
      <w:r w:rsidRPr="00525EFB">
        <w:rPr>
          <w:szCs w:val="24"/>
        </w:rPr>
        <w:t xml:space="preserve"> v </w:t>
      </w:r>
      <w:proofErr w:type="spellStart"/>
      <w:r w:rsidRPr="00525EFB">
        <w:rPr>
          <w:szCs w:val="24"/>
        </w:rPr>
        <w:t>Marcinelle</w:t>
      </w:r>
      <w:proofErr w:type="spellEnd"/>
      <w:r w:rsidRPr="00525EFB">
        <w:rPr>
          <w:szCs w:val="24"/>
        </w:rPr>
        <w:t>, k níž došlo dne 8.</w:t>
      </w:r>
      <w:r w:rsidR="00525EFB" w:rsidRPr="00525EFB">
        <w:rPr>
          <w:szCs w:val="24"/>
        </w:rPr>
        <w:t> </w:t>
      </w:r>
      <w:r w:rsidRPr="00525EFB">
        <w:rPr>
          <w:szCs w:val="24"/>
        </w:rPr>
        <w:t>srpna 1956 a která si vyžádala život 262 horníků, z nichž mnozí byli občany států, které jsou dnes součástí Evropské unie, je trvalým symbolem boje za důstojnou práci, solidaritu a sociální spravedlnost v Evropě;</w:t>
      </w:r>
    </w:p>
    <w:p w14:paraId="6795C553" w14:textId="77777777" w:rsidR="00276420" w:rsidRPr="00525EFB" w:rsidRDefault="00276420" w:rsidP="00525EFB">
      <w:pPr>
        <w:pStyle w:val="NormalHanging12a"/>
        <w:rPr>
          <w:i/>
          <w:iCs/>
          <w:szCs w:val="24"/>
        </w:rPr>
      </w:pPr>
      <w:r w:rsidRPr="00525EFB">
        <w:rPr>
          <w:szCs w:val="24"/>
        </w:rPr>
        <w:t>AC.</w:t>
      </w:r>
      <w:r w:rsidRPr="00525EFB">
        <w:rPr>
          <w:szCs w:val="24"/>
        </w:rPr>
        <w:tab/>
        <w:t xml:space="preserve">vzhledem k tomu, že v důsledku vysokého počtu evropských národností mezi oběťmi byla tragédie v </w:t>
      </w:r>
      <w:proofErr w:type="spellStart"/>
      <w:r w:rsidRPr="00525EFB">
        <w:rPr>
          <w:szCs w:val="24"/>
        </w:rPr>
        <w:t>Marcinelle</w:t>
      </w:r>
      <w:proofErr w:type="spellEnd"/>
      <w:r w:rsidRPr="00525EFB">
        <w:rPr>
          <w:szCs w:val="24"/>
        </w:rPr>
        <w:t xml:space="preserve"> prvním neštěstím, které bylo v Evropě vnímáno kolektivně a na základě kterého se již tehdy vytvořila představa jednotného společenství, které bude společně řešit klíčové otázky, jako je práce, bezpečnost, spravedlnost a důstojnost;</w:t>
      </w:r>
    </w:p>
    <w:p w14:paraId="77BFF3A4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AD.</w:t>
      </w:r>
      <w:r w:rsidRPr="00525EFB">
        <w:rPr>
          <w:szCs w:val="24"/>
        </w:rPr>
        <w:tab/>
        <w:t xml:space="preserve">vzhledem k tomu, že připomínání si událostí v </w:t>
      </w:r>
      <w:proofErr w:type="spellStart"/>
      <w:r w:rsidRPr="00525EFB">
        <w:rPr>
          <w:szCs w:val="24"/>
        </w:rPr>
        <w:t>Marcinelle</w:t>
      </w:r>
      <w:proofErr w:type="spellEnd"/>
      <w:r w:rsidRPr="00525EFB">
        <w:rPr>
          <w:szCs w:val="24"/>
        </w:rPr>
        <w:t xml:space="preserve"> udržuje povědomí o základní hodnotě volného pohybu pracovníků, jejich právech a jejich bezpečnosti, což jsou priority pro účinnou a konkurenceschopnou sociální Evropu;</w:t>
      </w:r>
    </w:p>
    <w:p w14:paraId="19F2C966" w14:textId="10D06822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lastRenderedPageBreak/>
        <w:t>AE.</w:t>
      </w:r>
      <w:r w:rsidRPr="00525EFB">
        <w:rPr>
          <w:szCs w:val="24"/>
        </w:rPr>
        <w:tab/>
        <w:t xml:space="preserve">vzhledem k tomu, že i další historické tragédie spojené s prací, včetně požáru v dole Marie, k němuž došlo dne 31. května 1892, neštěstí v dole v </w:t>
      </w:r>
      <w:proofErr w:type="spellStart"/>
      <w:r w:rsidRPr="00525EFB">
        <w:rPr>
          <w:szCs w:val="24"/>
        </w:rPr>
        <w:t>Courrières</w:t>
      </w:r>
      <w:proofErr w:type="spellEnd"/>
      <w:r w:rsidRPr="00525EFB">
        <w:rPr>
          <w:szCs w:val="24"/>
        </w:rPr>
        <w:t xml:space="preserve"> ze dne 10.</w:t>
      </w:r>
      <w:r w:rsidR="00525EFB" w:rsidRPr="00525EFB">
        <w:rPr>
          <w:szCs w:val="24"/>
        </w:rPr>
        <w:t> </w:t>
      </w:r>
      <w:r w:rsidRPr="00525EFB">
        <w:rPr>
          <w:szCs w:val="24"/>
        </w:rPr>
        <w:t xml:space="preserve">března 1906, neštěstí v dole v </w:t>
      </w:r>
      <w:proofErr w:type="spellStart"/>
      <w:r w:rsidRPr="00525EFB">
        <w:rPr>
          <w:szCs w:val="24"/>
        </w:rPr>
        <w:t>Luisenthalu</w:t>
      </w:r>
      <w:proofErr w:type="spellEnd"/>
      <w:r w:rsidRPr="00525EFB">
        <w:rPr>
          <w:szCs w:val="24"/>
        </w:rPr>
        <w:t xml:space="preserve"> ze dne 7. února 1962, neštěstí v dole v </w:t>
      </w:r>
      <w:proofErr w:type="spellStart"/>
      <w:r w:rsidRPr="00525EFB">
        <w:rPr>
          <w:szCs w:val="24"/>
        </w:rPr>
        <w:t>Aliveri</w:t>
      </w:r>
      <w:proofErr w:type="spellEnd"/>
      <w:r w:rsidRPr="00525EFB">
        <w:rPr>
          <w:szCs w:val="24"/>
        </w:rPr>
        <w:t xml:space="preserve"> v roce 1968, výbuchu v továrně na náboje v </w:t>
      </w:r>
      <w:proofErr w:type="spellStart"/>
      <w:r w:rsidRPr="00525EFB">
        <w:rPr>
          <w:szCs w:val="24"/>
        </w:rPr>
        <w:t>Lapua</w:t>
      </w:r>
      <w:proofErr w:type="spellEnd"/>
      <w:r w:rsidRPr="00525EFB">
        <w:rPr>
          <w:szCs w:val="24"/>
        </w:rPr>
        <w:t xml:space="preserve"> ve Finsku v roce 1976 a smrtelného výbuchu a požáru v továrně </w:t>
      </w:r>
      <w:proofErr w:type="spellStart"/>
      <w:r w:rsidRPr="00525EFB">
        <w:rPr>
          <w:szCs w:val="24"/>
        </w:rPr>
        <w:t>Violanta</w:t>
      </w:r>
      <w:proofErr w:type="spellEnd"/>
      <w:r w:rsidRPr="00525EFB">
        <w:rPr>
          <w:szCs w:val="24"/>
        </w:rPr>
        <w:t xml:space="preserve"> v Řecku v lednu 2026, jsou hluboce zakořeněny ve společné paměti několika členských států a jsou i nadále připomínkou toho, že je naléhavě nutné přijímat účinná opatření pro prevenci a ochranu pracovníků;</w:t>
      </w:r>
    </w:p>
    <w:p w14:paraId="12251A69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1.</w:t>
      </w:r>
      <w:r w:rsidRPr="00525EFB">
        <w:rPr>
          <w:szCs w:val="24"/>
        </w:rPr>
        <w:tab/>
        <w:t xml:space="preserve">vyzývá k vyhlášení Evropského dne památky obětí pracovních úrazů a ochrany a důstojnosti pracovníků, který by každoročně připadal na 8. srpna a při němž by se připomínalo neštěstí v dole </w:t>
      </w:r>
      <w:proofErr w:type="spellStart"/>
      <w:r w:rsidRPr="00525EFB">
        <w:rPr>
          <w:szCs w:val="24"/>
        </w:rPr>
        <w:t>Bois</w:t>
      </w:r>
      <w:proofErr w:type="spellEnd"/>
      <w:r w:rsidRPr="00525EFB">
        <w:rPr>
          <w:szCs w:val="24"/>
        </w:rPr>
        <w:t xml:space="preserve"> </w:t>
      </w:r>
      <w:proofErr w:type="spellStart"/>
      <w:r w:rsidRPr="00525EFB">
        <w:rPr>
          <w:szCs w:val="24"/>
        </w:rPr>
        <w:t>du</w:t>
      </w:r>
      <w:proofErr w:type="spellEnd"/>
      <w:r w:rsidRPr="00525EFB">
        <w:rPr>
          <w:szCs w:val="24"/>
        </w:rPr>
        <w:t xml:space="preserve"> </w:t>
      </w:r>
      <w:proofErr w:type="spellStart"/>
      <w:r w:rsidRPr="00525EFB">
        <w:rPr>
          <w:szCs w:val="24"/>
        </w:rPr>
        <w:t>Cazier</w:t>
      </w:r>
      <w:proofErr w:type="spellEnd"/>
      <w:r w:rsidRPr="00525EFB">
        <w:rPr>
          <w:szCs w:val="24"/>
        </w:rPr>
        <w:t xml:space="preserve"> v </w:t>
      </w:r>
      <w:proofErr w:type="spellStart"/>
      <w:r w:rsidRPr="00525EFB">
        <w:rPr>
          <w:szCs w:val="24"/>
        </w:rPr>
        <w:t>Marcinelle</w:t>
      </w:r>
      <w:proofErr w:type="spellEnd"/>
      <w:r w:rsidRPr="00525EFB">
        <w:rPr>
          <w:szCs w:val="24"/>
        </w:rPr>
        <w:t>, které vzhledem ke své evropské povaze – související s tím, že při něm zahynuli pracovníci z několika států, které jsou nyní součástí EU – představuje společný symbol boje za důstojnou práci a potřeby společně chránit zdraví a bezpečnost při práci;</w:t>
      </w:r>
    </w:p>
    <w:p w14:paraId="3472E525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2.</w:t>
      </w:r>
      <w:r w:rsidRPr="00525EFB">
        <w:rPr>
          <w:szCs w:val="24"/>
        </w:rPr>
        <w:tab/>
        <w:t>poukazuje na to, že tento evropský den by měl sloužit k uctění památky obětí pracovních úrazů a nemocí z povolání a zvýšení povědomí široké veřejnosti, podniků a institucí o významu prevence, bezpečnosti a důstojných pracovních podmínek; připomíná však, že zvyšování povědomí by mělo být spojeno s aktuálními zdravotními a bezpečnostními riziky, čímž by se skutečně přispělo k prevenci úmrtí, úrazů a nemocí na pracovištích; zdůrazňuje, že tento evropský den může přispět k posílení závazku EU a členských států k přístupu „vize nula“, zejména podporou prevence na pracovišti, prosazování bezpečné a důstojné práce, odborné přípravy, zvyšování povědomí o nových rizicích, sociálního dialogu a účinného vymáhání stávajících právních předpisů, jakož i k pokroku v opatřeních EU zaměřených na řešení psychosociálních rizik, muskuloskeletálních poruch a zdravotních rizik při práci spojených s extrémními povětrnostními jevy ve všech odvětvích a podnicích všech velikostí; je toho názoru, že tento evropský den by rovněž představoval každoroční příležitost k posouzení pokroku při plnění cíle „vize nula“, ke zjištění nedostatků v prevenci a prosazování, k posílení politické odpovědnosti na vnitrostátní i unijní úrovni a k opětovnému potvrzení nutnosti účinných kontrol;</w:t>
      </w:r>
    </w:p>
    <w:p w14:paraId="36CD7C5B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3.</w:t>
      </w:r>
      <w:r w:rsidRPr="00525EFB">
        <w:rPr>
          <w:szCs w:val="24"/>
        </w:rPr>
        <w:tab/>
        <w:t>zdůrazňuje, že tento evropský den, který by doplnil Světový den bezpečnosti a ochrany zdraví při práci Mezinárodní organizace práce (MOP) dne 28. dubna, by měl prosazovat konkrétní iniciativy ve školách, na pracovištích a v institucích, včetně osvětových kampaní, vzdělávacích programů a výměny osvědčených postupů v oblasti prevence, a tím posílit kulturu bezpečnosti napříč generacemi a odvětvími;</w:t>
      </w:r>
    </w:p>
    <w:p w14:paraId="04288694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4.</w:t>
      </w:r>
      <w:r w:rsidRPr="00525EFB">
        <w:rPr>
          <w:szCs w:val="24"/>
        </w:rPr>
        <w:tab/>
        <w:t>zdůrazňuje, že tento evropský den by měl přispět k posílení závazku EU a členských států k plnění cíle systematického a trvalého odstraňování pracovních úrazů, nemocí z povolání a úmrtí v souvislosti s prací v souladu s přístupem „vize nula“, zejména podporou prevence, prosazování bezpečné a důstojné práce, odborné přípravy, zvyšování povědomí o nových rizicích, sociálního dialogu a účinného uplatňování stávajících právních předpisů;</w:t>
      </w:r>
    </w:p>
    <w:p w14:paraId="21BF953D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5.</w:t>
      </w:r>
      <w:r w:rsidRPr="00525EFB">
        <w:rPr>
          <w:szCs w:val="24"/>
        </w:rPr>
        <w:tab/>
        <w:t>zdůrazňuje, že je důležité posílit práva pracovníků na informace, konzultace a účast prostřednictvím volby zástupců pro bezpečnost a ochranu zdraví při práci a přijímání kolektivních smluv;</w:t>
      </w:r>
    </w:p>
    <w:p w14:paraId="4DCD04D9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6.</w:t>
      </w:r>
      <w:r w:rsidRPr="00525EFB">
        <w:rPr>
          <w:szCs w:val="24"/>
        </w:rPr>
        <w:tab/>
        <w:t xml:space="preserve">zdůrazňuje, že dosažení cíle nulového počtu úmrtí souvisejících s prací vyžaduje úzkou spolupráci mezi členskými státy, zaměstnavateli, sociálními partnery, inspektoráty </w:t>
      </w:r>
      <w:r w:rsidRPr="00525EFB">
        <w:rPr>
          <w:szCs w:val="24"/>
        </w:rPr>
        <w:lastRenderedPageBreak/>
        <w:t>práce, výzkumnými institucemi a agenturami EU; vyzývá k posílení výměny osvědčených postupů, údajů a metodik prevence s podporou Evropské agentury pro bezpečnost a ochranu zdraví při práci (EU-OSHA);</w:t>
      </w:r>
    </w:p>
    <w:p w14:paraId="4D3FE1CE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7.</w:t>
      </w:r>
      <w:r w:rsidRPr="00525EFB">
        <w:rPr>
          <w:szCs w:val="24"/>
        </w:rPr>
        <w:tab/>
        <w:t>vyzývá Komisi, aby posoudila a řešila rizika v oblasti bezpečnosti a ochrany zdraví při práci spojená s umělou inteligencí a systémy algoritmického řízení, včetně intenzifikace práce, psychosociální zátěže, nepřiměřeného dohledu a stírání hranic pracovní doby; vyzývá Komisi a členské státy, aby uznaly a řešily nová rizika úmrtí a vážných úrazů spojená s novými formami zaměstnání, včetně práce prostřednictvím platforem a algoritmicky řízené práce; zdůrazňuje, že pracovníci zaměstnaní prostřednictvím digitálních pracovních platforem a pracovníci, jejichž úkoly, tempo a výkonnost jsou řízeny nebo hodnoceny nástroji založenými na umělé inteligenci, mohou čelit zvýšeným rizikům v oblasti bezpečnosti a ochrany zdraví při práci v důsledku intenzivnějšího pracovního rytmu, nepatřičného monitorování, nedostatečné transparentnosti algoritmického rozhodování, mimo jiné s ohledem na identifikovatelné kontaktní osoby a nevhodné nebo nedostatečné informace či odbornou přípravu; zdůrazňuje, že zavádění těchto technologií má být podmíněno náležitým posouzením rizik, transparentním informováním pracovníků a konzultacemi s nimi a musí se na ně vztahovat smysluplný lidský dohled v souladu s právními předpisy v oblasti bezpečnosti a ochrany zdraví při práci;</w:t>
      </w:r>
    </w:p>
    <w:p w14:paraId="26C68809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8.</w:t>
      </w:r>
      <w:r w:rsidRPr="00525EFB">
        <w:rPr>
          <w:szCs w:val="24"/>
        </w:rPr>
        <w:tab/>
        <w:t>vyzývá Komisi, aby komplexně posoudila a předvídala rizika v oblasti bezpečnosti a ochrany zdraví při práci vyplývající z faktorů souvisejících s klimatem, včetně tepelného stresu, extrémních povětrnostních jevů, znečištění ovzduší, zvýšené expozice nebezpečným látkám během projektů renovace a modernizace infrastruktury a vzniku nových biologických rizik; požaduje posílení preventivních opatření na základě tohoto posouzení s cílem posílit odolnost a připravenost v rámci vnitrostátních systémů bezpečnosti a ochrany zdraví při práci, mimo jiné prostřednictvím mechanismů včasného varování a odvětvových pokynů pro riziková odvětví, jako je stavebnictví, zemědělství a doprava, jakož i pro další dotčená odvětví, včetně záchranných služeb; zdůrazňuje, že je třeba vybavit inspektoráty práce a zaměstnavatele praktickými pokyny na úrovni EU pro řízení práce v horku a dalších pracovních rizik souvisejících s klimatem;</w:t>
      </w:r>
    </w:p>
    <w:p w14:paraId="295D7FD6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9.</w:t>
      </w:r>
      <w:r w:rsidRPr="00525EFB">
        <w:rPr>
          <w:szCs w:val="24"/>
        </w:rPr>
        <w:tab/>
        <w:t>zdůrazňuje, že je třeba uznat dopady extrémního horka a změny klimatu jako hlavní rizikové faktory při práci, a vyzývá Komisi a členské státy, aby posílily preventivní, ochranná a přizpůsobivá opatření na pracovišti s cílem snížit počet pracovních úrazů, nemocí z povolání a úmrtí;</w:t>
      </w:r>
    </w:p>
    <w:p w14:paraId="02FE01EC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10.</w:t>
      </w:r>
      <w:r w:rsidRPr="00525EFB">
        <w:rPr>
          <w:szCs w:val="24"/>
        </w:rPr>
        <w:tab/>
        <w:t xml:space="preserve">vyzývá Komisi, Radu, občanskou společnost a sociální partnery, aby podpořili zavedení a připomínání si tohoto evropského dne jakožto občanského závazku, který spojuje instituce, podniky a občany, mimo jiné prostřednictvím poskytování informací, zvyšování povědomí a poskytování praktických preventivních nástrojů uzpůsobených pro malé a střední podniky a zranitelné pracovníky a prostřednictvím výměny osvědčených postupů v oblasti bezpečnosti a ochrany zdraví při práci; zdůrazňuje, že tyto iniciativy by se měly konkrétně zabývat psychosociálními riziky, riziky spojenými s horkem a extrémními pracovními teplotami, riziky spojenými se subdodavatelskými řetězci a nestandardními formami práce a problémy, které se týkají vyslaných, sezónních a jiných přeshraničních pracovníků, což zajistí dodržování zásady rovného zacházení a účinné uplatňování předpisů hostitelské země v oblasti bezpečnosti a ochrany zdraví při práci a sociální ochrany; připomíná, že nadměrně dlouhá pracovní </w:t>
      </w:r>
      <w:r w:rsidRPr="00525EFB">
        <w:rPr>
          <w:szCs w:val="24"/>
        </w:rPr>
        <w:lastRenderedPageBreak/>
        <w:t>doba často vede k únavě a zvyšuje riziko smrtelných pracovních úrazů;</w:t>
      </w:r>
    </w:p>
    <w:p w14:paraId="659C71A8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11.</w:t>
      </w:r>
      <w:r w:rsidRPr="00525EFB">
        <w:rPr>
          <w:szCs w:val="24"/>
        </w:rPr>
        <w:tab/>
        <w:t>vybízí členské státy, aby zvyšovaly povědomí zaměstnavatelů a pracovníků o jejich odpovědnosti za zajištění vlastní bezpečnosti i bezpečnosti ostatních, odborné přípravy v oblasti první pomoci pro všechny zaměstnance, zejména v odvětvích s vyššími pracovními riziky, a aby zajistily, aby tato odborná příprava byla pravidelně aktualizována, široce přístupná a začleněna do politiky v oblasti bezpečnosti na pracovišti; zdůrazňuje, že zaměstnavatelé nesou primární odpovědnost za zajištění zdraví a bezpečnosti pracovníků, a to i prostřednictvím hodnocení rizik, preventivních opatření, poskytování osobních ochranných prostředků, služeb v oblasti ochrany zdraví při práci, účinného provádění právních předpisů v oblasti bezpečnosti práce, a poskytování odpovídajících informací, pokynů a odborné přípravy zaměstnancům; zdůrazňuje odpovědnost zaměstnavatelů za zajištění skutečného zapojení zaměstnanců a jejich zástupců do vypracování postupů v oblasti bezpečnosti a ochrany zdraví při práci, posuzování rizik a nebezpečí, plánování a monitorování opatření a provádění preventivní činnosti;</w:t>
      </w:r>
    </w:p>
    <w:p w14:paraId="3DC11958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12.</w:t>
      </w:r>
      <w:r w:rsidRPr="00525EFB">
        <w:rPr>
          <w:szCs w:val="24"/>
        </w:rPr>
        <w:tab/>
        <w:t>připomíná, že na mnoha pracovištích se stále větším problémem stává násilí, zejména v odvětví služeb a zdravotní péče a vůči pracovníkům záchranných služeb; trvá na nutnosti přijmout opatření k prosazování přístupu nulové tolerance k šikaně, obtěžování a dalším formám násilí na pracovišti, a to prostřednictvím zlepšení a podpory organizačních a legislativních podpůrných struktur a prostřednictvím lepších systémů hlášení incidentů;</w:t>
      </w:r>
    </w:p>
    <w:p w14:paraId="33F6113F" w14:textId="77777777" w:rsidR="00276420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13.</w:t>
      </w:r>
      <w:r w:rsidRPr="00525EFB">
        <w:rPr>
          <w:szCs w:val="24"/>
        </w:rPr>
        <w:tab/>
        <w:t>vyzývá Komisi a agenturu EU-OSHA, aby využily evropský den jako příležitost k šíření aktuálních údajů, srovnávacích analýz a fakticky podložených pokynů v oblasti bezpečnosti a ochrany zdraví při práci se zvláštním zaměřením na psychosociální rizika, nestandardní formy práce, mikropodniky a malé podniky a nejzranitelnější skupiny pracovníků; dále vyzývá Komisi a agenturu EU-OSHA, aby zveřejnily přehled nemocí z povolání a smrtelných pracovních úrazů v celé EU a v jednotlivých zemích, včetně ukazatelů prevence a kontrol (včetně inspekcí práce), a tím lépe usměrnily veřejné politiky a posílily odpovědnost; dále zdůrazňuje, že je důležité systematicky sledovat a analyzovat trendy v oblasti pracovních podmínek, psychosociálních rizik, kapacit inspekce práce a dodržování norem v oblasti bezpečnosti a ochrany zdraví při práci ve všech členských státech, a to s cílem posílit prevenci, transparentnost a vzestupnou konvergenci pracovních podmínek v celé EU;</w:t>
      </w:r>
    </w:p>
    <w:p w14:paraId="02007448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14.</w:t>
      </w:r>
      <w:r w:rsidRPr="00525EFB">
        <w:rPr>
          <w:szCs w:val="24"/>
        </w:rPr>
        <w:tab/>
        <w:t>vyzývá Komisi, aby ve spolupráci s </w:t>
      </w:r>
      <w:proofErr w:type="spellStart"/>
      <w:r w:rsidRPr="00525EFB">
        <w:rPr>
          <w:szCs w:val="24"/>
        </w:rPr>
        <w:t>Eurostatem</w:t>
      </w:r>
      <w:proofErr w:type="spellEnd"/>
      <w:r w:rsidRPr="00525EFB">
        <w:rPr>
          <w:szCs w:val="24"/>
        </w:rPr>
        <w:t xml:space="preserve"> a členskými státy zlepšila shromažďování, harmonizaci a transparentnost údajů o pracovních úrazech a nemocech z povolání, včetně psychosociálních rizik a nemocí s dlouhou dobou latence, a aby se zabývala nedostatečným oznamováním;</w:t>
      </w:r>
    </w:p>
    <w:p w14:paraId="6679B230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15.</w:t>
      </w:r>
      <w:r w:rsidRPr="00525EFB">
        <w:rPr>
          <w:szCs w:val="24"/>
        </w:rPr>
        <w:tab/>
        <w:t>vyzývá Komisi a členské státy, aby zajistily, že odpovědnost za dodržování právních předpisů v oblasti bezpečnosti a ochrany zdraví při práci bude jasně zakotvena na úrovni vedení a široce začleněna do organizace, mimo jiné prostřednictvím účinných plánů prevence a účasti pracovníků; zdůrazňuje, že provádění posouzení rizik samo o sobě přispívá ke snížení počtu nehod;</w:t>
      </w:r>
    </w:p>
    <w:p w14:paraId="65B5D8F1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16.</w:t>
      </w:r>
      <w:r w:rsidRPr="00525EFB">
        <w:rPr>
          <w:szCs w:val="24"/>
        </w:rPr>
        <w:tab/>
        <w:t xml:space="preserve">zdůrazňuje význam regulačních inspekcí v oblasti bezpečnosti a ochrany zdraví při práci, které pomáhají dosáhnout bezpečných a zdravých pracovišť, a zároveň uznává, že jejich dosah může být omezený; vyzývá členské státy, aby zvýšily počty stálých </w:t>
      </w:r>
      <w:r w:rsidRPr="00525EFB">
        <w:rPr>
          <w:szCs w:val="24"/>
        </w:rPr>
        <w:lastRenderedPageBreak/>
        <w:t>zaměstnanců inspektorátů práce, poskytly jim odpovídající zdroje a posílily jejich institucionální nezávislost s cílem zajistit účinné provádění právních předpisů v oblasti bezpečnosti a ochrany zdraví při práci a reagovat na transformaci světa práce;</w:t>
      </w:r>
    </w:p>
    <w:p w14:paraId="0C508FEA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17.</w:t>
      </w:r>
      <w:r w:rsidRPr="00525EFB">
        <w:rPr>
          <w:szCs w:val="24"/>
        </w:rPr>
        <w:tab/>
        <w:t>vyzývá Komisi a členské státy, aby posílily prosazování právních předpisů v oblasti bezpečnosti a ochrany zdraví při práci, včetně zajištění odpovídajících zdrojů pro inspektoráty práce, zlepšení přeshraniční spolupráce a zajištění účinného dodržování, a to zejména v případech, kdy závažná nedbalost vede k závažným zraněním nebo k úmrtí; domnívá se, že aby byla pravidla bezpečnosti a ochrany zdraví při práci důvěryhodná a účinná, musí být dostatečně odrazující a přiměřená;</w:t>
      </w:r>
    </w:p>
    <w:p w14:paraId="09ADA8E0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18.</w:t>
      </w:r>
      <w:r w:rsidRPr="00525EFB">
        <w:rPr>
          <w:szCs w:val="24"/>
        </w:rPr>
        <w:tab/>
        <w:t>vítá hodnotící zprávu Komise o Evropském orgánu pro pracovní záležitosti (ELA) a uznává jeho úlohu při účinném prosazování pracovního práva EU a pravidel bezpečnosti a ochrany zdraví při práci, zejména v přeshraničním kontextu a ve vysoce rizikových odvětvích, a znovu vyzývá Komisi, aby posílila mandát orgánu ELA s cílem zlepšit prosazování pracovního práva EU a bezpečnosti a ochrany zdraví při práci; zdůrazňuje, že je důležité zajistit konkrétní přidanou hodnotu na podporu vnitrostátních donucovacích orgánů, a to i prostřednictvím posílení koordinovaných a společných inspekcí práce a možnosti účinněji přispívat k odhalování a potírání porušování předpisů; zdůrazňuje, že je třeba podporovat větší sladění a zjednodušení pravidel mobility pracovních sil a souvisejících kontrolních postupů, mimo jiné prostřednictvím jednotnějších pravidel a účinnější výměny informací v souladu s pokyny orgánu ELA;</w:t>
      </w:r>
    </w:p>
    <w:p w14:paraId="66345AEF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19.</w:t>
      </w:r>
      <w:r w:rsidRPr="00525EFB">
        <w:rPr>
          <w:szCs w:val="24"/>
        </w:rPr>
        <w:tab/>
        <w:t>vyzývá Komisi, aby na základě priorit stávajícího strategického rámce EU pro bezpečnost a ochranu zdraví při práci na období 2021–2027 a zkušeností s ním získaných definovala nový strategický rámec v rámci Plánu pro kvalitní pracovní místa na období 2028–2034; zdůrazňuje, že tento nový strategický rámec by měl být jasný, měřitelný a časově omezený, měl by stanovit jasné a nové požadavky a měl by být zaměřen na snížení počtu pracovních úrazů a smrtelných pracovních úrazů, dokončení přechodu k nulovému počtu smrtelných pracovních úrazů, posílení ochrany pracovníků, zejména ve vysoce rizikových odvětvích a u zranitelných skupin, řešení nových pracovních rizik, včetně rizik vyplývajících z nových forem práce, digitalizace a psychosociálních rizik, a zajištění přizpůsobení pracovních podmínek extrémním teplotám;</w:t>
      </w:r>
    </w:p>
    <w:p w14:paraId="0191808F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20.</w:t>
      </w:r>
      <w:r w:rsidRPr="00525EFB">
        <w:rPr>
          <w:szCs w:val="24"/>
        </w:rPr>
        <w:tab/>
        <w:t>vítá směrnice, jejichž cílem je snížit rizika expozice karcinogenům a dalších potenciálně smrtelných nemocí z povolání; konstatuje, že prevence smrtelných nemocí z povolání vyžaduje rozvoj odborných znalostí souvisejících s expozicí, a to jak na pracovištích, tak ve službách pracovního lékařství; připomíná, že je důležité zajistit na pracovištích odpovídající zdroje pro identifikaci rizik expozice a jejich prevenci, a to ve spolupráci se službami ochrany zdraví při práci, které mohou poskytovat poradenství ohledně vhodných opatření v oblasti bezpečnosti a ochrany zdraví při práci; má za to, že pracovníci, kterým hrozí expozice látkám způsobujícím závažné nemoci z povolání, by měli mít přístup ke službám v oblasti ochrany zdraví při práci a k pravidelným zdravotním kontrolám za účelem monitorování potenciální expozice; zdůrazňuje, že jakákoli komplexní strategie pro snížení počtu úmrtí při práci se musí výslovně zabývat rakovinou z povolání jako tichou, ale hlavní příčinou úmrtí v souvislosti s prací, včetně nemocí s dlouhou dobou latence v důsledku dlouhodobé expozice karcinogenům na pracovišti; zdůrazňuje, že je třeba zlepšit shromažďování údajů na úrovni EU o nádorových onemocněních z povolání, aby plně odrážely skutečný rozsah úmrtí souvisejících s prací;</w:t>
      </w:r>
    </w:p>
    <w:p w14:paraId="45FD997C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lastRenderedPageBreak/>
        <w:t>21.</w:t>
      </w:r>
      <w:r w:rsidRPr="00525EFB">
        <w:rPr>
          <w:szCs w:val="24"/>
        </w:rPr>
        <w:tab/>
        <w:t xml:space="preserve">je znepokojen tím, že vyslaní pracovníci, migrující pracovníci a pracovníci v subdodavatelských řetězcích jsou vystaveni nepřiměřeným rizikům v oblasti bezpečnosti a ochrany zdraví při práci, včetně rizika smrtelných úrazů, v důsledku roztříštěných řetězců odpovědnosti, nedostatečné koordinace a rozmělněné odpovědnosti, zejména v rizikových odvětvích, jako je stavebnictví; vyzývá Komisi, aby posoudila, zda stávající </w:t>
      </w:r>
      <w:proofErr w:type="spellStart"/>
      <w:r w:rsidRPr="00525EFB">
        <w:rPr>
          <w:i/>
          <w:iCs/>
          <w:szCs w:val="24"/>
        </w:rPr>
        <w:t>acquis</w:t>
      </w:r>
      <w:proofErr w:type="spellEnd"/>
      <w:r w:rsidRPr="00525EFB">
        <w:rPr>
          <w:szCs w:val="24"/>
        </w:rPr>
        <w:t xml:space="preserve"> v oblasti bezpečnosti a ochrany zdraví při práci dostatečně zaručuje účinné provádění minimálních požadavků na bezpečnost a ochranu zdraví ve všech subdodavatelských řetězcích, a aby v případě zjištění nedostatků navrhla legislativní opatření;</w:t>
      </w:r>
    </w:p>
    <w:p w14:paraId="2CF5F1FB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22.</w:t>
      </w:r>
      <w:r w:rsidRPr="00525EFB">
        <w:rPr>
          <w:szCs w:val="24"/>
        </w:rPr>
        <w:tab/>
        <w:t>vyzývá členské státy, aby podporovaly kulturu bezpečnosti a ochrany zdraví při práci, zejména u mladých pracovníků, a to kombinací vzdělávání a praktických zkušeností; má za to, že vzdělávací instituce by měly poskytovat obecné informace a odbornou přípravu v oblasti zdraví a bezpečnosti, zatímco zaměstnavatelé by měli zajistit odbornou přípravu zaměřenou na konkrétní pracovní místo, zejména během učňovské přípravy a stáží;</w:t>
      </w:r>
    </w:p>
    <w:p w14:paraId="7250F782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23.</w:t>
      </w:r>
      <w:r w:rsidRPr="00525EFB">
        <w:rPr>
          <w:szCs w:val="24"/>
        </w:rPr>
        <w:tab/>
        <w:t>vybízí členské státy, aby vytvořily podpůrné rámce usnadňující zaměstnávání dobrovolných hasičů, přičemž uznává hodnotu dovedností, které získají, zejména v oblasti první pomoci, prevence rizik, hašení požárů, používání hasičského vybavení a organizace evakuace a zlepšení bezpečnosti na pracovišti, prevence pracovních úrazů a snížení závažnosti těchto úrazů při čekání na příjezd záchranných služeb;</w:t>
      </w:r>
    </w:p>
    <w:p w14:paraId="27342173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24.</w:t>
      </w:r>
      <w:r w:rsidRPr="00525EFB">
        <w:rPr>
          <w:szCs w:val="24"/>
        </w:rPr>
        <w:tab/>
        <w:t>zdůrazňuje, že mikropodniky a malé a střední podniky mají často omezenou administrativní kapacitu, finanční zdroje a specializované odborné znalosti; vyzývá ke komplexním a cíleným podpůrným opatřením, která jim pomohou účinně identifikovat pracovní rizika, nemoci z povolání a úmrtí související s prací, předcházet jim a řídit je, mimo jiné prostřednictvím zjednodušených a uživatelsky vstřícných nástrojů pro posuzování rizik, odvětvových pokynů, programů praktické prevence a dostupné odborné přípravy a k podpoře při dodržování povinností v oblasti bezpečnosti a ochrany zdraví při práci;</w:t>
      </w:r>
    </w:p>
    <w:p w14:paraId="15F40FEC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25.</w:t>
      </w:r>
      <w:r w:rsidRPr="00525EFB">
        <w:rPr>
          <w:szCs w:val="24"/>
        </w:rPr>
        <w:tab/>
        <w:t>žádá Komisi, aby ve spolupráci s členskými státy a sociálními partnery posílila pokyny EU týkající se podpory obětem pracovních úrazů a nemocí z povolání a jejich rodin; dále vyzývá Komisi, aby posoudila možnost vypracovat doporučení zaměřená na prosazování přiměřené podpory a mechanismů odškodnění obětí a jejich rodin a podpořila sbližování ochrany v celé EU;</w:t>
      </w:r>
    </w:p>
    <w:p w14:paraId="4F138DBA" w14:textId="77777777" w:rsidR="00276420" w:rsidRPr="00525EFB" w:rsidRDefault="00276420" w:rsidP="00525EFB">
      <w:pPr>
        <w:pStyle w:val="NormalHanging12a"/>
        <w:rPr>
          <w:bCs/>
          <w:iCs/>
          <w:szCs w:val="24"/>
        </w:rPr>
      </w:pPr>
      <w:r w:rsidRPr="00525EFB">
        <w:rPr>
          <w:szCs w:val="24"/>
        </w:rPr>
        <w:t>26.</w:t>
      </w:r>
      <w:r w:rsidRPr="00525EFB">
        <w:rPr>
          <w:szCs w:val="24"/>
        </w:rPr>
        <w:tab/>
        <w:t>vyzývá členské státy, aby zajistily, že všichni pracovníci budou účinně využívat bezpečnosti a ochrany zdraví při práci v souladu s vnitrostátními systémy a postupy, včetně pracovníků platforem, státních příslušníků třetích zemí a pracovníků v cizích soukromých domácnostech; vyzývá členské státy a sociální partnery, aby prosazovali využívání inovativních řešení a osvědčených postupů k prevenci pracovních úrazů a nemocí z povolání, a to i prostřednictvím iniciativ, jako jsou ceny za správnou praxi agentury EU-OSHA v rámci kampaně Zdravé pracoviště, které představují účinné strategie a technologie, jež lze zavést ve všech odvětvích s cílem zlepšit bezpečnost a ochranu zdraví při práci;</w:t>
      </w:r>
    </w:p>
    <w:p w14:paraId="3C30ECDD" w14:textId="5782C6A3" w:rsidR="00CE3CEF" w:rsidRPr="00525EFB" w:rsidRDefault="00276420" w:rsidP="00525EFB">
      <w:pPr>
        <w:pStyle w:val="NormalHanging12a"/>
        <w:rPr>
          <w:szCs w:val="24"/>
        </w:rPr>
      </w:pPr>
      <w:r w:rsidRPr="00525EFB">
        <w:rPr>
          <w:szCs w:val="24"/>
        </w:rPr>
        <w:t>27.</w:t>
      </w:r>
      <w:r w:rsidRPr="00525EFB">
        <w:rPr>
          <w:szCs w:val="24"/>
        </w:rPr>
        <w:tab/>
        <w:t>pověřuje svou předsedkyni, aby předala toto usnesení Radě a Komisi.</w:t>
      </w:r>
      <w:bookmarkEnd w:id="7"/>
    </w:p>
    <w:p w14:paraId="12E038AA" w14:textId="6274EE0D" w:rsidR="00E365E1" w:rsidRPr="00525EFB" w:rsidRDefault="00E365E1" w:rsidP="001A52F6">
      <w:pPr>
        <w:spacing w:after="240"/>
        <w:ind w:left="567" w:hanging="567"/>
        <w:rPr>
          <w:szCs w:val="24"/>
        </w:rPr>
      </w:pPr>
    </w:p>
    <w:sectPr w:rsidR="00E365E1" w:rsidRPr="00525EFB" w:rsidSect="00CE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FA385" w14:textId="77777777" w:rsidR="00505EA7" w:rsidRPr="00CE3CEF" w:rsidRDefault="00505EA7">
      <w:r w:rsidRPr="00CE3CEF">
        <w:separator/>
      </w:r>
    </w:p>
  </w:endnote>
  <w:endnote w:type="continuationSeparator" w:id="0">
    <w:p w14:paraId="211EF8C8" w14:textId="77777777" w:rsidR="00505EA7" w:rsidRPr="00CE3CEF" w:rsidRDefault="00505EA7">
      <w:r w:rsidRPr="00CE3C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0B0E" w14:textId="77777777" w:rsidR="00064002" w:rsidRPr="00CE3C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6F370" w14:textId="77777777" w:rsidR="00064002" w:rsidRPr="00CE3C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CA12B" w14:textId="77777777" w:rsidR="00064002" w:rsidRPr="00CE3C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4E4B8" w14:textId="77777777" w:rsidR="00505EA7" w:rsidRPr="00CE3CEF" w:rsidRDefault="00505EA7">
      <w:r w:rsidRPr="00CE3CEF">
        <w:separator/>
      </w:r>
    </w:p>
  </w:footnote>
  <w:footnote w:type="continuationSeparator" w:id="0">
    <w:p w14:paraId="4A7F2C18" w14:textId="77777777" w:rsidR="00505EA7" w:rsidRPr="00CE3CEF" w:rsidRDefault="00505EA7">
      <w:r w:rsidRPr="00CE3CEF">
        <w:continuationSeparator/>
      </w:r>
    </w:p>
  </w:footnote>
  <w:footnote w:id="1">
    <w:p w14:paraId="64F4341D" w14:textId="72315A11" w:rsidR="00276420" w:rsidRPr="00CE3CEF" w:rsidRDefault="00276420" w:rsidP="00CE3CEF">
      <w:pPr>
        <w:pStyle w:val="FootnoteText"/>
        <w:ind w:left="567" w:hanging="567"/>
        <w:rPr>
          <w:sz w:val="24"/>
          <w:lang w:val="cs-CZ"/>
        </w:rPr>
      </w:pPr>
      <w:r w:rsidRPr="00CE3CEF">
        <w:rPr>
          <w:rStyle w:val="FootnoteReference"/>
          <w:sz w:val="24"/>
          <w:lang w:val="cs-CZ"/>
        </w:rPr>
        <w:footnoteRef/>
      </w:r>
      <w:r w:rsidR="00CE3CEF" w:rsidRPr="00CE3CEF">
        <w:rPr>
          <w:sz w:val="24"/>
          <w:lang w:val="cs-CZ"/>
        </w:rPr>
        <w:t xml:space="preserve"> </w:t>
      </w:r>
      <w:r w:rsidR="00CE3CEF" w:rsidRPr="00CE3CEF">
        <w:rPr>
          <w:sz w:val="24"/>
          <w:lang w:val="cs-CZ"/>
        </w:rPr>
        <w:tab/>
      </w:r>
      <w:proofErr w:type="spellStart"/>
      <w:r w:rsidRPr="00CE3CEF">
        <w:rPr>
          <w:sz w:val="24"/>
          <w:lang w:val="cs-CZ"/>
        </w:rPr>
        <w:t>Úř</w:t>
      </w:r>
      <w:proofErr w:type="spellEnd"/>
      <w:r w:rsidRPr="00CE3CEF">
        <w:rPr>
          <w:sz w:val="24"/>
          <w:lang w:val="cs-CZ"/>
        </w:rPr>
        <w:t xml:space="preserve">. </w:t>
      </w:r>
      <w:proofErr w:type="spellStart"/>
      <w:r w:rsidRPr="00CE3CEF">
        <w:rPr>
          <w:sz w:val="24"/>
          <w:lang w:val="cs-CZ"/>
        </w:rPr>
        <w:t>věst</w:t>
      </w:r>
      <w:proofErr w:type="spellEnd"/>
      <w:r w:rsidRPr="00CE3CEF">
        <w:rPr>
          <w:sz w:val="24"/>
          <w:lang w:val="cs-CZ"/>
        </w:rPr>
        <w:t>. L 183, 29.6.1989, s. 1, ELI: </w:t>
      </w:r>
      <w:hyperlink r:id="rId1" w:tooltip="Umožňuje přístup k dokumentu prostřednictvím identifikátoru ELI URI." w:history="1">
        <w:r w:rsidRPr="00CE3CEF">
          <w:rPr>
            <w:rStyle w:val="Hyperlink"/>
            <w:sz w:val="24"/>
            <w:lang w:val="cs-CZ"/>
          </w:rPr>
          <w:t>http://data.europa.eu/eli/dir/1989/391/oj</w:t>
        </w:r>
      </w:hyperlink>
      <w:r w:rsidRPr="00CE3CEF">
        <w:rPr>
          <w:sz w:val="24"/>
          <w:lang w:val="cs-CZ"/>
        </w:rPr>
        <w:t>.</w:t>
      </w:r>
    </w:p>
  </w:footnote>
  <w:footnote w:id="2">
    <w:p w14:paraId="07802524" w14:textId="7BC3AC1B" w:rsidR="00276420" w:rsidRPr="00CE3CEF" w:rsidRDefault="00276420" w:rsidP="00CE3CEF">
      <w:pPr>
        <w:pStyle w:val="FootnoteText"/>
        <w:ind w:left="567" w:hanging="567"/>
        <w:rPr>
          <w:sz w:val="24"/>
          <w:lang w:val="cs-CZ"/>
        </w:rPr>
      </w:pPr>
      <w:r w:rsidRPr="00CE3CEF">
        <w:rPr>
          <w:rStyle w:val="FootnoteReference"/>
          <w:sz w:val="24"/>
          <w:lang w:val="cs-CZ"/>
        </w:rPr>
        <w:footnoteRef/>
      </w:r>
      <w:r w:rsidR="00CE3CEF" w:rsidRPr="00CE3CEF">
        <w:rPr>
          <w:sz w:val="24"/>
          <w:lang w:val="cs-CZ"/>
        </w:rPr>
        <w:t xml:space="preserve"> </w:t>
      </w:r>
      <w:r w:rsidR="00CE3CEF" w:rsidRPr="00CE3CEF">
        <w:rPr>
          <w:sz w:val="24"/>
          <w:lang w:val="cs-CZ"/>
        </w:rPr>
        <w:tab/>
      </w:r>
      <w:proofErr w:type="spellStart"/>
      <w:r w:rsidRPr="00CE3CEF">
        <w:rPr>
          <w:sz w:val="24"/>
          <w:lang w:val="cs-CZ"/>
        </w:rPr>
        <w:t>Úř</w:t>
      </w:r>
      <w:proofErr w:type="spellEnd"/>
      <w:r w:rsidRPr="00CE3CEF">
        <w:rPr>
          <w:sz w:val="24"/>
          <w:lang w:val="cs-CZ"/>
        </w:rPr>
        <w:t xml:space="preserve">. </w:t>
      </w:r>
      <w:proofErr w:type="spellStart"/>
      <w:r w:rsidRPr="00CE3CEF">
        <w:rPr>
          <w:sz w:val="24"/>
          <w:lang w:val="cs-CZ"/>
        </w:rPr>
        <w:t>věst</w:t>
      </w:r>
      <w:proofErr w:type="spellEnd"/>
      <w:r w:rsidRPr="00CE3CEF">
        <w:rPr>
          <w:sz w:val="24"/>
          <w:lang w:val="cs-CZ"/>
        </w:rPr>
        <w:t>. C 347, 9.9.2022, s. 122.</w:t>
      </w:r>
    </w:p>
  </w:footnote>
  <w:footnote w:id="3">
    <w:p w14:paraId="5A1D7912" w14:textId="6B3DB3F2" w:rsidR="00276420" w:rsidRPr="00CE3CEF" w:rsidRDefault="00276420" w:rsidP="00CE3CEF">
      <w:pPr>
        <w:pStyle w:val="FootnoteText"/>
        <w:ind w:left="567" w:hanging="567"/>
        <w:rPr>
          <w:sz w:val="24"/>
          <w:lang w:val="cs-CZ"/>
        </w:rPr>
      </w:pPr>
      <w:r w:rsidRPr="00CE3CEF">
        <w:rPr>
          <w:rStyle w:val="FootnoteReference"/>
          <w:sz w:val="24"/>
          <w:lang w:val="cs-CZ"/>
        </w:rPr>
        <w:footnoteRef/>
      </w:r>
      <w:r w:rsidR="00CE3CEF" w:rsidRPr="00CE3CEF">
        <w:rPr>
          <w:sz w:val="24"/>
          <w:lang w:val="cs-CZ"/>
        </w:rPr>
        <w:t xml:space="preserve"> </w:t>
      </w:r>
      <w:r w:rsidR="00CE3CEF" w:rsidRPr="00CE3CEF">
        <w:rPr>
          <w:sz w:val="24"/>
          <w:lang w:val="cs-CZ"/>
        </w:rPr>
        <w:tab/>
      </w:r>
      <w:proofErr w:type="spellStart"/>
      <w:r w:rsidRPr="00CE3CEF">
        <w:rPr>
          <w:sz w:val="24"/>
          <w:lang w:val="cs-CZ"/>
        </w:rPr>
        <w:t>Úř</w:t>
      </w:r>
      <w:proofErr w:type="spellEnd"/>
      <w:r w:rsidRPr="00CE3CEF">
        <w:rPr>
          <w:sz w:val="24"/>
          <w:lang w:val="cs-CZ"/>
        </w:rPr>
        <w:t xml:space="preserve">. </w:t>
      </w:r>
      <w:proofErr w:type="spellStart"/>
      <w:r w:rsidRPr="00CE3CEF">
        <w:rPr>
          <w:sz w:val="24"/>
          <w:lang w:val="cs-CZ"/>
        </w:rPr>
        <w:t>věst</w:t>
      </w:r>
      <w:proofErr w:type="spellEnd"/>
      <w:r w:rsidRPr="00CE3CEF">
        <w:rPr>
          <w:sz w:val="24"/>
          <w:lang w:val="cs-CZ"/>
        </w:rPr>
        <w:t xml:space="preserve">. C, C/2026/2154, 6.5.2026, ELI: </w:t>
      </w:r>
      <w:hyperlink r:id="rId2" w:history="1">
        <w:r w:rsidRPr="00CE3CEF">
          <w:rPr>
            <w:rStyle w:val="Hyperlink"/>
            <w:sz w:val="24"/>
            <w:lang w:val="cs-CZ"/>
          </w:rPr>
          <w:t>http://data.europa.eu/eli/C/2026/2154/oj</w:t>
        </w:r>
      </w:hyperlink>
      <w:r w:rsidRPr="00CE3CEF">
        <w:rPr>
          <w:sz w:val="24"/>
          <w:lang w:val="cs-CZ"/>
        </w:rPr>
        <w:t>.</w:t>
      </w:r>
    </w:p>
  </w:footnote>
  <w:footnote w:id="4">
    <w:p w14:paraId="37BA7AB6" w14:textId="16FE4E60" w:rsidR="00276420" w:rsidRPr="00CE3CEF" w:rsidRDefault="00276420" w:rsidP="00CE3CEF">
      <w:pPr>
        <w:pStyle w:val="FootnoteText"/>
        <w:ind w:left="567" w:hanging="567"/>
        <w:rPr>
          <w:sz w:val="24"/>
          <w:lang w:val="cs-CZ"/>
        </w:rPr>
      </w:pPr>
      <w:r w:rsidRPr="00CE3CEF">
        <w:rPr>
          <w:rStyle w:val="FootnoteReference"/>
          <w:sz w:val="24"/>
          <w:lang w:val="cs-CZ"/>
        </w:rPr>
        <w:footnoteRef/>
      </w:r>
      <w:r w:rsidR="00CE3CEF" w:rsidRPr="00CE3CEF">
        <w:rPr>
          <w:sz w:val="24"/>
          <w:lang w:val="cs-CZ"/>
        </w:rPr>
        <w:t xml:space="preserve"> </w:t>
      </w:r>
      <w:r w:rsidR="00CE3CEF" w:rsidRPr="00CE3CEF">
        <w:rPr>
          <w:sz w:val="24"/>
          <w:lang w:val="cs-CZ"/>
        </w:rPr>
        <w:tab/>
      </w:r>
      <w:r w:rsidRPr="00CE3CEF">
        <w:rPr>
          <w:sz w:val="24"/>
          <w:lang w:val="cs-CZ"/>
        </w:rPr>
        <w:t xml:space="preserve">Viz například </w:t>
      </w:r>
      <w:proofErr w:type="spellStart"/>
      <w:r w:rsidRPr="00CE3CEF">
        <w:rPr>
          <w:sz w:val="24"/>
          <w:lang w:val="cs-CZ"/>
        </w:rPr>
        <w:t>Lau</w:t>
      </w:r>
      <w:proofErr w:type="spellEnd"/>
      <w:r w:rsidRPr="00CE3CEF">
        <w:rPr>
          <w:sz w:val="24"/>
          <w:lang w:val="cs-CZ"/>
        </w:rPr>
        <w:t xml:space="preserve"> et al., „</w:t>
      </w:r>
      <w:proofErr w:type="spellStart"/>
      <w:r w:rsidRPr="00CE3CEF">
        <w:rPr>
          <w:i/>
          <w:iCs/>
          <w:sz w:val="24"/>
          <w:lang w:val="cs-CZ"/>
        </w:rPr>
        <w:t>Workplace</w:t>
      </w:r>
      <w:proofErr w:type="spellEnd"/>
      <w:r w:rsidRPr="00CE3CEF">
        <w:rPr>
          <w:i/>
          <w:iCs/>
          <w:sz w:val="24"/>
          <w:lang w:val="cs-CZ"/>
        </w:rPr>
        <w:t xml:space="preserve"> mortality risk and </w:t>
      </w:r>
      <w:proofErr w:type="spellStart"/>
      <w:r w:rsidRPr="00CE3CEF">
        <w:rPr>
          <w:i/>
          <w:iCs/>
          <w:sz w:val="24"/>
          <w:lang w:val="cs-CZ"/>
        </w:rPr>
        <w:t>social</w:t>
      </w:r>
      <w:proofErr w:type="spellEnd"/>
      <w:r w:rsidRPr="00CE3CEF">
        <w:rPr>
          <w:i/>
          <w:iCs/>
          <w:sz w:val="24"/>
          <w:lang w:val="cs-CZ"/>
        </w:rPr>
        <w:t xml:space="preserve"> </w:t>
      </w:r>
      <w:proofErr w:type="spellStart"/>
      <w:r w:rsidRPr="00CE3CEF">
        <w:rPr>
          <w:i/>
          <w:iCs/>
          <w:sz w:val="24"/>
          <w:lang w:val="cs-CZ"/>
        </w:rPr>
        <w:t>determinants</w:t>
      </w:r>
      <w:proofErr w:type="spellEnd"/>
      <w:r w:rsidRPr="00CE3CEF">
        <w:rPr>
          <w:i/>
          <w:iCs/>
          <w:sz w:val="24"/>
          <w:lang w:val="cs-CZ"/>
        </w:rPr>
        <w:t xml:space="preserve"> </w:t>
      </w:r>
      <w:proofErr w:type="spellStart"/>
      <w:r w:rsidRPr="00CE3CEF">
        <w:rPr>
          <w:i/>
          <w:iCs/>
          <w:sz w:val="24"/>
          <w:lang w:val="cs-CZ"/>
        </w:rPr>
        <w:t>among</w:t>
      </w:r>
      <w:proofErr w:type="spellEnd"/>
      <w:r w:rsidRPr="00CE3CEF">
        <w:rPr>
          <w:i/>
          <w:iCs/>
          <w:sz w:val="24"/>
          <w:lang w:val="cs-CZ"/>
        </w:rPr>
        <w:t xml:space="preserve"> migrant </w:t>
      </w:r>
      <w:proofErr w:type="spellStart"/>
      <w:r w:rsidRPr="00CE3CEF">
        <w:rPr>
          <w:i/>
          <w:iCs/>
          <w:sz w:val="24"/>
          <w:lang w:val="cs-CZ"/>
        </w:rPr>
        <w:t>workers</w:t>
      </w:r>
      <w:proofErr w:type="spellEnd"/>
      <w:r w:rsidRPr="00CE3CEF">
        <w:rPr>
          <w:sz w:val="24"/>
          <w:lang w:val="cs-CZ"/>
        </w:rPr>
        <w:t xml:space="preserve">“ (Riziko úmrtí na pracovišti a sociální determinanty u migrujících pracovníků), </w:t>
      </w:r>
      <w:proofErr w:type="spellStart"/>
      <w:r w:rsidRPr="00CE3CEF">
        <w:rPr>
          <w:i/>
          <w:sz w:val="24"/>
          <w:lang w:val="cs-CZ"/>
        </w:rPr>
        <w:t>The</w:t>
      </w:r>
      <w:proofErr w:type="spellEnd"/>
      <w:r w:rsidRPr="00CE3CEF">
        <w:rPr>
          <w:i/>
          <w:sz w:val="24"/>
          <w:lang w:val="cs-CZ"/>
        </w:rPr>
        <w:t xml:space="preserve"> Lancet Public </w:t>
      </w:r>
      <w:proofErr w:type="spellStart"/>
      <w:r w:rsidRPr="00CE3CEF">
        <w:rPr>
          <w:i/>
          <w:sz w:val="24"/>
          <w:lang w:val="cs-CZ"/>
        </w:rPr>
        <w:t>Health</w:t>
      </w:r>
      <w:proofErr w:type="spellEnd"/>
      <w:r w:rsidRPr="00CE3CEF">
        <w:rPr>
          <w:sz w:val="24"/>
          <w:lang w:val="cs-CZ"/>
        </w:rPr>
        <w:t xml:space="preserve">, Svazek 9, vydání 11, 2024, E935-E949, </w:t>
      </w:r>
      <w:hyperlink r:id="rId3" w:tgtFrame="_blank" w:tooltip="Stálý odkaz využívající digitální identifikátor objektu." w:history="1">
        <w:r w:rsidRPr="00CE3CEF">
          <w:rPr>
            <w:rStyle w:val="Hyperlink"/>
            <w:sz w:val="24"/>
            <w:lang w:val="cs-CZ"/>
          </w:rPr>
          <w:t>https://doi.org/10.1016/S2468-2667(24)00226-3</w:t>
        </w:r>
      </w:hyperlink>
      <w:r w:rsidRPr="00CE3CEF">
        <w:rPr>
          <w:sz w:val="24"/>
          <w:lang w:val="cs-CZ"/>
        </w:rPr>
        <w:t>).</w:t>
      </w:r>
    </w:p>
  </w:footnote>
  <w:footnote w:id="5">
    <w:p w14:paraId="0802636D" w14:textId="506F5B52" w:rsidR="00276420" w:rsidRPr="00CE3CEF" w:rsidRDefault="00276420" w:rsidP="00CE3CEF">
      <w:pPr>
        <w:pStyle w:val="FootnoteText"/>
        <w:ind w:left="567" w:hanging="567"/>
        <w:rPr>
          <w:sz w:val="24"/>
          <w:lang w:val="cs-CZ"/>
        </w:rPr>
      </w:pPr>
      <w:r w:rsidRPr="00CE3CEF">
        <w:rPr>
          <w:rStyle w:val="FootnoteReference"/>
          <w:sz w:val="24"/>
          <w:lang w:val="cs-CZ"/>
        </w:rPr>
        <w:footnoteRef/>
      </w:r>
      <w:r w:rsidR="00CE3CEF" w:rsidRPr="00CE3CEF">
        <w:rPr>
          <w:sz w:val="24"/>
          <w:lang w:val="cs-CZ"/>
        </w:rPr>
        <w:t xml:space="preserve"> </w:t>
      </w:r>
      <w:r w:rsidR="00CE3CEF" w:rsidRPr="00CE3CEF">
        <w:rPr>
          <w:sz w:val="24"/>
          <w:lang w:val="cs-CZ"/>
        </w:rPr>
        <w:tab/>
      </w:r>
      <w:r w:rsidRPr="00CE3CEF">
        <w:rPr>
          <w:sz w:val="24"/>
          <w:lang w:val="cs-CZ"/>
        </w:rPr>
        <w:t>Doporučení Komise (EU) 2022/2337 ze dne 28. listopadu 2022 týkající se evropského seznamu nemocí z povolání (</w:t>
      </w:r>
      <w:proofErr w:type="spellStart"/>
      <w:r w:rsidRPr="00CE3CEF">
        <w:rPr>
          <w:sz w:val="24"/>
          <w:lang w:val="cs-CZ"/>
        </w:rPr>
        <w:t>Úř</w:t>
      </w:r>
      <w:proofErr w:type="spellEnd"/>
      <w:r w:rsidRPr="00CE3CEF">
        <w:rPr>
          <w:sz w:val="24"/>
          <w:lang w:val="cs-CZ"/>
        </w:rPr>
        <w:t xml:space="preserve">. </w:t>
      </w:r>
      <w:proofErr w:type="spellStart"/>
      <w:r w:rsidRPr="00CE3CEF">
        <w:rPr>
          <w:sz w:val="24"/>
          <w:lang w:val="cs-CZ"/>
        </w:rPr>
        <w:t>věst</w:t>
      </w:r>
      <w:proofErr w:type="spellEnd"/>
      <w:r w:rsidRPr="00CE3CEF">
        <w:rPr>
          <w:sz w:val="24"/>
          <w:lang w:val="cs-CZ"/>
        </w:rPr>
        <w:t xml:space="preserve">. L 309, 30.11.2022, s. 12, ELI: </w:t>
      </w:r>
      <w:hyperlink r:id="rId4" w:history="1">
        <w:r w:rsidRPr="00CE3CEF">
          <w:rPr>
            <w:rStyle w:val="Hyperlink"/>
            <w:sz w:val="24"/>
            <w:lang w:val="cs-CZ"/>
          </w:rPr>
          <w:t>http://data.europa.eu/eli/reco/2022/2337/oj</w:t>
        </w:r>
      </w:hyperlink>
      <w:r w:rsidR="00525EFB">
        <w:rPr>
          <w:sz w:val="24"/>
          <w:lang w:val="cs-CZ"/>
        </w:rPr>
        <w:t>)</w:t>
      </w:r>
      <w:r w:rsidRPr="00CE3CEF">
        <w:rPr>
          <w:sz w:val="24"/>
          <w:lang w:val="cs-CZ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EA4B" w14:textId="77777777" w:rsidR="00064002" w:rsidRPr="00CE3C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F15F" w14:textId="77777777" w:rsidR="00064002" w:rsidRPr="00CE3C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C772" w14:textId="77777777" w:rsidR="00064002" w:rsidRPr="00CE3C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1070389">
    <w:abstractNumId w:val="9"/>
  </w:num>
  <w:num w:numId="2" w16cid:durableId="988097414">
    <w:abstractNumId w:val="9"/>
  </w:num>
  <w:num w:numId="3" w16cid:durableId="1772358236">
    <w:abstractNumId w:val="7"/>
  </w:num>
  <w:num w:numId="4" w16cid:durableId="361439761">
    <w:abstractNumId w:val="7"/>
  </w:num>
  <w:num w:numId="5" w16cid:durableId="1221289538">
    <w:abstractNumId w:val="6"/>
  </w:num>
  <w:num w:numId="6" w16cid:durableId="1171868721">
    <w:abstractNumId w:val="6"/>
  </w:num>
  <w:num w:numId="7" w16cid:durableId="102308612">
    <w:abstractNumId w:val="5"/>
  </w:num>
  <w:num w:numId="8" w16cid:durableId="32965734">
    <w:abstractNumId w:val="5"/>
  </w:num>
  <w:num w:numId="9" w16cid:durableId="1741635371">
    <w:abstractNumId w:val="4"/>
  </w:num>
  <w:num w:numId="10" w16cid:durableId="141894515">
    <w:abstractNumId w:val="4"/>
  </w:num>
  <w:num w:numId="11" w16cid:durableId="1305357542">
    <w:abstractNumId w:val="8"/>
  </w:num>
  <w:num w:numId="12" w16cid:durableId="146367069">
    <w:abstractNumId w:val="8"/>
  </w:num>
  <w:num w:numId="13" w16cid:durableId="1898322676">
    <w:abstractNumId w:val="3"/>
  </w:num>
  <w:num w:numId="14" w16cid:durableId="1487471009">
    <w:abstractNumId w:val="3"/>
  </w:num>
  <w:num w:numId="15" w16cid:durableId="1173496323">
    <w:abstractNumId w:val="2"/>
  </w:num>
  <w:num w:numId="16" w16cid:durableId="1749692170">
    <w:abstractNumId w:val="2"/>
  </w:num>
  <w:num w:numId="17" w16cid:durableId="1333335718">
    <w:abstractNumId w:val="1"/>
  </w:num>
  <w:num w:numId="18" w16cid:durableId="403843180">
    <w:abstractNumId w:val="1"/>
  </w:num>
  <w:num w:numId="19" w16cid:durableId="1792279146">
    <w:abstractNumId w:val="0"/>
  </w:num>
  <w:num w:numId="20" w16cid:durableId="1859152983">
    <w:abstractNumId w:val="0"/>
  </w:num>
  <w:num w:numId="21" w16cid:durableId="136730946">
    <w:abstractNumId w:val="9"/>
  </w:num>
  <w:num w:numId="22" w16cid:durableId="226690876">
    <w:abstractNumId w:val="7"/>
  </w:num>
  <w:num w:numId="23" w16cid:durableId="2012489318">
    <w:abstractNumId w:val="6"/>
  </w:num>
  <w:num w:numId="24" w16cid:durableId="792136093">
    <w:abstractNumId w:val="5"/>
  </w:num>
  <w:num w:numId="25" w16cid:durableId="972948126">
    <w:abstractNumId w:val="4"/>
  </w:num>
  <w:num w:numId="26" w16cid:durableId="1793160537">
    <w:abstractNumId w:val="8"/>
  </w:num>
  <w:num w:numId="27" w16cid:durableId="80879559">
    <w:abstractNumId w:val="3"/>
  </w:num>
  <w:num w:numId="28" w16cid:durableId="1785004104">
    <w:abstractNumId w:val="2"/>
  </w:num>
  <w:num w:numId="29" w16cid:durableId="126164776">
    <w:abstractNumId w:val="1"/>
  </w:num>
  <w:num w:numId="30" w16cid:durableId="870000778">
    <w:abstractNumId w:val="0"/>
  </w:num>
  <w:num w:numId="31" w16cid:durableId="517350610">
    <w:abstractNumId w:val="9"/>
  </w:num>
  <w:num w:numId="32" w16cid:durableId="411007398">
    <w:abstractNumId w:val="7"/>
  </w:num>
  <w:num w:numId="33" w16cid:durableId="2117405955">
    <w:abstractNumId w:val="6"/>
  </w:num>
  <w:num w:numId="34" w16cid:durableId="1229270107">
    <w:abstractNumId w:val="5"/>
  </w:num>
  <w:num w:numId="35" w16cid:durableId="957100262">
    <w:abstractNumId w:val="4"/>
  </w:num>
  <w:num w:numId="36" w16cid:durableId="2005351623">
    <w:abstractNumId w:val="8"/>
  </w:num>
  <w:num w:numId="37" w16cid:durableId="1193304642">
    <w:abstractNumId w:val="3"/>
  </w:num>
  <w:num w:numId="38" w16cid:durableId="1937785816">
    <w:abstractNumId w:val="2"/>
  </w:num>
  <w:num w:numId="39" w16cid:durableId="640503545">
    <w:abstractNumId w:val="1"/>
  </w:num>
  <w:num w:numId="40" w16cid:durableId="984624561">
    <w:abstractNumId w:val="0"/>
  </w:num>
  <w:num w:numId="41" w16cid:durableId="1942881832">
    <w:abstractNumId w:val="10"/>
  </w:num>
  <w:num w:numId="42" w16cid:durableId="849637529">
    <w:abstractNumId w:val="10"/>
  </w:num>
  <w:num w:numId="43" w16cid:durableId="102773213">
    <w:abstractNumId w:val="10"/>
  </w:num>
  <w:num w:numId="44" w16cid:durableId="19193193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4/2026"/>
    <w:docVar w:name="dvlangue" w:val="CS"/>
    <w:docVar w:name="dvnumam" w:val="0"/>
    <w:docVar w:name="dvpe" w:val="782.343"/>
    <w:docVar w:name="dvtitre" w:val="Usnesení Evropského parlamentu ze dne 21. května 2026 o potřebě snížit počet úmrtí souvisejících s prací(2025/3046(RSP))"/>
  </w:docVars>
  <w:rsids>
    <w:rsidRoot w:val="00505EA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2F6"/>
    <w:rsid w:val="001F32AE"/>
    <w:rsid w:val="0027642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EA7"/>
    <w:rsid w:val="005072A1"/>
    <w:rsid w:val="00514517"/>
    <w:rsid w:val="00525EFB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55C0"/>
    <w:rsid w:val="00930C23"/>
    <w:rsid w:val="00930DAB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7FA"/>
    <w:rsid w:val="00B12E95"/>
    <w:rsid w:val="00B22876"/>
    <w:rsid w:val="00B5342E"/>
    <w:rsid w:val="00B558F0"/>
    <w:rsid w:val="00BD48FE"/>
    <w:rsid w:val="00BD7BD8"/>
    <w:rsid w:val="00BE6ADC"/>
    <w:rsid w:val="00C05BFE"/>
    <w:rsid w:val="00C23CD4"/>
    <w:rsid w:val="00C61C0C"/>
    <w:rsid w:val="00C941CB"/>
    <w:rsid w:val="00CB7ED8"/>
    <w:rsid w:val="00CC2357"/>
    <w:rsid w:val="00CE3CEF"/>
    <w:rsid w:val="00CF071A"/>
    <w:rsid w:val="00D058B8"/>
    <w:rsid w:val="00D56C11"/>
    <w:rsid w:val="00D834A0"/>
    <w:rsid w:val="00D872DF"/>
    <w:rsid w:val="00D91E21"/>
    <w:rsid w:val="00DA7FCD"/>
    <w:rsid w:val="00E365E1"/>
    <w:rsid w:val="00E761D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4BC4A"/>
  <w15:chartTrackingRefBased/>
  <w15:docId w15:val="{0559E733-F5ED-477A-AB63-D20E87C4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6420"/>
    <w:pPr>
      <w:spacing w:before="480" w:after="240"/>
    </w:pPr>
  </w:style>
  <w:style w:type="paragraph" w:customStyle="1" w:styleId="NormalHanging12a">
    <w:name w:val="NormalHanging12a"/>
    <w:basedOn w:val="Normal"/>
    <w:rsid w:val="00276420"/>
    <w:pPr>
      <w:spacing w:after="240"/>
      <w:ind w:left="567" w:hanging="567"/>
    </w:pPr>
  </w:style>
  <w:style w:type="character" w:styleId="Hyperlink">
    <w:name w:val="Hyperlink"/>
    <w:basedOn w:val="DefaultParagraphFont"/>
    <w:rsid w:val="0027642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25EF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1016/S2468-2667(24)00226-3" TargetMode="External"/><Relationship Id="rId2" Type="http://schemas.openxmlformats.org/officeDocument/2006/relationships/hyperlink" Target="http://data.europa.eu/eli/C/2026/2154/oj" TargetMode="External"/><Relationship Id="rId1" Type="http://schemas.openxmlformats.org/officeDocument/2006/relationships/hyperlink" Target="http://data.europa.eu/eli/dir/1989/391/oj" TargetMode="External"/><Relationship Id="rId4" Type="http://schemas.openxmlformats.org/officeDocument/2006/relationships/hyperlink" Target="http://data.europa.eu/eli/reco/2022/23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4565</Words>
  <Characters>27502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2026-05-21T13:41:00Z</dcterms:created>
  <dcterms:modified xsi:type="dcterms:W3CDTF">2026-05-21T13:41:00Z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B10-0244/2026</vt:lpwstr>
  </property>
  <property fmtid="{D5CDD505-2E9C-101B-9397-08002B2CF9AE}" pid="4" name="&lt;Type&gt;">
    <vt:lpwstr>RR</vt:lpwstr>
  </property>
</Properties>
</file>