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4513B" w14:paraId="2D845E8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EC3D70" w14:textId="77777777" w:rsidR="00751A4A" w:rsidRPr="0094513B" w:rsidRDefault="00D92386" w:rsidP="0010095E">
            <w:pPr>
              <w:pStyle w:val="EPName"/>
            </w:pPr>
            <w:r w:rsidRPr="0094513B">
              <w:t>Európai Parlament</w:t>
            </w:r>
          </w:p>
          <w:p w14:paraId="6FFDD989" w14:textId="77777777" w:rsidR="00751A4A" w:rsidRPr="0094513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4513B">
              <w:t>2024</w:t>
            </w:r>
            <w:r w:rsidR="00817416" w:rsidRPr="0094513B">
              <w:t>-202</w:t>
            </w:r>
            <w:r w:rsidRPr="0094513B">
              <w:t>9</w:t>
            </w:r>
          </w:p>
        </w:tc>
        <w:tc>
          <w:tcPr>
            <w:tcW w:w="2268" w:type="dxa"/>
            <w:shd w:val="clear" w:color="auto" w:fill="auto"/>
          </w:tcPr>
          <w:p w14:paraId="788F5387" w14:textId="77777777" w:rsidR="00751A4A" w:rsidRPr="0094513B" w:rsidRDefault="00187494" w:rsidP="0010095E">
            <w:pPr>
              <w:pStyle w:val="EPLogo"/>
            </w:pPr>
            <w:r w:rsidRPr="0094513B">
              <w:rPr>
                <w:noProof/>
                <w:lang w:eastAsia="ja-JP"/>
              </w:rPr>
              <w:drawing>
                <wp:inline distT="0" distB="0" distL="0" distR="0" wp14:anchorId="15758404" wp14:editId="58563CB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2A2319" w14:textId="77777777" w:rsidR="00D058B8" w:rsidRPr="0094513B" w:rsidRDefault="00D058B8" w:rsidP="004C5D52">
      <w:pPr>
        <w:pStyle w:val="LineTop"/>
      </w:pPr>
    </w:p>
    <w:p w14:paraId="4D9164AD" w14:textId="77777777" w:rsidR="00680577" w:rsidRPr="0094513B" w:rsidRDefault="00D92386" w:rsidP="00680577">
      <w:pPr>
        <w:pStyle w:val="EPBodyTA1"/>
      </w:pPr>
      <w:r w:rsidRPr="0094513B">
        <w:t>ELFOGADOTT SZÖVEGEK</w:t>
      </w:r>
    </w:p>
    <w:p w14:paraId="5DD01E95" w14:textId="77777777" w:rsidR="00D058B8" w:rsidRPr="0094513B" w:rsidRDefault="00D058B8" w:rsidP="00D058B8">
      <w:pPr>
        <w:pStyle w:val="LineBottom"/>
      </w:pPr>
    </w:p>
    <w:p w14:paraId="14321CE3" w14:textId="3EA0A39C" w:rsidR="00D92386" w:rsidRPr="0094513B" w:rsidRDefault="00D92386" w:rsidP="00D92386">
      <w:pPr>
        <w:pStyle w:val="ATHeading1"/>
      </w:pPr>
      <w:bookmarkStart w:id="0" w:name="TANumber"/>
      <w:r w:rsidRPr="0094513B">
        <w:t>P10_</w:t>
      </w:r>
      <w:proofErr w:type="gramStart"/>
      <w:r w:rsidRPr="0094513B">
        <w:t>TA(</w:t>
      </w:r>
      <w:proofErr w:type="gramEnd"/>
      <w:r w:rsidRPr="0094513B">
        <w:t>2026)0</w:t>
      </w:r>
      <w:r w:rsidR="0094513B">
        <w:t>191</w:t>
      </w:r>
      <w:bookmarkEnd w:id="0"/>
    </w:p>
    <w:p w14:paraId="618AF360" w14:textId="33391FC1" w:rsidR="00D92386" w:rsidRPr="0094513B" w:rsidRDefault="00D92386" w:rsidP="00D92386">
      <w:pPr>
        <w:pStyle w:val="ATHeading2"/>
      </w:pPr>
      <w:bookmarkStart w:id="1" w:name="title"/>
      <w:r w:rsidRPr="0094513B">
        <w:t>A munkával összefüggő halálesetek száma csökkentésének szükségessége</w:t>
      </w:r>
      <w:bookmarkEnd w:id="1"/>
    </w:p>
    <w:p w14:paraId="2AA78B95" w14:textId="77777777" w:rsidR="00D92386" w:rsidRPr="0094513B" w:rsidRDefault="00D92386" w:rsidP="00D92386">
      <w:pPr>
        <w:rPr>
          <w:i/>
          <w:vanish/>
        </w:rPr>
      </w:pPr>
      <w:r w:rsidRPr="0094513B">
        <w:rPr>
          <w:i/>
        </w:rPr>
        <w:fldChar w:fldCharType="begin"/>
      </w:r>
      <w:r w:rsidRPr="0094513B">
        <w:rPr>
          <w:i/>
        </w:rPr>
        <w:instrText xml:space="preserve"> TC"(</w:instrText>
      </w:r>
      <w:bookmarkStart w:id="2" w:name="DocNumber"/>
      <w:r w:rsidRPr="0094513B">
        <w:rPr>
          <w:i/>
        </w:rPr>
        <w:instrText>B10-0244/2026</w:instrText>
      </w:r>
      <w:bookmarkEnd w:id="2"/>
      <w:r w:rsidRPr="0094513B">
        <w:rPr>
          <w:i/>
        </w:rPr>
        <w:instrText xml:space="preserve">)"\l3 \n&gt; \* MERGEFORMAT </w:instrText>
      </w:r>
      <w:r w:rsidRPr="0094513B">
        <w:rPr>
          <w:i/>
        </w:rPr>
        <w:fldChar w:fldCharType="end"/>
      </w:r>
    </w:p>
    <w:p w14:paraId="78A2A792" w14:textId="77777777" w:rsidR="00D92386" w:rsidRPr="0094513B" w:rsidRDefault="00D92386" w:rsidP="00D92386">
      <w:pPr>
        <w:rPr>
          <w:vanish/>
        </w:rPr>
      </w:pPr>
      <w:bookmarkStart w:id="3" w:name="PE"/>
      <w:r w:rsidRPr="0094513B">
        <w:rPr>
          <w:vanish/>
        </w:rPr>
        <w:t>PE782.343</w:t>
      </w:r>
      <w:bookmarkEnd w:id="3"/>
    </w:p>
    <w:p w14:paraId="13038115" w14:textId="45883262" w:rsidR="00D92386" w:rsidRPr="0094513B" w:rsidRDefault="00D92386" w:rsidP="00D92386">
      <w:pPr>
        <w:pStyle w:val="ATHeading3"/>
      </w:pPr>
      <w:bookmarkStart w:id="4" w:name="Sujet"/>
      <w:r w:rsidRPr="0094513B">
        <w:t xml:space="preserve">Az Európai Parlament 2026. </w:t>
      </w:r>
      <w:r w:rsidR="0097206A" w:rsidRPr="0094513B">
        <w:t>május 21</w:t>
      </w:r>
      <w:r w:rsidRPr="0094513B">
        <w:t>-i állásfoglalása a munkával összefüggő halálesetek száma csökkentésének szükségességéről</w:t>
      </w:r>
      <w:bookmarkEnd w:id="4"/>
      <w:r w:rsidRPr="0094513B">
        <w:t xml:space="preserve"> </w:t>
      </w:r>
      <w:bookmarkStart w:id="5" w:name="References"/>
      <w:r w:rsidRPr="0094513B">
        <w:t>(2025/3046(RSP))</w:t>
      </w:r>
      <w:bookmarkEnd w:id="5"/>
    </w:p>
    <w:p w14:paraId="78C12A5A" w14:textId="77777777" w:rsidR="009B4187" w:rsidRPr="0094513B" w:rsidRDefault="009B4187" w:rsidP="009B4187">
      <w:pPr>
        <w:pStyle w:val="EPComma"/>
      </w:pPr>
      <w:bookmarkStart w:id="6" w:name="TextBodyBegin"/>
      <w:bookmarkEnd w:id="6"/>
      <w:r w:rsidRPr="0094513B">
        <w:rPr>
          <w:i/>
          <w:iCs/>
        </w:rPr>
        <w:t>Az Európai Parlament,</w:t>
      </w:r>
    </w:p>
    <w:p w14:paraId="2582C532" w14:textId="77777777" w:rsidR="009B4187" w:rsidRPr="0094513B" w:rsidRDefault="009B4187" w:rsidP="0097206A">
      <w:pPr>
        <w:pStyle w:val="NormalHanging12a"/>
        <w:widowControl/>
      </w:pPr>
      <w:r w:rsidRPr="0094513B">
        <w:t>–</w:t>
      </w:r>
      <w:r w:rsidRPr="0094513B">
        <w:tab/>
        <w:t>tekintettel az Európai Unió működéséről szóló szerződés 151., 153. és 156. cikkére,</w:t>
      </w:r>
    </w:p>
    <w:p w14:paraId="24D3C471" w14:textId="532A3297" w:rsidR="009B4187" w:rsidRPr="0094513B" w:rsidRDefault="009B4187" w:rsidP="0097206A">
      <w:pPr>
        <w:pStyle w:val="NormalHanging12a"/>
        <w:widowControl/>
      </w:pPr>
      <w:r w:rsidRPr="0094513B">
        <w:t>–</w:t>
      </w:r>
      <w:r w:rsidRPr="0094513B">
        <w:tab/>
        <w:t>tekintettel a munkavállalók munkahelyi biztonságának és egészségvédelmének javítását ösztönző intézkedések bevezetéséről szóló, 1989. június 12-i 89/391/EGK tanácsi irányelvre</w:t>
      </w:r>
      <w:r w:rsidRPr="0094513B">
        <w:rPr>
          <w:rStyle w:val="FootnoteReference"/>
        </w:rPr>
        <w:footnoteReference w:id="1"/>
      </w:r>
      <w:r w:rsidRPr="0094513B">
        <w:t>,</w:t>
      </w:r>
    </w:p>
    <w:p w14:paraId="6B23DC25" w14:textId="77777777" w:rsidR="009B4187" w:rsidRPr="0094513B" w:rsidRDefault="009B4187" w:rsidP="0097206A">
      <w:pPr>
        <w:pStyle w:val="NormalHanging12a"/>
        <w:widowControl/>
      </w:pPr>
      <w:r w:rsidRPr="0094513B">
        <w:t xml:space="preserve">– </w:t>
      </w:r>
      <w:r w:rsidRPr="0094513B">
        <w:tab/>
        <w:t>tekintettel az Európai Unió 2021–2027-es munkahelyi biztonsági és egészségvédelmi stratégiai keretére,</w:t>
      </w:r>
    </w:p>
    <w:p w14:paraId="59C16104" w14:textId="77777777" w:rsidR="009B4187" w:rsidRPr="0094513B" w:rsidRDefault="009B4187" w:rsidP="0097206A">
      <w:pPr>
        <w:pStyle w:val="NormalHanging12a"/>
        <w:widowControl/>
      </w:pPr>
      <w:r w:rsidRPr="0094513B">
        <w:t>–</w:t>
      </w:r>
      <w:r w:rsidRPr="0094513B">
        <w:tab/>
        <w:t>tekintettel az EU 2020 utáni időszakra vonatkozó, új munkahelyi biztonsági és egészségvédelmi stratégiai keretéről szóló, 2022. március 10-i parlamenti állásfoglalásra</w:t>
      </w:r>
      <w:r w:rsidRPr="0094513B">
        <w:rPr>
          <w:rStyle w:val="FootnoteReference"/>
        </w:rPr>
        <w:footnoteReference w:id="2"/>
      </w:r>
      <w:r w:rsidRPr="0094513B">
        <w:t>,</w:t>
      </w:r>
    </w:p>
    <w:p w14:paraId="6AB3ADBE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rPr>
          <w:b/>
          <w:i/>
        </w:rPr>
        <w:t>–</w:t>
      </w:r>
      <w:r w:rsidRPr="0094513B">
        <w:rPr>
          <w:b/>
          <w:i/>
        </w:rPr>
        <w:tab/>
      </w:r>
      <w:r w:rsidRPr="0094513B">
        <w:t>tekintettel a „Digitalizáció, mesterséges intelligencia és algoritmikus irányítás a munkahelyen – a munka jövőjének alakítása” című, a Bizottságnak szóló ajánlásokat tartalmazó, 2025. december 17-i állásfoglalására</w:t>
      </w:r>
      <w:r w:rsidRPr="0094513B">
        <w:rPr>
          <w:rStyle w:val="FootnoteReference"/>
          <w:bCs/>
          <w:iCs/>
        </w:rPr>
        <w:footnoteReference w:id="3"/>
      </w:r>
      <w:r w:rsidRPr="0094513B">
        <w:t>,</w:t>
      </w:r>
    </w:p>
    <w:p w14:paraId="0A1D4352" w14:textId="77777777" w:rsidR="009B4187" w:rsidRPr="0094513B" w:rsidRDefault="009B4187" w:rsidP="0097206A">
      <w:pPr>
        <w:pStyle w:val="NormalHanging12a"/>
        <w:widowControl/>
      </w:pPr>
      <w:r w:rsidRPr="0094513B">
        <w:t>–</w:t>
      </w:r>
      <w:r w:rsidRPr="0094513B">
        <w:tab/>
        <w:t>tekintettel az Európai Unió Alapjogi Chartájára, különösen annak 31. cikke (1) bekezdésére, amely kimondja, hogy minden munkavállalónak joga van az egészségét, biztonságát és méltóságát tiszteletben tartó munkafeltételekhez,</w:t>
      </w:r>
    </w:p>
    <w:p w14:paraId="1FAC467B" w14:textId="14E3AA64" w:rsidR="009B4187" w:rsidRPr="0094513B" w:rsidRDefault="009B4187" w:rsidP="0097206A">
      <w:pPr>
        <w:pStyle w:val="NormalHanging12a"/>
        <w:widowControl/>
      </w:pPr>
      <w:r w:rsidRPr="0094513B">
        <w:t>–</w:t>
      </w:r>
      <w:r w:rsidRPr="0094513B">
        <w:tab/>
        <w:t>tekintettel eljárási szabályzata 136. cikkének (2) bekezdésére,</w:t>
      </w:r>
    </w:p>
    <w:p w14:paraId="2F189E2C" w14:textId="77777777" w:rsidR="009B4187" w:rsidRPr="0094513B" w:rsidRDefault="009B4187" w:rsidP="0097206A">
      <w:pPr>
        <w:pStyle w:val="NormalHanging12a"/>
        <w:widowControl/>
      </w:pPr>
      <w:r w:rsidRPr="0094513B">
        <w:t>A.</w:t>
      </w:r>
      <w:r w:rsidRPr="0094513B">
        <w:tab/>
        <w:t>mivel a munkahelyi egészségvédelem és biztonság az európai szociálpolitika alappillére, továbbá az emberi méltóság, az alapvető munkavállalói jogok, valamint a tisztességes és biztonságos munkafeltételek védelmének központi eleme;</w:t>
      </w:r>
    </w:p>
    <w:p w14:paraId="5E78CE62" w14:textId="7B9D2363" w:rsidR="009B4187" w:rsidRPr="0094513B" w:rsidRDefault="009B4187" w:rsidP="0097206A">
      <w:pPr>
        <w:pStyle w:val="NormalHanging12a"/>
        <w:widowControl/>
      </w:pPr>
      <w:r w:rsidRPr="0094513B">
        <w:lastRenderedPageBreak/>
        <w:t>B.</w:t>
      </w:r>
      <w:r w:rsidRPr="0094513B">
        <w:tab/>
        <w:t>mivel az Európai Unióban 2023-ban 3 298 halálos kimenetelű munkabalesetet és mintegy 2,8 millió olyan</w:t>
      </w:r>
      <w:r w:rsidR="0097206A" w:rsidRPr="0094513B">
        <w:t>,</w:t>
      </w:r>
      <w:r w:rsidRPr="0094513B">
        <w:t xml:space="preserve"> nem halálos kimenetelű munkabalesetet vettek nyilvántartásba, amelyek az áldozatok legalább négynapos munkahelyi hiányzását vonták maguk után; mivel ezen adatok továbbra is súlyos problémákra világítanak rá a magas kockázatú ágazatokban – többek között az építőiparban, a közlekedésben, a feldolgozóiparban és a mezőgazdaságban –, ahol magas a munkabalesetek előfordulási gyakorisága;</w:t>
      </w:r>
    </w:p>
    <w:p w14:paraId="5B925B9E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C.</w:t>
      </w:r>
      <w:r w:rsidRPr="0094513B">
        <w:tab/>
        <w:t>mivel a fiatal munkavállalók idősebb kollégáikhoz képest jobban ki vannak téve a súlyos munkabaleseteknek, mivel a balesetek gyakorisága esetükben több mint 40 %-kal magasabb, mint a tapasztaltabb munkavállalók esetében, ami jól mutatja a kevesebb munkatapasztalatból, a képzési hiányosságokból és a munkahelyi veszélyekre kiterjedő kisebb fokú tudatosságból fakadó fokozott sebezhetőségüket; mivel rossz munkafeltételeknek lehetnek kitéve, amelyek fiatal korukban vagy később foglalkozási megbetegedésekhez vezethetnek;</w:t>
      </w:r>
    </w:p>
    <w:p w14:paraId="18D1AA52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D.</w:t>
      </w:r>
      <w:r w:rsidRPr="0094513B">
        <w:tab/>
        <w:t>mivel a munkahelyi biztonság és egészségvédelem terén fontos alkalmazni a nemi dimenziót, minthogy a munkavállalók nemüktől függően eltérően lehetnek kitéve különböző típusú anyagoknak vagy kockázatoknak, illetve sérülékenyebbek lehetnek azokkal szemben;</w:t>
      </w:r>
    </w:p>
    <w:p w14:paraId="3E7FD12C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E.</w:t>
      </w:r>
      <w:r w:rsidRPr="0094513B">
        <w:tab/>
        <w:t xml:space="preserve">mivel az egészségügyi és a szociális ellátáshoz hasonló ágazatokban a munkavállalók erőszaknak és </w:t>
      </w:r>
      <w:proofErr w:type="spellStart"/>
      <w:r w:rsidRPr="0094513B">
        <w:t>pszichoszociális</w:t>
      </w:r>
      <w:proofErr w:type="spellEnd"/>
      <w:r w:rsidRPr="0094513B">
        <w:t xml:space="preserve"> kockázatoknak vannak kitéve, valamint jelentős és gyakran alábecsült biztonsági kockázatokkal szembesülnek; mivel a munkahelyi erőszak és megfélemlítés súlyos pszichés ártalmakat okozhat, és növeli a mentális egészségügyi problémák kialakulásának kockázatát; mivel e jelenségek különösen az egészségügyi és ápolási-gondozási szolgáltatások ágazatában figyelhetők meg;</w:t>
      </w:r>
    </w:p>
    <w:p w14:paraId="48886677" w14:textId="7D90DB70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F.</w:t>
      </w:r>
      <w:r w:rsidRPr="0094513B">
        <w:tab/>
      </w:r>
      <w:r w:rsidR="0094513B" w:rsidRPr="0094513B">
        <w:t xml:space="preserve">mivel az elmúlt években több tagállam arról számolt be, hogy jelentősen nőtt a bűnüldözési feladatokat ellátó hatósági tisztviselők és a készenléti segélyszolgálatok munkatársai elleni támadások száma; mivel bizonyos – különösen a közhatalom gyakorlásával és az erőszak jogszerű alkalmazásával kapcsolatos – szakmai tevékenységeket harmadik felek szándékos erőszakos cselekményeiből eredő súlyos vagy halálos testi sértés kockázatának való rendszerszintű és állandó kitettség jellemez; mivel a készenléti segélyszolgálatok dolgozóival, például a </w:t>
      </w:r>
      <w:proofErr w:type="spellStart"/>
      <w:r w:rsidR="0094513B" w:rsidRPr="0094513B">
        <w:t>paramedikusokkal</w:t>
      </w:r>
      <w:proofErr w:type="spellEnd"/>
      <w:r w:rsidR="0094513B" w:rsidRPr="0094513B">
        <w:t xml:space="preserve"> és a tűzoltókkal szembeni fenyegetések és szándékos erőszakos cselekmények meglehetősen új jelenségek, és mivel az ilyen, harmadik felek szándékos cselekményeiből fakadó veszélyeknek való kitettség megkülönbözteti e szakmákat a veszélyes munka egyéb formáitól, és indokolja a kapcsolódó kockázatok természetének konkrét elismerését</w:t>
      </w:r>
      <w:r w:rsidRPr="0094513B">
        <w:t>;</w:t>
      </w:r>
    </w:p>
    <w:p w14:paraId="33CFC922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G.</w:t>
      </w:r>
      <w:r w:rsidRPr="0094513B">
        <w:tab/>
        <w:t>mivel a határ menti ingázók és a migráns munkavállalók, többek között a harmadik országokból származó munkavállalók különösen ki vannak téve a munkaerő-kizsákmányolásnak és munkával összefüggő bűncselekményeknek; mivel kutatások szerint az ilyen munkavállalók a helyi munkavállalókhoz képest világszerte körülbelül 70 %-kal nagyobb mértékben vannak kitéve a munkával összefüggő halálos balesetek kockázatának</w:t>
      </w:r>
      <w:r w:rsidRPr="0094513B">
        <w:rPr>
          <w:bCs/>
          <w:iCs/>
          <w:vertAlign w:val="superscript"/>
        </w:rPr>
        <w:footnoteReference w:id="4"/>
      </w:r>
      <w:r w:rsidRPr="0094513B">
        <w:t xml:space="preserve">, és az EU-ban ez a kockázat továbbra is jelentős, mintegy 65 %-os, </w:t>
      </w:r>
      <w:r w:rsidRPr="0094513B">
        <w:lastRenderedPageBreak/>
        <w:t xml:space="preserve">különösen a </w:t>
      </w:r>
      <w:proofErr w:type="spellStart"/>
      <w:r w:rsidRPr="0094513B">
        <w:t>kelet-európai</w:t>
      </w:r>
      <w:proofErr w:type="spellEnd"/>
      <w:r w:rsidRPr="0094513B">
        <w:t xml:space="preserve"> munkavállalók esetében; mivel a harmadik országbeli állampolgárok háromszor nagyobb mértékben vannak kitéve a munkával összefüggő balesetek kockázatának, és becslések szerint csupán minden ötödik baleset kerül bejelentésre, ami rávilágít arra, hogy a jelenség súlyosan </w:t>
      </w:r>
      <w:proofErr w:type="spellStart"/>
      <w:r w:rsidRPr="0094513B">
        <w:t>alulbecsült</w:t>
      </w:r>
      <w:proofErr w:type="spellEnd"/>
      <w:r w:rsidRPr="0094513B">
        <w:t>, valamint arra, hogy meg kell erősíteni a védelmi és végrehajtási mechanizmusokat, valamint tiszteletben kell tartani a munka jogszabályi kereteit és méltóságát;</w:t>
      </w:r>
    </w:p>
    <w:p w14:paraId="4563F864" w14:textId="77777777" w:rsidR="009B4187" w:rsidRPr="0094513B" w:rsidRDefault="009B4187" w:rsidP="0097206A">
      <w:pPr>
        <w:pStyle w:val="NormalHanging12a"/>
        <w:widowControl/>
      </w:pPr>
      <w:r w:rsidRPr="0094513B">
        <w:t>H.</w:t>
      </w:r>
      <w:r w:rsidRPr="0094513B">
        <w:tab/>
        <w:t>mivel a munkával összefüggő halálesetek jelentős számát foglalkozási megbetegedések okozzák, amelyeket túl gyakran alábecsülnek, alacsony arányban ismernek el és jelentenek be, különösen az ellátáshoz való hozzáférés, a megelőzés és a nyomon követés terén mutatkozó egyenlőtlenségek, a kitettség nem megfelelő nyomon követhetősége és bizonyos orvosi kezelésre szoruló állapotok lappangási ideje miatt; mivel a foglalkozási megbetegedések alacsony bejelentési aránya és nem megfelelő elismerése aláássa a megelőzési politikák hatékonyságát, a kártérítési mechanizmusokat és a végrehajtási rendszereket;</w:t>
      </w:r>
    </w:p>
    <w:p w14:paraId="273CE268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I.</w:t>
      </w:r>
      <w:r w:rsidRPr="0094513B">
        <w:tab/>
        <w:t>mivel az EU-ban a munkával összefüggő halálesetek vezető oka a rák; mivel a munkavállalók a munkahelyen különböző anyagok keverékének lehetnek kitéve, ami tovább növeli az egészségügyi kockázatokat; mivel az olyan tényezőknek való kitettség, mint a sugárzás, a munkahelyi stressz, valamint a megfelelő munkaszervezés és munkafeltételek hiánya összefüggenek a foglalkozási eredetű rákos megbetegedésekkel; mivel az egyik legelterjedtebb foglalkozási megbetegedés, a bőrrák előfordulása egyre nő, ennek ellenére az eseteknek csak rendkívül kis hányadát ismerik el foglalkozási megbetegedésként;</w:t>
      </w:r>
    </w:p>
    <w:p w14:paraId="65C66D98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J.</w:t>
      </w:r>
      <w:r w:rsidRPr="0094513B">
        <w:tab/>
        <w:t>mivel a foglalkozási betegségek európai jegyzékéről szóló, 2022. november 28-án elfogadott aktualizált ajánlásában</w:t>
      </w:r>
      <w:r w:rsidRPr="0094513B">
        <w:rPr>
          <w:rStyle w:val="FootnoteReference"/>
          <w:bCs/>
          <w:iCs/>
        </w:rPr>
        <w:footnoteReference w:id="5"/>
      </w:r>
      <w:r w:rsidRPr="0094513B">
        <w:t xml:space="preserve"> a Bizottság hangsúlyozta, hogy fontos támogatni a foglalkozási kockázatoknak kitett munkavállalókat, valamint azokat a családokat, akik munkahelyi kitettség miatt veszítették el családtagjaikat;</w:t>
      </w:r>
    </w:p>
    <w:p w14:paraId="08675ACE" w14:textId="77777777" w:rsidR="009B4187" w:rsidRPr="0094513B" w:rsidRDefault="009B4187" w:rsidP="0097206A">
      <w:pPr>
        <w:pStyle w:val="NormalHanging12a"/>
        <w:widowControl/>
      </w:pPr>
      <w:r w:rsidRPr="0094513B">
        <w:t>K.</w:t>
      </w:r>
      <w:r w:rsidRPr="0094513B">
        <w:tab/>
        <w:t>mivel a munkabalesetek és a foglalkozási megbetegedések megelőzése az európai szociálpolitika és a munkavállalók szabad mozgáshoz való jogának sarokköve; mivel ennek biztosítása nemcsak az uniós jog – különösen a 89/391/EGK irányelv – és a nemzeti jogszabályok által előírt kötelezettség, hanem társadalmi és gazdasági stratégiai beruházás is, amely tartós pozitív hatásokkal járhat a munkavállalók, a vállalatok és a társadalom egésze számára azáltal, hogy hozzájárul a kockázatok csökkentéséhez, a munkabalesetek társadalmi-gazdasági költségeinek csökkentéséhez és a munkakörnyezet minőségének és fenntarthatóságának általános javításához;</w:t>
      </w:r>
    </w:p>
    <w:p w14:paraId="00134A9C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L.</w:t>
      </w:r>
      <w:r w:rsidRPr="0094513B">
        <w:tab/>
        <w:t xml:space="preserve">mivel az önkéntes tűzoltóknak nyújtott speciális képzés, többek között az elsősegélynyújtás, a kockázatértékelés, az evakuálási eljárások és a tűzmegelőzés bizonyítottan növeli a munkahelyi biztonságot azáltal, hogy lehetővé teszi a súlyos váratlan eseményekre való gyors és hatékony reagálást, támogatja a kockázatmegelőzés kultúráját, és így hozzájárul a munkabalesetek súlyosságának csökkentéséhez; mivel a 89/391/EGK irányelv értelmében a munkáltatók jogilag kötelesek kockázatértékeléseket végezni, képzéseket és az elsősegélyre, a tűzoltásra, valamint az evakuálásra vonatkozó </w:t>
      </w:r>
      <w:r w:rsidRPr="0094513B">
        <w:lastRenderedPageBreak/>
        <w:t>intézkedéseket biztosítani, és az önkéntes tűzoltók készségeinek munkahelyi fejlesztése kiegészítheti e kötelezettségeket, és tovább javíthatja a munkahelyi biztonságot;</w:t>
      </w:r>
    </w:p>
    <w:p w14:paraId="7F21F7DE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M.</w:t>
      </w:r>
      <w:r w:rsidRPr="0094513B">
        <w:tab/>
        <w:t>mivel a munkaügyi felügyelet döntő szerepet játszik a munkahelyi egészségvédelmi és biztonsági politikák hatékony nemzeti, regionális és helyi szintű végrehajtásának biztosításában, és elengedhetetlen a munkaerő-kizsákmányolás és a nem biztonságos munkafeltételek kialakulásának megelőzéséhez;</w:t>
      </w:r>
    </w:p>
    <w:p w14:paraId="552EFE81" w14:textId="77777777" w:rsidR="009B4187" w:rsidRPr="0094513B" w:rsidRDefault="009B4187" w:rsidP="0097206A">
      <w:pPr>
        <w:pStyle w:val="NormalHanging12a"/>
        <w:widowControl/>
      </w:pPr>
      <w:r w:rsidRPr="0094513B">
        <w:t>N.</w:t>
      </w:r>
      <w:r w:rsidRPr="0094513B">
        <w:tab/>
        <w:t xml:space="preserve">mivel a munka világában tapasztalható gyökeres változások – többek között a nem szokványos munkavégzési formák elterjedése, a fiatal munkavállalók egyre nagyobb arányának bizonytalan és magas kockázatú munkakörökben való foglalkoztatása, az idősödő munkaerő, a digitalizáció, az új technológiák bevezetése és a globalizáció – növelték a </w:t>
      </w:r>
      <w:proofErr w:type="spellStart"/>
      <w:r w:rsidRPr="0094513B">
        <w:t>pszichoszociális</w:t>
      </w:r>
      <w:proofErr w:type="spellEnd"/>
      <w:r w:rsidRPr="0094513B">
        <w:t xml:space="preserve"> kockázatokat és a munkahelyi stresszt, valamint új kihívásokat idéztek elő a munkahelyi egészségvédelmet illetően, ami szélesebb körű és hatékonyabban érvényesített megelőzési stratégiákat tesz szükségessé;</w:t>
      </w:r>
    </w:p>
    <w:p w14:paraId="06E66FE9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O.</w:t>
      </w:r>
      <w:r w:rsidRPr="0094513B">
        <w:tab/>
        <w:t xml:space="preserve">mivel a munkahelyi </w:t>
      </w:r>
      <w:proofErr w:type="spellStart"/>
      <w:r w:rsidRPr="0094513B">
        <w:t>pszichoszociális</w:t>
      </w:r>
      <w:proofErr w:type="spellEnd"/>
      <w:r w:rsidRPr="0094513B">
        <w:t xml:space="preserve"> kockázatok, többek között a krónikus stressz, a kiégés és a zaklatás a megbetegedések és a munkával összefüggő halálesetek egyik fő és egyre jelentősebb kiváltó okai, amelyeket gyakran </w:t>
      </w:r>
      <w:proofErr w:type="spellStart"/>
      <w:r w:rsidRPr="0094513B">
        <w:t>alulbecsülnek</w:t>
      </w:r>
      <w:proofErr w:type="spellEnd"/>
      <w:r w:rsidRPr="0094513B">
        <w:t>, nem jelentenek be, és nem kezelnek megfelelően;</w:t>
      </w:r>
    </w:p>
    <w:p w14:paraId="515FF757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P.</w:t>
      </w:r>
      <w:r w:rsidRPr="0094513B">
        <w:tab/>
        <w:t xml:space="preserve">mivel a pszichés szempontból támogató munkakörnyezet elengedhetetlen a munkavállalók mentális egészségéhez és fizikai jóllétéhez; mivel a nem megfelelő munkatervezés és a nem megfelelő szervezeti vagy irányítási gyakorlatok </w:t>
      </w:r>
      <w:proofErr w:type="spellStart"/>
      <w:r w:rsidRPr="0094513B">
        <w:t>pszichoszociális</w:t>
      </w:r>
      <w:proofErr w:type="spellEnd"/>
      <w:r w:rsidRPr="0094513B">
        <w:t xml:space="preserve"> kockázatokat vonhatnak maguk után, és stresszhez, szorongáshoz, kiégéshez, valamint depresszióhoz vezethetnek; mivel a kedvezőtlen </w:t>
      </w:r>
      <w:proofErr w:type="spellStart"/>
      <w:r w:rsidRPr="0094513B">
        <w:t>pszichoszociális</w:t>
      </w:r>
      <w:proofErr w:type="spellEnd"/>
      <w:r w:rsidRPr="0094513B">
        <w:t xml:space="preserve"> munkafeltételeknek való tartós kitettség súlyos mentális egészségügyi következményekkel hozható összefüggésbe, beleértve a krónikus betegségeket és az öngyilkosság fokozott kockázatát;</w:t>
      </w:r>
    </w:p>
    <w:p w14:paraId="69A09933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Q.</w:t>
      </w:r>
      <w:r w:rsidRPr="0094513B">
        <w:tab/>
        <w:t xml:space="preserve">mivel a mesterséges intelligencia (MI) és az algoritmikus irányítási rendszerek növekvő munkahelyi használata gyorsíthatja a munka ütemét, nagyobb munkaterheléshez vezethet, növelheti a </w:t>
      </w:r>
      <w:proofErr w:type="spellStart"/>
      <w:r w:rsidRPr="0094513B">
        <w:t>pszichoszociális</w:t>
      </w:r>
      <w:proofErr w:type="spellEnd"/>
      <w:r w:rsidRPr="0094513B">
        <w:t xml:space="preserve"> kockázatokat, alááshatja a munkavállalók autonómiáját, és új kockázatokat teremthet a munkahelyi biztonságra és egészségvédelemre nézve;</w:t>
      </w:r>
    </w:p>
    <w:p w14:paraId="51221623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R.</w:t>
      </w:r>
      <w:r w:rsidRPr="0094513B">
        <w:tab/>
        <w:t>mivel az éghajlatváltozás – beleértve a hőmérsékletemelkedést, a gyakoribb és intenzívebb hőhullámokat és más szélsőséges időjárási eseményeket – EU-szerte növekvő és sokrétű kockázatot jelent a munkavállalók egészségére, biztonságára és munkafeltételeire nézve; mivel a hőhatásoknak való tartós kitettség súlyos egészségügyi következményekhez, többek között hőkimerültséghez, hőgutához és más, hővel kapcsolatos betegségekhez vezethet, miközben növeli a fáradtság, a koncentrációcsökkenés, a csökkent döntéshozatali képesség és ezáltal a munkával összefüggő balesetek valószínűségét, ami célzott megelőző és védelmi intézkedéseket tesz szükségessé;</w:t>
      </w:r>
    </w:p>
    <w:p w14:paraId="23B82A0A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S.</w:t>
      </w:r>
      <w:r w:rsidRPr="0094513B">
        <w:tab/>
        <w:t xml:space="preserve">mivel a hatékony megelőzési stratégiák, a figyelemfelkeltő intézkedések, a jólléti kezdeményezések és az erős munkahelyi biztonsági és egészségvédelmi kultúra támogatása elengedhetetlen a súlyos balesetek és foglalkozási megbetegedések megelőzéséhez, valamint a munkával összefüggő halálesetek számának csökkentéséhez; mivel az ilyen megelőző megközelítések nemcsak védik a munkavállalók egészségét és </w:t>
      </w:r>
      <w:r w:rsidRPr="0094513B">
        <w:lastRenderedPageBreak/>
        <w:t>biztonságát, hanem gazdasági előnyökkel is járnak a vállalatok és a társadalom egésze számára;</w:t>
      </w:r>
    </w:p>
    <w:p w14:paraId="6B3175A1" w14:textId="77777777" w:rsidR="009B4187" w:rsidRPr="0094513B" w:rsidRDefault="009B4187" w:rsidP="0097206A">
      <w:pPr>
        <w:pStyle w:val="NormalHanging12a"/>
        <w:widowControl/>
      </w:pPr>
      <w:r w:rsidRPr="0094513B">
        <w:t>T.</w:t>
      </w:r>
      <w:r w:rsidRPr="0094513B">
        <w:tab/>
        <w:t>mivel fokozni kell a 2030-ig tartó időszakra vonatkozó fenntartható fejlődési menetrendben meghatározott célok elérésére irányuló erőfeszítéseket, különös tekintettel a 8.8. alcélra: „A munkavállalói jogok védelme és a biztonságos munkakörnyezet előmozdítása minden munkavállaló számára, beleértve a migráns munkavállalókat, közülük is különösen a nőket, valamint a bizonytalan foglalkoztatásban lévőket”;</w:t>
      </w:r>
    </w:p>
    <w:p w14:paraId="637AA3F0" w14:textId="77777777" w:rsidR="009B4187" w:rsidRPr="0094513B" w:rsidRDefault="009B4187" w:rsidP="0097206A">
      <w:pPr>
        <w:pStyle w:val="NormalHanging12a"/>
        <w:widowControl/>
      </w:pPr>
      <w:r w:rsidRPr="0094513B">
        <w:t>U.</w:t>
      </w:r>
      <w:r w:rsidRPr="0094513B">
        <w:tab/>
        <w:t>mivel 2022. március 10-i állásfoglalásában örömmel fogadta a munkabalesetekre és a foglalkozási megbetegedésekre vonatkozó „zéró-elképzelés” megközelítés bevezetését, és felszólított egy ambiciózus ütemterv kidolgozására, hogy csökkentse a munkával összefüggő balesetek számát és megszüntesse a munkahelyi haláleseteket, valamint szorgalmazta a munkahelyi biztonságra és egészségvédelemre vonatkozó megelőző intézkedések megerősítését, és a meglévő előírások és jogszabályok érvényesítésének javítását; mivel a halálesetek számának nullára csökkentésére vonatkozó célkitűzésre nemcsak politikai célkitűzésként, hanem valamennyi munkavállalóval szembeni etikai és társadalmi kötelességként is kell tekinteni;</w:t>
      </w:r>
    </w:p>
    <w:p w14:paraId="72F0112A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V.</w:t>
      </w:r>
      <w:r w:rsidRPr="0094513B">
        <w:tab/>
        <w:t xml:space="preserve">mivel a munkavállalók biztonságos és egészséges munkakörnyezethez való jogát teljes mértékben garantálni kell a munkabalesetek és foglalkozási megbetegedések megelőzésére irányuló hatékony intézkedések, valamint rendszeres ellenőrzések és valóban visszatartó </w:t>
      </w:r>
      <w:proofErr w:type="spellStart"/>
      <w:r w:rsidRPr="0094513B">
        <w:t>erejű</w:t>
      </w:r>
      <w:proofErr w:type="spellEnd"/>
      <w:r w:rsidRPr="0094513B">
        <w:t xml:space="preserve"> szankciók révén, az illetékes hatóságok megfelelő erőforrásokkal való ellátása mellett; mivel a munkahelyi biztonsági és egészségvédelmi jogszabályok be nem tartása a munkaerő-kizsákmányolás központi eleme, és aláássa a halálesetek számának nullára csökkentésére irányuló célkitűzés elérését, ezért elengedhetetlen biztosítani a meglévő jogszabályok szigorú és hatékony végrehajtását, többek között a munkaügyi felügyelőségek, valamint ellenőrzési és szankcionálási eszközeik megerősítése révén;</w:t>
      </w:r>
    </w:p>
    <w:p w14:paraId="7ECF766F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W.</w:t>
      </w:r>
      <w:r w:rsidRPr="0094513B">
        <w:tab/>
        <w:t>mivel a „zéró-elképzelés” megközelítés hatékony végrehajtásához mérhető intézkedésekre és célkitűzésekre, a munkával összefüggő valamennyi balesetre és megbetegedésre kiterjedő átfogó megközelítésre, a megelőzés kultúrájának kialakítására és támogatására, valamint megfelelő erőforrásokra van szükség;</w:t>
      </w:r>
    </w:p>
    <w:p w14:paraId="77FF7C07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X.</w:t>
      </w:r>
      <w:r w:rsidRPr="0094513B">
        <w:tab/>
        <w:t>mivel a szakszervezetek és a munkavállalói képviselők fontos szerepet játszanak a munkahelyi egészség és biztonság védelmében, többek között a megfelelés figyelemmel követése és a meglévő szabályok hatékony végrehajtásának támogatása tekintetében; mivel azonban továbbra is vannak hiányosságok a 89/391/EGK irányelv hatályát illetően, különösen a munkavállalók bizonyos kategóriái, többek között a háztartási alkalmazottak tekintetében, akik részben vagy egészben ki vannak zárva a védelemből, ami aláássa az egyenlő védelem elvét különösen a nők, a harmadik országbeli állampolgárok és más kiszolgáltatott helyzetben lévő csoportok esetében, szükségessé téve a megfelelő és egységes védelmi szint biztosítását;</w:t>
      </w:r>
    </w:p>
    <w:p w14:paraId="1F46148D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Y.</w:t>
      </w:r>
      <w:r w:rsidRPr="0094513B">
        <w:tab/>
        <w:t>mivel az Európai Unió 2021–2027-es munkahelyi biztonsági és egészségvédelmi stratégiai kerete hamarosan lejár; mivel megújított politikai kötelezettségvállalásra és aktualizált, ambiciózusabb keretre lesz szükség a halálesetek számának nullára csökkentésére irányuló célkitűzés elérésének felgyorsításához;</w:t>
      </w:r>
    </w:p>
    <w:p w14:paraId="5E8F3060" w14:textId="77777777" w:rsidR="009B4187" w:rsidRPr="0094513B" w:rsidRDefault="009B4187" w:rsidP="0097206A">
      <w:pPr>
        <w:pStyle w:val="NormalHanging12a"/>
        <w:widowControl/>
      </w:pPr>
      <w:r w:rsidRPr="0094513B">
        <w:lastRenderedPageBreak/>
        <w:t>Z.</w:t>
      </w:r>
      <w:r w:rsidRPr="0094513B">
        <w:tab/>
        <w:t>mivel a munkabalesetek áldozatairól való megemlékezés a kollektív emlékezet fennmaradását és az erkölcsi felelősségvállalást szolgálja, és hozzájárul az emberi élet értékének általános megbecsüléséhez, a megelőzés kultúrájának megerősítéséhez, valamint az európai és nemzeti intézmények azon célkitűzés iránti elkötelezettségének megújításához, hogy nullára csökkentsék a munkával összefüggő halálesetek számát;</w:t>
      </w:r>
    </w:p>
    <w:p w14:paraId="363FB3D5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AA.</w:t>
      </w:r>
      <w:r w:rsidRPr="0094513B">
        <w:tab/>
        <w:t>mivel a kollektív emlékezetnek az elszámoltathatóságban kell testet öltenie, többek között megbízható jelentéstétel révén; mivel a munkahelyi balesetek, többek között a halálos kimenetelű balesetek nyilvántartásba vétele gyakran komoly nehézséget jelent; mivel biztosítani kell, hogy minden munkavállaló megfelelő szintű szociális védelemben részesüljön;</w:t>
      </w:r>
    </w:p>
    <w:p w14:paraId="44E2CDDE" w14:textId="77777777" w:rsidR="009B4187" w:rsidRPr="0094513B" w:rsidRDefault="009B4187" w:rsidP="0097206A">
      <w:pPr>
        <w:pStyle w:val="NormalHanging12a"/>
        <w:widowControl/>
      </w:pPr>
      <w:r w:rsidRPr="0094513B">
        <w:t>AB.</w:t>
      </w:r>
      <w:r w:rsidRPr="0094513B">
        <w:tab/>
        <w:t xml:space="preserve">mivel a </w:t>
      </w:r>
      <w:proofErr w:type="spellStart"/>
      <w:r w:rsidRPr="0094513B">
        <w:t>marcinelle</w:t>
      </w:r>
      <w:proofErr w:type="spellEnd"/>
      <w:r w:rsidRPr="0094513B">
        <w:t xml:space="preserve">-i Bois du </w:t>
      </w:r>
      <w:proofErr w:type="spellStart"/>
      <w:r w:rsidRPr="0094513B">
        <w:t>Cazier</w:t>
      </w:r>
      <w:proofErr w:type="spellEnd"/>
      <w:r w:rsidRPr="0094513B">
        <w:t>-bányában 1956. augusztus 8-án történt szerencsétlenség – amely során 262 bányász vesztette életét, akik közül sokan azóta uniós tagállammá vált országok állampolgárai voltak – a tisztességes munkáért, a szolidaritásért és a társadalmi igazságosságért folytatott küzdelem maradandó jelképe Európában;</w:t>
      </w:r>
    </w:p>
    <w:p w14:paraId="4C008F2C" w14:textId="77777777" w:rsidR="009B4187" w:rsidRPr="0094513B" w:rsidRDefault="009B4187" w:rsidP="0097206A">
      <w:pPr>
        <w:pStyle w:val="NormalHanging12a"/>
        <w:widowControl/>
        <w:rPr>
          <w:i/>
          <w:iCs/>
        </w:rPr>
      </w:pPr>
      <w:r w:rsidRPr="0094513B">
        <w:t>AC.</w:t>
      </w:r>
      <w:r w:rsidRPr="0094513B">
        <w:tab/>
        <w:t xml:space="preserve">mivel a </w:t>
      </w:r>
      <w:proofErr w:type="spellStart"/>
      <w:r w:rsidRPr="0094513B">
        <w:t>marcinelle</w:t>
      </w:r>
      <w:proofErr w:type="spellEnd"/>
      <w:r w:rsidRPr="0094513B">
        <w:t>-i szerencsétlenség áldozatainak nagy része európai nemzetiségű volt, és ezért ez volt Európa első kollektív tragédiája egy olyan időszakban, amikor a kontinensen már kezdett kialakulni a munka, a biztonság, az igazságosság és az emberi méltósághoz hasonló alapvető értékeken alapuló testvériség eszméje;</w:t>
      </w:r>
    </w:p>
    <w:p w14:paraId="4C815670" w14:textId="77777777" w:rsidR="009B4187" w:rsidRPr="0094513B" w:rsidRDefault="009B4187" w:rsidP="0097206A">
      <w:pPr>
        <w:pStyle w:val="NormalHanging12a"/>
        <w:widowControl/>
      </w:pPr>
      <w:r w:rsidRPr="0094513B">
        <w:t>AD.</w:t>
      </w:r>
      <w:r w:rsidRPr="0094513B">
        <w:tab/>
        <w:t xml:space="preserve">mivel a </w:t>
      </w:r>
      <w:proofErr w:type="spellStart"/>
      <w:r w:rsidRPr="0094513B">
        <w:t>marcinelle</w:t>
      </w:r>
      <w:proofErr w:type="spellEnd"/>
      <w:r w:rsidRPr="0094513B">
        <w:t>-i szerencsétlenség emléke ráirányítja a figyelmet arra, hogy a munkavállalók szabad mozgása, jogaik és biztonságuk alapvető értékek, amelyek egy hatékony és versenyképes szociális Európában prioritást élveznek;</w:t>
      </w:r>
    </w:p>
    <w:p w14:paraId="18DDDD28" w14:textId="77777777" w:rsidR="009B4187" w:rsidRPr="0094513B" w:rsidRDefault="009B4187" w:rsidP="0097206A">
      <w:pPr>
        <w:pStyle w:val="NormalHanging12a"/>
        <w:widowControl/>
      </w:pPr>
      <w:r w:rsidRPr="0094513B">
        <w:t>AE.</w:t>
      </w:r>
      <w:r w:rsidRPr="0094513B">
        <w:tab/>
        <w:t xml:space="preserve">mivel más, korábbi munkahelyi tragédiák – köztük a Marie-bányában 1892. május 31-én bekövetkezett tűzvész, az 1906. március 10-i </w:t>
      </w:r>
      <w:proofErr w:type="spellStart"/>
      <w:r w:rsidRPr="0094513B">
        <w:t>courrières</w:t>
      </w:r>
      <w:proofErr w:type="spellEnd"/>
      <w:r w:rsidRPr="0094513B">
        <w:t xml:space="preserve">-i bányaszerencsétlenség, az 1962. február 7-i </w:t>
      </w:r>
      <w:proofErr w:type="spellStart"/>
      <w:r w:rsidRPr="0094513B">
        <w:t>luisenthali</w:t>
      </w:r>
      <w:proofErr w:type="spellEnd"/>
      <w:r w:rsidRPr="0094513B">
        <w:t xml:space="preserve"> bányaszerencsétlenség, az 1968-as </w:t>
      </w:r>
      <w:proofErr w:type="spellStart"/>
      <w:r w:rsidRPr="0094513B">
        <w:t>aliverii</w:t>
      </w:r>
      <w:proofErr w:type="spellEnd"/>
      <w:r w:rsidRPr="0094513B">
        <w:t xml:space="preserve"> bányaszerencsétlenség, a Finnországban található </w:t>
      </w:r>
      <w:proofErr w:type="spellStart"/>
      <w:r w:rsidRPr="0094513B">
        <w:t>lapuai</w:t>
      </w:r>
      <w:proofErr w:type="spellEnd"/>
      <w:r w:rsidRPr="0094513B">
        <w:t xml:space="preserve"> lőszergyárban 1976-ban, valamint a görögországi </w:t>
      </w:r>
      <w:proofErr w:type="spellStart"/>
      <w:r w:rsidRPr="0094513B">
        <w:t>Violanta</w:t>
      </w:r>
      <w:proofErr w:type="spellEnd"/>
      <w:r w:rsidRPr="0094513B">
        <w:t xml:space="preserve"> gyárban 2026 januárjában bekövetkezett halálos robbanás és tűzvész mélyen beivódott a különböző tagállamok kollektív emlékezetébe, és állandó </w:t>
      </w:r>
      <w:proofErr w:type="spellStart"/>
      <w:r w:rsidRPr="0094513B">
        <w:t>emlékeztetőül</w:t>
      </w:r>
      <w:proofErr w:type="spellEnd"/>
      <w:r w:rsidRPr="0094513B">
        <w:t xml:space="preserve"> szolgál a munkavállalók védelmét és a balesetek megelőzését szolgáló hatékony politikák sürgető szükségességére;</w:t>
      </w:r>
    </w:p>
    <w:p w14:paraId="127A128A" w14:textId="77777777" w:rsidR="009B4187" w:rsidRPr="0094513B" w:rsidRDefault="009B4187" w:rsidP="0097206A">
      <w:pPr>
        <w:pStyle w:val="NormalHanging12a"/>
        <w:widowControl/>
      </w:pPr>
      <w:r w:rsidRPr="0094513B">
        <w:t>1.</w:t>
      </w:r>
      <w:r w:rsidRPr="0094513B">
        <w:tab/>
        <w:t xml:space="preserve">szorgalmazza egy európai nap létrehozását a munkabalesetek áldozatainak emlékére, valamint a munkavállalók védelme és emberi méltósága érdekében, és azt, hogy ez az emléknap a </w:t>
      </w:r>
      <w:proofErr w:type="spellStart"/>
      <w:r w:rsidRPr="0094513B">
        <w:t>marcinelle</w:t>
      </w:r>
      <w:proofErr w:type="spellEnd"/>
      <w:r w:rsidRPr="0094513B">
        <w:t xml:space="preserve">-i Bois du </w:t>
      </w:r>
      <w:proofErr w:type="spellStart"/>
      <w:r w:rsidRPr="0094513B">
        <w:t>Cazier</w:t>
      </w:r>
      <w:proofErr w:type="spellEnd"/>
      <w:r w:rsidRPr="0094513B">
        <w:t>-bányában történt szerencsétlenség emlékére minden évben augusztus 8-án legyen, tekintettel a baleset európai jellegére, amely az EU számos jelenlegi tagországából érkezett munkavállalót érintett, és így közös jelképe a tisztességes munkaért folytatott küzdelemnek, valamint annak az igénynek, hogy a munkahelyi egészségvédelemről és biztonságról közösen gondoskodjunk;</w:t>
      </w:r>
    </w:p>
    <w:p w14:paraId="7025E4CA" w14:textId="77777777" w:rsidR="009B4187" w:rsidRPr="0094513B" w:rsidRDefault="009B4187" w:rsidP="0097206A">
      <w:pPr>
        <w:pStyle w:val="NormalHanging12a"/>
        <w:widowControl/>
      </w:pPr>
      <w:r w:rsidRPr="0094513B">
        <w:t>2.</w:t>
      </w:r>
      <w:r w:rsidRPr="0094513B">
        <w:tab/>
        <w:t xml:space="preserve">úgy véli, hogy egy ilyen európai nap célja a munkabalesetek és foglalkozási megbetegedések áldozatairól való megemlékezés, valamint a nagyközönség, a vállalatok és az intézmények figyelmének a megelőzésre, a biztonságra és a tisztességes munkafeltételek fontosságára való ráirányítása; emlékeztet azonban arra, hogy a figyelemfelkeltést össze kell kapcsolni a jelenlegi egészségügyi és biztonsági kockázatokkal, ezáltal ténylegesen hozzájárulva a munkával összefüggő halálesetek, balesetek és megbetegedések megelőzéséhez; hangsúlyozza, hogy egy ilyen európai nap </w:t>
      </w:r>
      <w:r w:rsidRPr="0094513B">
        <w:lastRenderedPageBreak/>
        <w:t xml:space="preserve">hozzájárulhat az EU és a tagállamok „zéró-elképzelés” megközelítés iránti elköteleződésének megerősítéséhez, különösen azáltal, hogy ráirányítja a figyelmet a munkahelyi megelőzésre, a biztonságos és tisztességes munkára, a képzésre, az újonnan felmerülő kockázatokkal kapcsolatos tudatosságnövelésre, a szociális párbeszédre és a meglévő jogszabályok hatékony érvényesítésére, valamint azáltal, hogy uniós intézkedések meghozatalát segíti elő a </w:t>
      </w:r>
      <w:proofErr w:type="spellStart"/>
      <w:r w:rsidRPr="0094513B">
        <w:t>pszichoszociális</w:t>
      </w:r>
      <w:proofErr w:type="spellEnd"/>
      <w:r w:rsidRPr="0094513B">
        <w:t xml:space="preserve"> kockázatok, a mozgásszervi megbetegedések és a szélsőséges időjárási körülményekkel járó foglalkozás-egészségügyi kockázatok kezelése érdekében, valamennyi ágazatban és vállalkozásban, méretüktől függetlenül; úgy véli, hogy egy ilyen európai nap egyúttal évente visszatérő alkalmat kínálna a „zéró-elképzelés” célkitűzés megvalósításával kapcsolatos eredmények áttekintésére, a megelőzés és a végrehajtás terén fennálló hiányosságok feltárására, a politikai elszámoltathatóság nemzeti és uniós szintű megerősítésére, valamint a hatékony ellenőrzés szükségességének hangsúlyozására;</w:t>
      </w:r>
    </w:p>
    <w:p w14:paraId="78C6FD1C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3.</w:t>
      </w:r>
      <w:r w:rsidRPr="0094513B">
        <w:tab/>
        <w:t>hangsúlyozza, hogy ennek az európai napnak, amely kiegészítené az ILO április 28-i munkahelyi biztonsági és egészségvédelmi világnapját, konkrét kezdeményezéseket kell előmozdítania az iskolákban, a munkahelyeken és az intézményekben, többek között figyelemfelhívó kampányokat, képzési programokat és a megelőzéssel kapcsolatos bevált gyakorlatok cseréjét, ezáltal generációkon és ágazatokon átívelően erősítve a biztonság kultúráját;</w:t>
      </w:r>
    </w:p>
    <w:p w14:paraId="04E91263" w14:textId="77777777" w:rsidR="009B4187" w:rsidRPr="0094513B" w:rsidRDefault="009B4187" w:rsidP="0097206A">
      <w:pPr>
        <w:pStyle w:val="NormalHanging12a"/>
        <w:widowControl/>
      </w:pPr>
      <w:r w:rsidRPr="0094513B">
        <w:t>4.</w:t>
      </w:r>
      <w:r w:rsidRPr="0094513B">
        <w:tab/>
        <w:t>hangsúlyozza, hogy az európai napnak hozzá kell járulnia az EU és a tagállamok azon célkitűzés iránti elkötelezettségének megerősítéséhez, hogy a „zéró-elképzelés” megközelítéssel összhangban következetesen és tartósan megszüntessék a munkahelyi baleseteket, a foglalkozási megbetegedéseket és a munkával összefüggő haláleseteket, különös hangsúlyt fektetve a munkahelyi megelőzésre, a biztonságos és tisztességes munka előmozdítására, a képzésre, a felmerülő kockázatokkal kapcsolatos tudatosság növelésére, a társadalmi párbeszédre és az érvényben lévő jogszabályok hatékony alkalmazására;</w:t>
      </w:r>
    </w:p>
    <w:p w14:paraId="7C731323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5.</w:t>
      </w:r>
      <w:r w:rsidRPr="0094513B">
        <w:tab/>
        <w:t>hangsúlyozza a munkavállalók tájékoztatáshoz, konzultációhoz és részvételhez való joga megerősítésének fontosságát egészségvédelmi és biztonsági képviselők megválasztása és kollektív szerződések elfogadása révén;</w:t>
      </w:r>
    </w:p>
    <w:p w14:paraId="65B2283D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6.</w:t>
      </w:r>
      <w:r w:rsidRPr="0094513B">
        <w:tab/>
        <w:t>hangsúlyozza, hogy a munkával összefüggő halálesetek nullára csökkentésére irányuló célkitűzés eléréséhez szoros együttműködésre van szükség a tagállamok, a munkáltatók, a szociális partnerek, a munkaügyi felügyelőségek, a kutatóintézetek és az uniós ügynökségek között; szorgalmazza a bevált gyakorlatok, az adatok és a megelőzési módszerek Európai Munkahelyi Biztonsági és Egészségvédelmi Ügynökség (EU-OSHA) támogatásával történő fokozott cseréjét;</w:t>
      </w:r>
    </w:p>
    <w:p w14:paraId="7EBE962E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7.</w:t>
      </w:r>
      <w:r w:rsidRPr="0094513B">
        <w:tab/>
        <w:t xml:space="preserve">felhívja a Bizottságot, hogy értékelje és kezelje a mesterséges intelligenciához és az algoritmikus irányítási rendszerekhez kapcsolódó munkahelyi biztonsági és egészségvédelmi kockázatokat, beleértve a munka intenzívebbé válását, a </w:t>
      </w:r>
      <w:proofErr w:type="spellStart"/>
      <w:r w:rsidRPr="0094513B">
        <w:t>pszichoszociális</w:t>
      </w:r>
      <w:proofErr w:type="spellEnd"/>
      <w:r w:rsidRPr="0094513B">
        <w:t xml:space="preserve"> megterhelést, az indokolatlan felügyeletet és a munkaidő határainak elmosódását; felhívja a Bizottságot és a tagállamokat, hogy ismerjék el és kezeljék az új foglalkoztatási formákhoz, többek között a platformalapú munkavégzéshez és az algoritmikusan irányított munkához kapcsolódó halálesetek és súlyos balesetek újonnan felmerülő kockázatait; hangsúlyozza, hogy a digitális munkaplatformokon keresztül foglalkoztatott munkavállalók, valamint azok, akiknek feladatait, munkaütemét és teljesítményét mesterséges intelligencián alapuló eszközökkel irányítják vagy értékelik, </w:t>
      </w:r>
      <w:r w:rsidRPr="0094513B">
        <w:lastRenderedPageBreak/>
        <w:t>fokozott munkahelyi biztonsági és egészségvédelmi kockázatokkal szembesülhetnek az intenzívebb munkaütem, a visszaélésszerű nyomon követés, az algoritmikus döntéshozatal – többek között az azonosítható emberi kapcsolattartó pontok tekintetében való – elégtelen átláthatósága, valamint a nem megfelelő vagy elégtelen tájékoztatás vagy képzés eredményeképpen; hangsúlyozza, hogy az ilyen technológiák bevezetése a munkahelyi biztonsági és egészségvédelmi jogszabályokkal összhangban megfelelő kockázatértékeléshez, a munkavállalók átlátható tájékoztatásához és a velük folytatott konzultációhoz, valamint érdemi emberi felügyelethez kötött;</w:t>
      </w:r>
    </w:p>
    <w:p w14:paraId="709463BC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8.</w:t>
      </w:r>
      <w:r w:rsidRPr="0094513B">
        <w:tab/>
        <w:t xml:space="preserve">felhívja a Bizottságot, hogy átfogóan értékelje és jelezze előre az éghajlattal kapcsolatos tényezőkből eredő munkahelyi biztonsági és egészségvédelmi kockázatokat, beleértve a hőstresszt, a szélsőséges időjárási eseményeket, a légszennyezést, a felújítási és infrastruktúra-korszerűsítési projektek során a veszélyes anyagoknak való fokozott kitettséget, valamint az új biológiai veszélyek megjelenését; kéri, hogy ezen értékelés alapján fokozzák a megelőző fellépést a </w:t>
      </w:r>
      <w:proofErr w:type="spellStart"/>
      <w:r w:rsidRPr="0094513B">
        <w:t>reziliencia</w:t>
      </w:r>
      <w:proofErr w:type="spellEnd"/>
      <w:r w:rsidRPr="0094513B">
        <w:t xml:space="preserve"> és a felkészültség megerősítése céljából a nemzeti munkahelyi biztonsági és egészségvédelmi rendszereken belül, többek között korai </w:t>
      </w:r>
      <w:proofErr w:type="spellStart"/>
      <w:r w:rsidRPr="0094513B">
        <w:t>előrejelző</w:t>
      </w:r>
      <w:proofErr w:type="spellEnd"/>
      <w:r w:rsidRPr="0094513B">
        <w:t xml:space="preserve"> mechanizmusok és a magas kockázatú ágazatokra, például az építőiparra, a mezőgazdaságra, valamint a közlekedésre és más érintett ágazatokra, köztük a segélyhívó szolgálatra vonatkozó ágazatspecifikus iránymutatások révén; hangsúlyozza, hogy a munkaügyi felügyelőségeket és a munkáltatókat uniós szintű gyakorlati iránymutatással kell ellátni a hőségben végzett munka kezelésére és az éghajlattal összefüggő egyéb foglalkozási kockázatokra vonatkozóan;</w:t>
      </w:r>
    </w:p>
    <w:p w14:paraId="07C31B69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9.</w:t>
      </w:r>
      <w:r w:rsidRPr="0094513B">
        <w:tab/>
        <w:t>hangsúlyozza, hogy a szélsőséges hőség és az éghajlatváltozás hatásait jelentős foglalkozási kockázati tényezőként kell elismerni, és felhívja a Bizottságot és a tagállamokat, hogy a munkával összefüggő balesetek, a foglalkozási megbetegedések és a munkával összefüggő halálesetek visszaszorítása érdekében erősítsék meg a munkahelyi megelőző, védelmi és alkalmazkodási intézkedéseket;</w:t>
      </w:r>
    </w:p>
    <w:p w14:paraId="62FF4536" w14:textId="77777777" w:rsidR="009B4187" w:rsidRPr="0094513B" w:rsidRDefault="009B4187" w:rsidP="0097206A">
      <w:pPr>
        <w:pStyle w:val="NormalHanging12a"/>
        <w:widowControl/>
      </w:pPr>
      <w:r w:rsidRPr="0094513B">
        <w:t>10.</w:t>
      </w:r>
      <w:r w:rsidRPr="0094513B">
        <w:tab/>
        <w:t xml:space="preserve">felszólítja a Bizottságot, a Tanácsot, a civil társadalmat és a szociális partnereket, hogy támogassák az európai nap létrehozását és ünnepélyes megtartását az intézményeket, vállalkozásokat és polgárokat egyesítő társadalmi kötelezettségvállalás kifejezéseként, többek között olyan kezdeményezések révén, amelyek a kis- és középvállalkozásokra, valamint a kiszolgáltatott helyzetű munkavállalókra szabott tájékoztatási, tudatosságnövelő és gyakorlati megelőzési eszközöket népszerűsítenek, továbbá a munkahelyi egészségvédelem és biztonság terén bevált gyakorlatok cseréje révén; hangsúlyozza, hogy ezeknek a kezdeményezéseknek kifejezetten foglalkozniuk kell a </w:t>
      </w:r>
      <w:proofErr w:type="spellStart"/>
      <w:r w:rsidRPr="0094513B">
        <w:t>pszichoszociális</w:t>
      </w:r>
      <w:proofErr w:type="spellEnd"/>
      <w:r w:rsidRPr="0094513B">
        <w:t xml:space="preserve"> kockázatokkal, a hőséghez és a szélsőséges munkahelyi hőmérséklethez kapcsolódó kockázatokkal, az alvállalkozói láncokhoz és az atipikus munkavégzési formákhoz kapcsolódó kockázatokkal, valamint a kiküldött munkavállalókat, az idénymunkásokat és más, határt átlépő munkavállalókat érintő kihívásokkal, biztosítva az egyenlő bánásmód elvének való megfelelést, valamint a fogadó ország munkahelyi biztonságra, egészségvédelemre és szociális védelemre vonatkozó szabályainak hatékony alkalmazását; emlékeztet arra, hogy a túl hosszú munkaidő gyakran fáradtsághoz vezet, és növeli a munkával összefüggő halálos balesetek kockázatát;</w:t>
      </w:r>
    </w:p>
    <w:p w14:paraId="760F200D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11.</w:t>
      </w:r>
      <w:r w:rsidRPr="0094513B">
        <w:tab/>
        <w:t xml:space="preserve">ösztönzi a tagállamokat, hogy hívják fel a munkáltatók és a munkavállalók figyelmét a saját és mások biztonságának biztosításával kapcsolatos felelősségükre, mozdítsák elő az elsősegélynyújtással kapcsolatos képzést valamennyi munkavállaló számára, különösen a magasabb foglalkozási kockázatú ágazatokban, és biztosítsák, hogy ezt a </w:t>
      </w:r>
      <w:r w:rsidRPr="0094513B">
        <w:lastRenderedPageBreak/>
        <w:t>képzést rendszeresen frissítsék, széles körben hozzáférhetővé tegyék és beépítsék a munkahelyi biztonsági politikákba; hangsúlyozza, hogy elsősorban a munkáltatók felelősek a munkavállalók egészségvédelmének és biztonságának biztosításáért, többek között kockázatértékelés, megelőző intézkedések, egyéni védőeszközök biztosítása, foglalkozás-egészségügyi szolgáltatások, a munkahelyi biztonságra vonatkozó jogszabályok hatékony végrehajtása, valamint a munkavállalók megfelelő tájékoztatása, oktatása és képzése révén; hangsúlyozza a munkáltatók azon felelősségét, hogy biztosítsák a munkavállalók és képviselőik tényleges bevonását a munkahelyi biztonsági és egészségvédelmi folyamatok kidolgozásába, a kockázatok és veszélyek értékelésébe, az intézkedések tervezésébe és nyomon követésébe, valamint a megelőző munka elvégzésébe;</w:t>
      </w:r>
    </w:p>
    <w:p w14:paraId="3D4D8118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12.</w:t>
      </w:r>
      <w:r w:rsidRPr="0094513B">
        <w:tab/>
        <w:t>emlékeztet arra, hogy az erőszak számos munkahelyen egyre nagyobb kihívást jelent, különösen a szolgáltatási és az egészségügyi ágazatokban, és a készenléti segélyszolgálatok munkatársai számára; kitart amellett, hogy szükség van olyan intézkedésekre, amelyek a megfélemlítéssel, zaklatással és a munkahelyi erőszak egyéb formáival szembeni zéró tolerancia érvényesítését célozzák a szervezeti és jogalkotási támogató struktúrák javítása és előmozdítása, valamint az incidensek bejelentésére szolgáló rendszerek fejlesztése révén;</w:t>
      </w:r>
    </w:p>
    <w:p w14:paraId="615E3E9F" w14:textId="77777777" w:rsidR="009B4187" w:rsidRPr="0094513B" w:rsidRDefault="009B4187" w:rsidP="0097206A">
      <w:pPr>
        <w:pStyle w:val="NormalHanging12a"/>
        <w:widowControl/>
      </w:pPr>
      <w:r w:rsidRPr="0094513B">
        <w:t>13.</w:t>
      </w:r>
      <w:r w:rsidRPr="0094513B">
        <w:tab/>
        <w:t xml:space="preserve">felszólítja a Bizottságot és az EU-OSHA-t, hogy az európai napot használják fel arra, hogy naprakész statisztikákat, összehasonlító elemzéseket és bizonyítékokon alapuló iránymutatásokat terjesszenek a munkahelyi biztonságról és egészségvédelemről, különös figyelmet fordítva a </w:t>
      </w:r>
      <w:proofErr w:type="spellStart"/>
      <w:r w:rsidRPr="0094513B">
        <w:t>pszichoszociális</w:t>
      </w:r>
      <w:proofErr w:type="spellEnd"/>
      <w:r w:rsidRPr="0094513B">
        <w:t xml:space="preserve"> kockázatokra, a nem szokványos munkavégzési formákra, a </w:t>
      </w:r>
      <w:proofErr w:type="spellStart"/>
      <w:r w:rsidRPr="0094513B">
        <w:t>mikro</w:t>
      </w:r>
      <w:proofErr w:type="spellEnd"/>
      <w:r w:rsidRPr="0094513B">
        <w:t xml:space="preserve">- és kisvállalkozásokra, valamint a legkiszolgáltatottabb munkavállalói csoportokra; felhívja továbbá a Bizottságot és az EU-OSHA-t, hogy a közpolitikák jobb irányítása és az elszámoltathatóság megerősítése érdekében tegyenek közzé uniós szintű pillanatképet és országdokumentumokat a foglalkozási megbetegedésekről és a munkával összefüggő halálesetekről, beleértve a megelőzésre és az ellenőrzésekre (többek között a munkaügyi ellenőrzésekre) vonatkozó mutatókat is; hangsúlyozza továbbá annak fontosságát, hogy szisztematikusan nyomon kövessék és elemezzék a munkafeltételekkel, a </w:t>
      </w:r>
      <w:proofErr w:type="spellStart"/>
      <w:r w:rsidRPr="0094513B">
        <w:t>pszichoszociális</w:t>
      </w:r>
      <w:proofErr w:type="spellEnd"/>
      <w:r w:rsidRPr="0094513B">
        <w:t xml:space="preserve"> kockázatokkal, a munkaügyi felügyeleti kapacitással, valamint a munkahelyi biztonsági és egészségvédelmi normáknak való megfeleléssel kapcsolatos tendenciákat a tagállamokban annak érdekében, hogy EU-szerte erősítsék a megelőzést, az átláthatóságot és a munkakörülmények felfelé irányuló konvergenciáját;</w:t>
      </w:r>
    </w:p>
    <w:p w14:paraId="77954FD8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14.</w:t>
      </w:r>
      <w:r w:rsidRPr="0094513B">
        <w:tab/>
        <w:t xml:space="preserve">felhívja a Bizottságot, hogy az Eurostattal és a tagállamokkal együttműködve javítsa a munkabalesetekre és a foglalkozási megbetegedésekre, többek között a </w:t>
      </w:r>
      <w:proofErr w:type="spellStart"/>
      <w:r w:rsidRPr="0094513B">
        <w:t>pszichoszociális</w:t>
      </w:r>
      <w:proofErr w:type="spellEnd"/>
      <w:r w:rsidRPr="0094513B">
        <w:t xml:space="preserve"> kockázatokra és a hosszú lappangási idejű betegségekre vonatkozó adatok gyűjtését, harmonizációját és átláthatóságát, és foglalkozzon az alacsony bejelentési arány kérdésével;</w:t>
      </w:r>
    </w:p>
    <w:p w14:paraId="36251BDD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15.</w:t>
      </w:r>
      <w:r w:rsidRPr="0094513B">
        <w:tab/>
        <w:t>felhívja a Bizottságot és a tagállamokat annak biztosítására, hogy a munkahelyi biztonságra és egészségvédelemre vonatkozó jogszabályoknak való megfelelés felelőssége egyértelműen rögzítve legyen a vezetés szintjén, és széles körben beágyazódjon a szervezetbe, többek között hatékony megelőzési tervek és a munkavállalók részvétele révén; hangsúlyozza, hogy a kockázatértékelések elvégzése önmagában is hozzájárul a balesetek számának csökkentéséhez;</w:t>
      </w:r>
    </w:p>
    <w:p w14:paraId="48AAB3A5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lastRenderedPageBreak/>
        <w:t>16.</w:t>
      </w:r>
      <w:r w:rsidRPr="0094513B">
        <w:tab/>
        <w:t>hangsúlyozza a munkahelyi biztonsági és egészségvédelmi szabályozói ellenőrzések fontosságát a biztonságos és egészséges munkahelyek megvalósításának elősegítésében, ugyanakkor elismeri, hogy az ellenőrzések hatóköre korlátozott lehet; felhívja a tagállamokat, hogy erősítsék meg a munkaügyi felügyelőségeket állandó személyzettel, megfelelő erőforrásokkal és intézményi függetlenséggel, a munkahelyi biztonságra és egészségvédelemre vonatkozó jogszabályok hatékony végrehajtásának biztosítása és a munka világának átalakulására való reagálás érdekében;</w:t>
      </w:r>
    </w:p>
    <w:p w14:paraId="57BA89EC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17.</w:t>
      </w:r>
      <w:r w:rsidRPr="0094513B">
        <w:tab/>
        <w:t xml:space="preserve">felhívja a Bizottságot és a tagállamokat, hogy erősítsék meg a munkahelyi biztonságra és egészségvédelemre vonatkozó jogszabályok végrehajtását, többek között azáltal, hogy megfelelő forrásokat biztosítanak a munkaügyi felügyelőségek számára, javítják a határokon átnyúló együttműködést és biztosítják a tényleges megfelelést, különösen azokban az esetekben, amikor a súlyos gondatlanság súlyos sérüléshez vagy halálhoz vezetett; úgy véli, hogy ahhoz, hogy a munkahelyi biztonsági és egészségvédelmi szabályok hitelesek és hatékonyak legyenek, kellően visszatartó </w:t>
      </w:r>
      <w:proofErr w:type="spellStart"/>
      <w:r w:rsidRPr="0094513B">
        <w:t>erejűeknek</w:t>
      </w:r>
      <w:proofErr w:type="spellEnd"/>
      <w:r w:rsidRPr="0094513B">
        <w:t xml:space="preserve"> és arányosaknak kell lenniük;</w:t>
      </w:r>
    </w:p>
    <w:p w14:paraId="2A49F96E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18.</w:t>
      </w:r>
      <w:r w:rsidRPr="0094513B">
        <w:tab/>
        <w:t>üdvözli a Bizottság Európai Munkaügyi Hatóságról szóló értékelő jelentését, amelyben elismeri a hatóság szerepét az uniós munkajog, valamint a munkahelyi biztonsági és egészségvédelmi szabályok hatékony érvényesítésében, különösen a határokon átnyúló helyzetekben és a magas kockázatú ágazatokban, és ismételten felhívja a Bizottságot, hogy erősítse meg a hatóság megbízatását az uniós munkajog, valamint a munkahelyi biztonság és egészségvédelem érvényesítésének javítása érdekében; kiemeli, hogy fontos konkrét hozzáadott értéket biztosítani a nemzeti végrehajtó hatóságok támogatására, többek között a megerősített, összehangolt és közös munkaügyi ellenőrzések, valamint a jogsértések felderítéséhez és azok elleni küzdelemhez való hatékonyabb hozzájárulás lehetőségének révén; hangsúlyozza, hogy elő kell mozdítani a munkavállalói mobilitásra vonatkozó szabályok és a kapcsolódó ellenőrzési eljárások nagyobb mértékű összehangolását és egyszerűsítését, többek között egységesebb szabályok és hatékonyabb információcsere révén, az ELA iránymutatásával összhangban;</w:t>
      </w:r>
    </w:p>
    <w:p w14:paraId="72F2AA81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19.</w:t>
      </w:r>
      <w:r w:rsidRPr="0094513B">
        <w:tab/>
        <w:t xml:space="preserve">felhívja a Bizottságot, hogy az Európai Unió 2021–2027-es munkahelyi biztonsági és egészségvédelmi stratégiai keretének prioritásai és az azzal kapcsolatban szerzett tapasztalatok alapján a minőségi munkahelyekre vonatkozó ütemterv keretében határozzon meg új stratégiai keretet a 2028–2034 közötti időszakra; hangsúlyozza, hogy ennek az új stratégiai keretnek egyértelműnek, mérhetőnek és határidőhöz kötöttnek kell lennie, egyértelmű és új követelményeket kell meghatároznia, és a munkával kapcsolatos balesetek és halálesetek csökkentésére, a halálos kimenetelű munkahelyi balesetek számának nullára csökkentésére irányuló folyamat lezárására, a munkavállalók védelmének megerősítésére kell irányulnia, különösen a magas kockázatú ágazatokban és a kiszolgáltatott csoportok esetében, kezelnie kell a felmerülő foglalkozási kockázatokat, beleértve az új munkavégzési formákból, a digitalizációból és a </w:t>
      </w:r>
      <w:proofErr w:type="spellStart"/>
      <w:r w:rsidRPr="0094513B">
        <w:t>pszichoszociális</w:t>
      </w:r>
      <w:proofErr w:type="spellEnd"/>
      <w:r w:rsidRPr="0094513B">
        <w:t xml:space="preserve"> kockázatokból eredő kockázatokat is, valamint biztosítania kell a munkafeltételek szélsőséges hőmérséklethez való alkalmazkodását;</w:t>
      </w:r>
    </w:p>
    <w:p w14:paraId="628403E2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20.</w:t>
      </w:r>
      <w:r w:rsidRPr="0094513B">
        <w:tab/>
        <w:t xml:space="preserve">üdvözli a rákkeltő anyagoknak való kitettség és más, potenciálisan halálos kimenetelű foglalkozási megbetegedés kockázatának csökkentését célzó irányelveket; megjegyzi, hogy a halálos foglalkozási megbetegedések megelőzése megköveteli a kitettséggel kapcsolatos szakértelem fejlesztését mind a munkahelyeken, mind a foglalkozás-egészségügyi szolgáltatásokban; emlékeztet a megfelelő erőforrások fontosságára a </w:t>
      </w:r>
      <w:r w:rsidRPr="0094513B">
        <w:lastRenderedPageBreak/>
        <w:t>munkahelyeken a kitettségi kockázatok azonosítása és megelőzése érdekében, együttműködve a foglalkozás-egészségügyi szolgálatokkal, amelyek iránymutatást nyújthatnak a megfelelő munkahelyi biztonsági és egészségvédelmi intézkedésekről; úgy véli, hogy a súlyos foglalkozási megbetegedéseket okozó anyagoknak való kitettség kockázata által érintett munkavállalók számára hozzáférést kell biztosítani a foglalkozás-egészségügyi szolgálatokhoz és az időszakos egészségügyi ellenőrzésekhez, a potenciális kitettség nyomon követése érdekében; hangsúlyozza, hogy a munkahelyi halálesetek csökkentésére irányuló minden átfogó stratégiának kifejezetten foglalkoznia kell a foglalkozási eredetű rákos megbetegedésekkel mint a munkával összefüggő halálesetek megbúvó, de vezető okával, beleértve a rákkeltő anyagoknak való tartós munkahelyi kitettségből eredő, hosszú lappangási idejű betegségeket is; hangsúlyozza, hogy javítani kell a foglalkozási eredetű rákos megbetegedésekre vonatkozó uniós szintű adatgyűjtést annak érdekében, hogy az teljes mértékben tükrözze a munkával összefüggő halálesetek valós nagyságrendjét;</w:t>
      </w:r>
    </w:p>
    <w:p w14:paraId="7D95DA07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21.</w:t>
      </w:r>
      <w:r w:rsidRPr="0094513B">
        <w:tab/>
        <w:t>aggodalmát fejezi ki amiatt, hogy a kiküldött munkavállalók, a migráns munkavállalók, valamint az alvállalkozói láncokban dolgozó munkavállalók aránytalan munkahelyi biztonsági és egészségvédelmi kockázatoknak, többek között halálos balesetek kockázatának vannak kitéve a széttagolt felelősségi láncok, az elégtelen koordináció és a felhígult elszámoltathatóság miatt, különösen az olyan magas kockázatú ágazatokban, mint az építőipar; felhívja a Bizottságot annak értékelésére, hogy a munkahelyi biztonságra és egészségvédelemre vonatkozó jelenlegi vívmányok megfelelően garantálják-e a biztonsági és egészségvédelmi minimumkövetelmények hatékony végrehajtását az alvállalkozói láncok egészében, és hogy hiányosságok feltárása esetén tegyen javaslatot jogalkotási intézkedésre;</w:t>
      </w:r>
    </w:p>
    <w:p w14:paraId="78DA3214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22.</w:t>
      </w:r>
      <w:r w:rsidRPr="0094513B">
        <w:tab/>
        <w:t>felkéri a tagállamokat, hogy az oktatás és a gyakorlati tapasztalatok ötvözésével mozdítsák elő a munkahelyi biztonság és egészségvédelem kultúráját, különösen a fiatal munkavállalók esetében; úgy véli, hogy az oktatási intézményeknek általános tájékoztatást és képzést kell nyújtaniuk az egészségvédelem és a biztonság tárgyában, a munkáltatóknak pedig munkakör-specifikus képzést kell biztosítaniuk, különösen a tanulószerződéses gyakorlati képzések és a szakmai gyakorlatok során;</w:t>
      </w:r>
    </w:p>
    <w:p w14:paraId="65C02D10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23.</w:t>
      </w:r>
      <w:r w:rsidRPr="0094513B">
        <w:tab/>
        <w:t>ösztönzi a tagállamokat, hogy hozzanak létre olyan támogató kereteket, amelyek megkönnyítik az önkéntes tűzoltók foglalkoztatását, elismerve az így szerzett készségek értékét, különösen az elsősegélynyújtás, a kockázatmegelőzés, a tűzoltás, a tűzoltó berendezések használata és az evakuálások megszervezése terén, valamint a munkahelyi biztonság javítása, a munkabalesetek megelőzése és az ilyen balesetek súlyosságának csökkentése terén a segélyhívó szolgálatok megérkezéséig;</w:t>
      </w:r>
    </w:p>
    <w:p w14:paraId="188DAC23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24.</w:t>
      </w:r>
      <w:r w:rsidRPr="0094513B">
        <w:tab/>
        <w:t xml:space="preserve">hangsúlyozza, hogy a </w:t>
      </w:r>
      <w:proofErr w:type="spellStart"/>
      <w:r w:rsidRPr="0094513B">
        <w:t>mikrovállalkozások</w:t>
      </w:r>
      <w:proofErr w:type="spellEnd"/>
      <w:r w:rsidRPr="0094513B">
        <w:t xml:space="preserve"> és a kis- és középvállalkozások gyakran korlátozott mértékben rendelkeznek adminisztratív kapacitással, pénzügyi erőforrásokkal és speciális szakértelemmel; átfogó és célzott támogatási intézkedéseket szorgalmaz annak érdekében, hogy segítséget nyújtsanak számukra a foglalkozási kockázatok, a munkával összefüggő betegségek és halálesetek hatékony felismerésében, megelőzésében és kezelésében, többek között egyszerűsített és felhasználóbarát kockázatértékelési eszközök, ágazatspecifikus iránymutatások, gyakorlati megelőzési programok, hozzáférhető képzések, valamint a munkahelyi biztonsági és egészségvédelmi kötelezettségeknek való megfelelés támogatása révén;</w:t>
      </w:r>
    </w:p>
    <w:p w14:paraId="0E116EB8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lastRenderedPageBreak/>
        <w:t>25.</w:t>
      </w:r>
      <w:r w:rsidRPr="0094513B">
        <w:tab/>
        <w:t>felhívja a Bizottságot, hogy a tagállamokkal és a szociális partnerekkel együttműködve erősítse meg a munkabalesetek és a foglalkoztatási megbetegedések áldozatainak és családjaiknak nyújtott támogatásra vonatkozó uniós iránymutatást; felhívja továbbá a Bizottságot, hogy értékelje olyan ajánlások kidolgozásának lehetőségét, amelyek célja megfelelő támogatási és kártérítési mechanizmusok előmozdítása az áldozatok és családjaik számára, ösztönözve a védelem felfelé irányuló konvergenciáját az egész EU-ban;</w:t>
      </w:r>
    </w:p>
    <w:p w14:paraId="4DD13E91" w14:textId="77777777" w:rsidR="009B4187" w:rsidRPr="0094513B" w:rsidRDefault="009B4187" w:rsidP="0097206A">
      <w:pPr>
        <w:pStyle w:val="NormalHanging12a"/>
        <w:widowControl/>
        <w:rPr>
          <w:bCs/>
          <w:iCs/>
        </w:rPr>
      </w:pPr>
      <w:r w:rsidRPr="0094513B">
        <w:t>26.</w:t>
      </w:r>
      <w:r w:rsidRPr="0094513B">
        <w:tab/>
        <w:t>felhívja a tagállamokat annak biztosítására, hogy a nemzeti rendszerekkel és gyakorlatokkal összhangban minden munkavállaló ténylegesen részesüljön a munkahelyi biztonság és egészségvédelem előnyeiből, beleértve a platform-munkavállalókat, a harmadik országbeli állampolgárokat és a magánháztartásokban foglalkoztatott háztartási alkalmazottakat is; felkéri a tagállamokat és a szociális partnereket, hogy mozdítsák elő az innovatív megoldások és bevált gyakorlatok alkalmazását a munkabalesetek és a munkával összefüggő megbetegedések megelőzése érdekében, többek között olyan kezdeményezések révén, mint az EU-OSHA által odaítélt Egészséges Munkahelyek – Helyes Gyakorlat Díjak, amelyek olyan hatékony stratégiákat és technológiákat ismernek el, amelyek ágazatokon átívelően alkalmazhatók a munkahelyi biztonság és egészségvédelem javítása érdekében;</w:t>
      </w:r>
    </w:p>
    <w:p w14:paraId="6F5A2394" w14:textId="60C4A352" w:rsidR="008B7267" w:rsidRPr="008B7267" w:rsidRDefault="009B4187" w:rsidP="0097206A">
      <w:pPr>
        <w:pStyle w:val="NormalHanging12a"/>
        <w:widowControl/>
      </w:pPr>
      <w:r w:rsidRPr="0094513B">
        <w:t>27.</w:t>
      </w:r>
      <w:r w:rsidRPr="0094513B">
        <w:tab/>
        <w:t>utasítja elnökét, hogy továbbítsa ezt az állásfoglalást a Tanácsnak és a Bizottságnak.</w:t>
      </w:r>
    </w:p>
    <w:sectPr w:rsidR="008B7267" w:rsidRPr="008B7267" w:rsidSect="008B72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9070A" w14:textId="77777777" w:rsidR="00D92386" w:rsidRPr="008B7267" w:rsidRDefault="00D92386">
      <w:r w:rsidRPr="008B7267">
        <w:separator/>
      </w:r>
    </w:p>
  </w:endnote>
  <w:endnote w:type="continuationSeparator" w:id="0">
    <w:p w14:paraId="1BE46856" w14:textId="77777777" w:rsidR="00D92386" w:rsidRPr="008B7267" w:rsidRDefault="00D92386">
      <w:r w:rsidRPr="008B72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0B9BA" w14:textId="77777777" w:rsidR="00064002" w:rsidRPr="008B726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306D0" w14:textId="77777777" w:rsidR="00064002" w:rsidRPr="008B726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D66AE" w14:textId="77777777" w:rsidR="00064002" w:rsidRPr="008B726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813DD" w14:textId="77777777" w:rsidR="00D92386" w:rsidRPr="008B7267" w:rsidRDefault="00D92386">
      <w:r w:rsidRPr="008B7267">
        <w:separator/>
      </w:r>
    </w:p>
  </w:footnote>
  <w:footnote w:type="continuationSeparator" w:id="0">
    <w:p w14:paraId="6472D635" w14:textId="77777777" w:rsidR="00D92386" w:rsidRPr="008B7267" w:rsidRDefault="00D92386">
      <w:r w:rsidRPr="008B7267">
        <w:continuationSeparator/>
      </w:r>
    </w:p>
  </w:footnote>
  <w:footnote w:id="1">
    <w:p w14:paraId="44EADF5C" w14:textId="7319CA61" w:rsidR="009B4187" w:rsidRPr="008B7267" w:rsidRDefault="009B4187" w:rsidP="008B7267">
      <w:pPr>
        <w:pStyle w:val="FootnoteText"/>
        <w:ind w:left="567" w:hanging="567"/>
        <w:rPr>
          <w:sz w:val="24"/>
          <w:lang w:val="hu-HU"/>
        </w:rPr>
      </w:pPr>
      <w:r w:rsidRPr="008B7267">
        <w:rPr>
          <w:rStyle w:val="FootnoteReference"/>
          <w:sz w:val="24"/>
          <w:lang w:val="hu-HU"/>
        </w:rPr>
        <w:footnoteRef/>
      </w:r>
      <w:r w:rsidR="008B7267" w:rsidRPr="008B7267">
        <w:rPr>
          <w:sz w:val="24"/>
          <w:lang w:val="hu-HU"/>
        </w:rPr>
        <w:t xml:space="preserve"> </w:t>
      </w:r>
      <w:r w:rsidR="008B7267" w:rsidRPr="008B7267">
        <w:rPr>
          <w:sz w:val="24"/>
          <w:lang w:val="hu-HU"/>
        </w:rPr>
        <w:tab/>
      </w:r>
      <w:r w:rsidRPr="008B7267">
        <w:rPr>
          <w:sz w:val="24"/>
          <w:lang w:val="hu-HU"/>
        </w:rPr>
        <w:t>HL L 183., 1989.6.29., 1. o., ELI: </w:t>
      </w:r>
      <w:hyperlink r:id="rId1" w:tooltip="Az ELI (európai jogszabály-azonosító) URI-hivatkozása révén biztosít hozzáférést a dokumentumhoz." w:history="1">
        <w:r w:rsidRPr="008B7267">
          <w:rPr>
            <w:rStyle w:val="Hyperlink"/>
            <w:sz w:val="24"/>
            <w:lang w:val="hu-HU"/>
          </w:rPr>
          <w:t>http://data.europa.eu/eli/dir/1989/391/oj</w:t>
        </w:r>
      </w:hyperlink>
      <w:r w:rsidRPr="008B7267">
        <w:rPr>
          <w:sz w:val="24"/>
          <w:lang w:val="hu-HU"/>
        </w:rPr>
        <w:t>.</w:t>
      </w:r>
    </w:p>
  </w:footnote>
  <w:footnote w:id="2">
    <w:p w14:paraId="0187A8AA" w14:textId="2954C5B2" w:rsidR="009B4187" w:rsidRPr="008B7267" w:rsidRDefault="009B4187" w:rsidP="008B7267">
      <w:pPr>
        <w:pStyle w:val="FootnoteText"/>
        <w:ind w:left="567" w:hanging="567"/>
        <w:rPr>
          <w:sz w:val="24"/>
          <w:lang w:val="hu-HU"/>
        </w:rPr>
      </w:pPr>
      <w:r w:rsidRPr="008B7267">
        <w:rPr>
          <w:rStyle w:val="FootnoteReference"/>
          <w:sz w:val="24"/>
          <w:lang w:val="hu-HU"/>
        </w:rPr>
        <w:footnoteRef/>
      </w:r>
      <w:r w:rsidR="008B7267" w:rsidRPr="008B7267">
        <w:rPr>
          <w:sz w:val="24"/>
          <w:lang w:val="hu-HU"/>
        </w:rPr>
        <w:t xml:space="preserve"> </w:t>
      </w:r>
      <w:r w:rsidR="008B7267" w:rsidRPr="008B7267">
        <w:rPr>
          <w:sz w:val="24"/>
          <w:lang w:val="hu-HU"/>
        </w:rPr>
        <w:tab/>
      </w:r>
      <w:r w:rsidRPr="008B7267">
        <w:rPr>
          <w:sz w:val="24"/>
          <w:lang w:val="hu-HU"/>
        </w:rPr>
        <w:t>HL C 347., 2022.9.9., 122. o.</w:t>
      </w:r>
    </w:p>
  </w:footnote>
  <w:footnote w:id="3">
    <w:p w14:paraId="4C5E25DF" w14:textId="55B0D777" w:rsidR="009B4187" w:rsidRPr="008B7267" w:rsidRDefault="009B4187" w:rsidP="008B7267">
      <w:pPr>
        <w:pStyle w:val="FootnoteText"/>
        <w:ind w:left="567" w:hanging="567"/>
        <w:rPr>
          <w:sz w:val="24"/>
          <w:lang w:val="hu-HU"/>
        </w:rPr>
      </w:pPr>
      <w:r w:rsidRPr="008B7267">
        <w:rPr>
          <w:rStyle w:val="FootnoteReference"/>
          <w:sz w:val="24"/>
          <w:lang w:val="hu-HU"/>
        </w:rPr>
        <w:footnoteRef/>
      </w:r>
      <w:r w:rsidR="008B7267" w:rsidRPr="008B7267">
        <w:rPr>
          <w:sz w:val="24"/>
          <w:lang w:val="hu-HU"/>
        </w:rPr>
        <w:t xml:space="preserve"> </w:t>
      </w:r>
      <w:r w:rsidR="008B7267" w:rsidRPr="008B7267">
        <w:rPr>
          <w:sz w:val="24"/>
          <w:lang w:val="hu-HU"/>
        </w:rPr>
        <w:tab/>
      </w:r>
      <w:r w:rsidRPr="008B7267">
        <w:rPr>
          <w:sz w:val="24"/>
          <w:lang w:val="hu-HU"/>
        </w:rPr>
        <w:t xml:space="preserve">HL C, C/2026/2154, 2026.5.6., ELI: </w:t>
      </w:r>
      <w:hyperlink r:id="rId2" w:history="1">
        <w:r w:rsidRPr="008B7267">
          <w:rPr>
            <w:rStyle w:val="Hyperlink"/>
            <w:sz w:val="24"/>
            <w:lang w:val="hu-HU"/>
          </w:rPr>
          <w:t>http://data.europa.eu/eli/C/2026/2154/oj</w:t>
        </w:r>
      </w:hyperlink>
      <w:r w:rsidRPr="008B7267">
        <w:rPr>
          <w:sz w:val="24"/>
          <w:lang w:val="hu-HU"/>
        </w:rPr>
        <w:t>.</w:t>
      </w:r>
    </w:p>
  </w:footnote>
  <w:footnote w:id="4">
    <w:p w14:paraId="52DFCAFB" w14:textId="7C46C1C0" w:rsidR="009B4187" w:rsidRPr="008B7267" w:rsidRDefault="009B4187" w:rsidP="008B7267">
      <w:pPr>
        <w:pStyle w:val="FootnoteText"/>
        <w:ind w:left="567" w:hanging="567"/>
        <w:rPr>
          <w:sz w:val="24"/>
          <w:lang w:val="hu-HU"/>
        </w:rPr>
      </w:pPr>
      <w:r w:rsidRPr="008B7267">
        <w:rPr>
          <w:rStyle w:val="FootnoteReference"/>
          <w:sz w:val="24"/>
          <w:lang w:val="hu-HU"/>
        </w:rPr>
        <w:footnoteRef/>
      </w:r>
      <w:r w:rsidR="008B7267" w:rsidRPr="008B7267">
        <w:rPr>
          <w:sz w:val="24"/>
          <w:lang w:val="hu-HU"/>
        </w:rPr>
        <w:t xml:space="preserve"> </w:t>
      </w:r>
      <w:r w:rsidR="008B7267" w:rsidRPr="008B7267">
        <w:rPr>
          <w:sz w:val="24"/>
          <w:lang w:val="hu-HU"/>
        </w:rPr>
        <w:tab/>
      </w:r>
      <w:r w:rsidRPr="008B7267">
        <w:rPr>
          <w:sz w:val="24"/>
          <w:lang w:val="hu-HU"/>
        </w:rPr>
        <w:t xml:space="preserve">Lásd például: </w:t>
      </w:r>
      <w:proofErr w:type="spellStart"/>
      <w:r w:rsidRPr="0097206A">
        <w:rPr>
          <w:sz w:val="24"/>
          <w:lang w:val="hu-HU"/>
        </w:rPr>
        <w:t>Lau</w:t>
      </w:r>
      <w:proofErr w:type="spellEnd"/>
      <w:r w:rsidRPr="0097206A">
        <w:rPr>
          <w:sz w:val="24"/>
          <w:lang w:val="hu-HU"/>
        </w:rPr>
        <w:t xml:space="preserve"> </w:t>
      </w:r>
      <w:proofErr w:type="spellStart"/>
      <w:r w:rsidRPr="0097206A">
        <w:rPr>
          <w:sz w:val="24"/>
          <w:lang w:val="hu-HU"/>
        </w:rPr>
        <w:t>et</w:t>
      </w:r>
      <w:proofErr w:type="spellEnd"/>
      <w:r w:rsidRPr="0097206A">
        <w:rPr>
          <w:sz w:val="24"/>
          <w:lang w:val="hu-HU"/>
        </w:rPr>
        <w:t xml:space="preserve"> </w:t>
      </w:r>
      <w:proofErr w:type="spellStart"/>
      <w:r w:rsidRPr="0097206A">
        <w:rPr>
          <w:sz w:val="24"/>
          <w:lang w:val="hu-HU"/>
        </w:rPr>
        <w:t>al</w:t>
      </w:r>
      <w:proofErr w:type="spellEnd"/>
      <w:r w:rsidRPr="0097206A">
        <w:rPr>
          <w:sz w:val="24"/>
          <w:lang w:val="hu-HU"/>
        </w:rPr>
        <w:t>., „</w:t>
      </w:r>
      <w:proofErr w:type="spellStart"/>
      <w:r w:rsidRPr="0097206A">
        <w:rPr>
          <w:sz w:val="24"/>
          <w:lang w:val="hu-HU"/>
        </w:rPr>
        <w:t>Workplace</w:t>
      </w:r>
      <w:proofErr w:type="spellEnd"/>
      <w:r w:rsidRPr="0097206A">
        <w:rPr>
          <w:sz w:val="24"/>
          <w:lang w:val="hu-HU"/>
        </w:rPr>
        <w:t xml:space="preserve"> </w:t>
      </w:r>
      <w:proofErr w:type="spellStart"/>
      <w:r w:rsidRPr="0097206A">
        <w:rPr>
          <w:sz w:val="24"/>
          <w:lang w:val="hu-HU"/>
        </w:rPr>
        <w:t>mortality</w:t>
      </w:r>
      <w:proofErr w:type="spellEnd"/>
      <w:r w:rsidRPr="0097206A">
        <w:rPr>
          <w:sz w:val="24"/>
          <w:lang w:val="hu-HU"/>
        </w:rPr>
        <w:t xml:space="preserve"> </w:t>
      </w:r>
      <w:proofErr w:type="spellStart"/>
      <w:r w:rsidRPr="0097206A">
        <w:rPr>
          <w:sz w:val="24"/>
          <w:lang w:val="hu-HU"/>
        </w:rPr>
        <w:t>risk</w:t>
      </w:r>
      <w:proofErr w:type="spellEnd"/>
      <w:r w:rsidRPr="0097206A">
        <w:rPr>
          <w:sz w:val="24"/>
          <w:lang w:val="hu-HU"/>
        </w:rPr>
        <w:t xml:space="preserve"> and </w:t>
      </w:r>
      <w:proofErr w:type="spellStart"/>
      <w:r w:rsidRPr="0097206A">
        <w:rPr>
          <w:sz w:val="24"/>
          <w:lang w:val="hu-HU"/>
        </w:rPr>
        <w:t>social</w:t>
      </w:r>
      <w:proofErr w:type="spellEnd"/>
      <w:r w:rsidRPr="0097206A">
        <w:rPr>
          <w:sz w:val="24"/>
          <w:lang w:val="hu-HU"/>
        </w:rPr>
        <w:t xml:space="preserve"> </w:t>
      </w:r>
      <w:proofErr w:type="spellStart"/>
      <w:r w:rsidRPr="0097206A">
        <w:rPr>
          <w:sz w:val="24"/>
          <w:lang w:val="hu-HU"/>
        </w:rPr>
        <w:t>determinants</w:t>
      </w:r>
      <w:proofErr w:type="spellEnd"/>
      <w:r w:rsidRPr="0097206A">
        <w:rPr>
          <w:sz w:val="24"/>
          <w:lang w:val="hu-HU"/>
        </w:rPr>
        <w:t xml:space="preserve"> </w:t>
      </w:r>
      <w:proofErr w:type="spellStart"/>
      <w:r w:rsidRPr="0097206A">
        <w:rPr>
          <w:sz w:val="24"/>
          <w:lang w:val="hu-HU"/>
        </w:rPr>
        <w:t>among</w:t>
      </w:r>
      <w:proofErr w:type="spellEnd"/>
      <w:r w:rsidRPr="0097206A">
        <w:rPr>
          <w:sz w:val="24"/>
          <w:lang w:val="hu-HU"/>
        </w:rPr>
        <w:t xml:space="preserve"> </w:t>
      </w:r>
      <w:proofErr w:type="spellStart"/>
      <w:r w:rsidRPr="0097206A">
        <w:rPr>
          <w:sz w:val="24"/>
          <w:lang w:val="hu-HU"/>
        </w:rPr>
        <w:t>migrant</w:t>
      </w:r>
      <w:proofErr w:type="spellEnd"/>
      <w:r w:rsidRPr="0097206A">
        <w:rPr>
          <w:sz w:val="24"/>
          <w:lang w:val="hu-HU"/>
        </w:rPr>
        <w:t xml:space="preserve"> </w:t>
      </w:r>
      <w:proofErr w:type="spellStart"/>
      <w:r w:rsidRPr="0097206A">
        <w:rPr>
          <w:sz w:val="24"/>
          <w:lang w:val="hu-HU"/>
        </w:rPr>
        <w:t>workers</w:t>
      </w:r>
      <w:proofErr w:type="spellEnd"/>
      <w:r w:rsidRPr="0097206A">
        <w:rPr>
          <w:sz w:val="24"/>
          <w:lang w:val="hu-HU"/>
        </w:rPr>
        <w:t xml:space="preserve">” (Munkahelyi halandósági kockázat és meghatározó társadalmi tényezők a migráns munkavállalók körében), The </w:t>
      </w:r>
      <w:proofErr w:type="spellStart"/>
      <w:r w:rsidRPr="0097206A">
        <w:rPr>
          <w:sz w:val="24"/>
          <w:lang w:val="hu-HU"/>
        </w:rPr>
        <w:t>Lancet</w:t>
      </w:r>
      <w:proofErr w:type="spellEnd"/>
      <w:r w:rsidRPr="0097206A">
        <w:rPr>
          <w:sz w:val="24"/>
          <w:lang w:val="hu-HU"/>
        </w:rPr>
        <w:t xml:space="preserve"> Public Health, 9. kötet, 11. szám, 2024, E935-</w:t>
      </w:r>
      <w:r w:rsidRPr="008B7267">
        <w:rPr>
          <w:sz w:val="24"/>
          <w:lang w:val="hu-HU"/>
        </w:rPr>
        <w:t xml:space="preserve">E949, </w:t>
      </w:r>
      <w:hyperlink r:id="rId3" w:tgtFrame="_blank" w:tooltip="Digitális objektumazonosítót használó állandó hivatkozás" w:history="1">
        <w:r w:rsidRPr="008B7267">
          <w:rPr>
            <w:rStyle w:val="Hyperlink"/>
            <w:sz w:val="24"/>
            <w:lang w:val="hu-HU"/>
          </w:rPr>
          <w:t>https://doi.org/10.1016/S2468-2667(24)00226–3</w:t>
        </w:r>
      </w:hyperlink>
      <w:r w:rsidRPr="008B7267">
        <w:rPr>
          <w:sz w:val="24"/>
          <w:lang w:val="hu-HU"/>
        </w:rPr>
        <w:t>).</w:t>
      </w:r>
    </w:p>
  </w:footnote>
  <w:footnote w:id="5">
    <w:p w14:paraId="6E7AE4DC" w14:textId="61EF8CB5" w:rsidR="009B4187" w:rsidRPr="008B7267" w:rsidRDefault="009B4187" w:rsidP="008B7267">
      <w:pPr>
        <w:pStyle w:val="FootnoteText"/>
        <w:ind w:left="567" w:hanging="567"/>
        <w:rPr>
          <w:sz w:val="24"/>
          <w:lang w:val="hu-HU"/>
        </w:rPr>
      </w:pPr>
      <w:r w:rsidRPr="008B7267">
        <w:rPr>
          <w:rStyle w:val="FootnoteReference"/>
          <w:sz w:val="24"/>
          <w:lang w:val="hu-HU"/>
        </w:rPr>
        <w:footnoteRef/>
      </w:r>
      <w:r w:rsidR="008B7267" w:rsidRPr="008B7267">
        <w:rPr>
          <w:sz w:val="24"/>
          <w:lang w:val="hu-HU"/>
        </w:rPr>
        <w:t xml:space="preserve"> </w:t>
      </w:r>
      <w:r w:rsidR="008B7267" w:rsidRPr="008B7267">
        <w:rPr>
          <w:sz w:val="24"/>
          <w:lang w:val="hu-HU"/>
        </w:rPr>
        <w:tab/>
      </w:r>
      <w:r w:rsidRPr="008B7267">
        <w:rPr>
          <w:sz w:val="24"/>
          <w:lang w:val="hu-HU"/>
        </w:rPr>
        <w:t>A Bizottság (EU) 2022/2337 ajánlása (2022. november 28.) a foglalkozási betegségek európai jegyzékéről</w:t>
      </w:r>
      <w:r w:rsidR="0097206A">
        <w:rPr>
          <w:sz w:val="24"/>
          <w:lang w:val="hu-HU"/>
        </w:rPr>
        <w:t xml:space="preserve"> (</w:t>
      </w:r>
      <w:r w:rsidRPr="008B7267">
        <w:rPr>
          <w:sz w:val="24"/>
          <w:lang w:val="hu-HU"/>
        </w:rPr>
        <w:t xml:space="preserve">HL L 309., 2022.11.30., 12. o., ELI: </w:t>
      </w:r>
      <w:hyperlink r:id="rId4" w:history="1">
        <w:r w:rsidRPr="008B7267">
          <w:rPr>
            <w:rStyle w:val="Hyperlink"/>
            <w:sz w:val="24"/>
            <w:lang w:val="hu-HU"/>
          </w:rPr>
          <w:t>http://data.europa.eu/eli/reco/2022/2337/oj</w:t>
        </w:r>
      </w:hyperlink>
      <w:r w:rsidR="0097206A">
        <w:rPr>
          <w:sz w:val="24"/>
          <w:lang w:val="hu-HU"/>
        </w:rPr>
        <w:t>)</w:t>
      </w:r>
      <w:r w:rsidRPr="008B7267">
        <w:rPr>
          <w:sz w:val="24"/>
          <w:lang w:val="hu-HU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A0B08" w14:textId="77777777" w:rsidR="00064002" w:rsidRPr="008B726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49462" w14:textId="77777777" w:rsidR="00064002" w:rsidRPr="008B726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9A29F" w14:textId="77777777" w:rsidR="00064002" w:rsidRPr="008B726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26956843">
    <w:abstractNumId w:val="9"/>
  </w:num>
  <w:num w:numId="2" w16cid:durableId="1852138111">
    <w:abstractNumId w:val="9"/>
  </w:num>
  <w:num w:numId="3" w16cid:durableId="1972326116">
    <w:abstractNumId w:val="7"/>
  </w:num>
  <w:num w:numId="4" w16cid:durableId="793408987">
    <w:abstractNumId w:val="7"/>
  </w:num>
  <w:num w:numId="5" w16cid:durableId="1221937555">
    <w:abstractNumId w:val="6"/>
  </w:num>
  <w:num w:numId="6" w16cid:durableId="912081871">
    <w:abstractNumId w:val="6"/>
  </w:num>
  <w:num w:numId="7" w16cid:durableId="194849909">
    <w:abstractNumId w:val="5"/>
  </w:num>
  <w:num w:numId="8" w16cid:durableId="488181434">
    <w:abstractNumId w:val="5"/>
  </w:num>
  <w:num w:numId="9" w16cid:durableId="755057289">
    <w:abstractNumId w:val="4"/>
  </w:num>
  <w:num w:numId="10" w16cid:durableId="297998855">
    <w:abstractNumId w:val="4"/>
  </w:num>
  <w:num w:numId="11" w16cid:durableId="1641500625">
    <w:abstractNumId w:val="8"/>
  </w:num>
  <w:num w:numId="12" w16cid:durableId="1416852924">
    <w:abstractNumId w:val="8"/>
  </w:num>
  <w:num w:numId="13" w16cid:durableId="1701322831">
    <w:abstractNumId w:val="3"/>
  </w:num>
  <w:num w:numId="14" w16cid:durableId="2079012675">
    <w:abstractNumId w:val="3"/>
  </w:num>
  <w:num w:numId="15" w16cid:durableId="109594415">
    <w:abstractNumId w:val="2"/>
  </w:num>
  <w:num w:numId="16" w16cid:durableId="597711680">
    <w:abstractNumId w:val="2"/>
  </w:num>
  <w:num w:numId="17" w16cid:durableId="1342468993">
    <w:abstractNumId w:val="1"/>
  </w:num>
  <w:num w:numId="18" w16cid:durableId="2126849105">
    <w:abstractNumId w:val="1"/>
  </w:num>
  <w:num w:numId="19" w16cid:durableId="1956013483">
    <w:abstractNumId w:val="0"/>
  </w:num>
  <w:num w:numId="20" w16cid:durableId="302733616">
    <w:abstractNumId w:val="0"/>
  </w:num>
  <w:num w:numId="21" w16cid:durableId="1302926266">
    <w:abstractNumId w:val="9"/>
  </w:num>
  <w:num w:numId="22" w16cid:durableId="892348297">
    <w:abstractNumId w:val="7"/>
  </w:num>
  <w:num w:numId="23" w16cid:durableId="2051297648">
    <w:abstractNumId w:val="6"/>
  </w:num>
  <w:num w:numId="24" w16cid:durableId="297609318">
    <w:abstractNumId w:val="5"/>
  </w:num>
  <w:num w:numId="25" w16cid:durableId="1184981890">
    <w:abstractNumId w:val="4"/>
  </w:num>
  <w:num w:numId="26" w16cid:durableId="1158577721">
    <w:abstractNumId w:val="8"/>
  </w:num>
  <w:num w:numId="27" w16cid:durableId="95634142">
    <w:abstractNumId w:val="3"/>
  </w:num>
  <w:num w:numId="28" w16cid:durableId="1190922071">
    <w:abstractNumId w:val="2"/>
  </w:num>
  <w:num w:numId="29" w16cid:durableId="665866547">
    <w:abstractNumId w:val="1"/>
  </w:num>
  <w:num w:numId="30" w16cid:durableId="1648511317">
    <w:abstractNumId w:val="0"/>
  </w:num>
  <w:num w:numId="31" w16cid:durableId="42943760">
    <w:abstractNumId w:val="9"/>
  </w:num>
  <w:num w:numId="32" w16cid:durableId="1332368256">
    <w:abstractNumId w:val="7"/>
  </w:num>
  <w:num w:numId="33" w16cid:durableId="1248420783">
    <w:abstractNumId w:val="6"/>
  </w:num>
  <w:num w:numId="34" w16cid:durableId="1993941415">
    <w:abstractNumId w:val="5"/>
  </w:num>
  <w:num w:numId="35" w16cid:durableId="2033845862">
    <w:abstractNumId w:val="4"/>
  </w:num>
  <w:num w:numId="36" w16cid:durableId="1156265455">
    <w:abstractNumId w:val="8"/>
  </w:num>
  <w:num w:numId="37" w16cid:durableId="1735080561">
    <w:abstractNumId w:val="3"/>
  </w:num>
  <w:num w:numId="38" w16cid:durableId="1589118144">
    <w:abstractNumId w:val="2"/>
  </w:num>
  <w:num w:numId="39" w16cid:durableId="1360816606">
    <w:abstractNumId w:val="1"/>
  </w:num>
  <w:num w:numId="40" w16cid:durableId="253369459">
    <w:abstractNumId w:val="0"/>
  </w:num>
  <w:num w:numId="41" w16cid:durableId="1820076092">
    <w:abstractNumId w:val="10"/>
  </w:num>
  <w:num w:numId="42" w16cid:durableId="730541249">
    <w:abstractNumId w:val="10"/>
  </w:num>
  <w:num w:numId="43" w16cid:durableId="977344423">
    <w:abstractNumId w:val="10"/>
  </w:num>
  <w:num w:numId="44" w16cid:durableId="7162016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44/2026"/>
    <w:docVar w:name="dvlangue" w:val="HU"/>
    <w:docVar w:name="dvnumam" w:val="0"/>
    <w:docVar w:name="dvpe" w:val="782.343"/>
    <w:docVar w:name="dvtitre" w:val="Az Európai Parlament 2026.  ...-i állásfoglalása a munkával összefüggő halálesetek száma csökkentésének szükségességéről(2025/3046(RSP))"/>
  </w:docVars>
  <w:rsids>
    <w:rsidRoot w:val="00D9238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61DD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6C85"/>
    <w:rsid w:val="006F74FA"/>
    <w:rsid w:val="00731ADD"/>
    <w:rsid w:val="00734777"/>
    <w:rsid w:val="00735157"/>
    <w:rsid w:val="00747932"/>
    <w:rsid w:val="00751A4A"/>
    <w:rsid w:val="00756632"/>
    <w:rsid w:val="00762C74"/>
    <w:rsid w:val="00786EC0"/>
    <w:rsid w:val="007B3DF5"/>
    <w:rsid w:val="007D1690"/>
    <w:rsid w:val="007E22AD"/>
    <w:rsid w:val="00817416"/>
    <w:rsid w:val="00842779"/>
    <w:rsid w:val="00865F67"/>
    <w:rsid w:val="00881A7B"/>
    <w:rsid w:val="008840E5"/>
    <w:rsid w:val="00887B3E"/>
    <w:rsid w:val="008B7267"/>
    <w:rsid w:val="008C2AC6"/>
    <w:rsid w:val="00930C23"/>
    <w:rsid w:val="0093193B"/>
    <w:rsid w:val="0094513B"/>
    <w:rsid w:val="009509D8"/>
    <w:rsid w:val="00950B64"/>
    <w:rsid w:val="0097206A"/>
    <w:rsid w:val="00981893"/>
    <w:rsid w:val="00986C0C"/>
    <w:rsid w:val="009B418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2386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0DA5B9"/>
  <w15:chartTrackingRefBased/>
  <w15:docId w15:val="{6CE825D7-C9C6-455E-BD0C-6FFEA9CE5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B4187"/>
    <w:pPr>
      <w:spacing w:before="480" w:after="240"/>
    </w:pPr>
  </w:style>
  <w:style w:type="paragraph" w:customStyle="1" w:styleId="NormalHanging12a">
    <w:name w:val="NormalHanging12a"/>
    <w:basedOn w:val="Normal"/>
    <w:rsid w:val="009B4187"/>
    <w:pPr>
      <w:spacing w:after="240"/>
      <w:ind w:left="567" w:hanging="567"/>
    </w:pPr>
  </w:style>
  <w:style w:type="character" w:styleId="Hyperlink">
    <w:name w:val="Hyperlink"/>
    <w:basedOn w:val="DefaultParagraphFont"/>
    <w:rsid w:val="009B418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7206A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doi.org/10.1016/S2468-2667(24)00226-3" TargetMode="External"/><Relationship Id="rId2" Type="http://schemas.openxmlformats.org/officeDocument/2006/relationships/hyperlink" Target="http://data.europa.eu/eli/C/2026/2154/oj" TargetMode="External"/><Relationship Id="rId1" Type="http://schemas.openxmlformats.org/officeDocument/2006/relationships/hyperlink" Target="http://data.europa.eu/eli/dir/1989/391/oj" TargetMode="External"/><Relationship Id="rId4" Type="http://schemas.openxmlformats.org/officeDocument/2006/relationships/hyperlink" Target="http://data.europa.eu/eli/reco/2022/233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4355</Words>
  <Characters>33220</Characters>
  <Application>Microsoft Office Word</Application>
  <DocSecurity>0</DocSecurity>
  <Lines>276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2026-05-21T13:28:00Z</dcterms:created>
  <dcterms:modified xsi:type="dcterms:W3CDTF">2026-05-21T13:28:00Z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B10-0244/2026</vt:lpwstr>
  </property>
  <property fmtid="{D5CDD505-2E9C-101B-9397-08002B2CF9AE}" pid="4" name="&lt;Type&gt;">
    <vt:lpwstr>RR</vt:lpwstr>
  </property>
</Properties>
</file>