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02A3" w14:paraId="0BBBAD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E6526F" w14:textId="77777777" w:rsidR="00751A4A" w:rsidRPr="000402A3" w:rsidRDefault="00A1715E" w:rsidP="0010095E">
            <w:pPr>
              <w:pStyle w:val="EPName"/>
            </w:pPr>
            <w:r w:rsidRPr="000402A3">
              <w:t>Európsky parlament</w:t>
            </w:r>
          </w:p>
          <w:p w14:paraId="2EF557EC" w14:textId="77777777" w:rsidR="00751A4A" w:rsidRPr="000402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02A3">
              <w:t>2024</w:t>
            </w:r>
            <w:r w:rsidR="00817416" w:rsidRPr="000402A3">
              <w:t>-202</w:t>
            </w:r>
            <w:r w:rsidRPr="000402A3">
              <w:t>9</w:t>
            </w:r>
          </w:p>
        </w:tc>
        <w:tc>
          <w:tcPr>
            <w:tcW w:w="2268" w:type="dxa"/>
            <w:shd w:val="clear" w:color="auto" w:fill="auto"/>
          </w:tcPr>
          <w:p w14:paraId="153ACC48" w14:textId="77777777" w:rsidR="00751A4A" w:rsidRPr="000402A3" w:rsidRDefault="00187494" w:rsidP="0010095E">
            <w:pPr>
              <w:pStyle w:val="EPLogo"/>
            </w:pPr>
            <w:r w:rsidRPr="000402A3">
              <w:rPr>
                <w:noProof/>
                <w:lang w:eastAsia="ja-JP"/>
              </w:rPr>
              <w:drawing>
                <wp:inline distT="0" distB="0" distL="0" distR="0" wp14:anchorId="1685819F" wp14:editId="1ACA63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CAA7A" w14:textId="77777777" w:rsidR="00D058B8" w:rsidRPr="000402A3" w:rsidRDefault="00D058B8" w:rsidP="004C5D52">
      <w:pPr>
        <w:pStyle w:val="LineTop"/>
      </w:pPr>
    </w:p>
    <w:p w14:paraId="12F4DF71" w14:textId="77777777" w:rsidR="00680577" w:rsidRPr="000402A3" w:rsidRDefault="00A1715E" w:rsidP="00680577">
      <w:pPr>
        <w:pStyle w:val="EPBodyTA1"/>
      </w:pPr>
      <w:r w:rsidRPr="000402A3">
        <w:t>PRIJATÉ TEXTY</w:t>
      </w:r>
    </w:p>
    <w:p w14:paraId="572CB2B6" w14:textId="77777777" w:rsidR="00D058B8" w:rsidRPr="000402A3" w:rsidRDefault="00D058B8" w:rsidP="00D058B8">
      <w:pPr>
        <w:pStyle w:val="LineBottom"/>
      </w:pPr>
    </w:p>
    <w:p w14:paraId="68D0E6F4" w14:textId="6D0093BE" w:rsidR="00A1715E" w:rsidRPr="000402A3" w:rsidRDefault="00A1715E" w:rsidP="00A1715E">
      <w:pPr>
        <w:pStyle w:val="ATHeading1"/>
      </w:pPr>
      <w:bookmarkStart w:id="0" w:name="TANumber"/>
      <w:r w:rsidRPr="000402A3">
        <w:t>P10_TA(2026)0</w:t>
      </w:r>
      <w:r w:rsidR="00907DCD" w:rsidRPr="000402A3">
        <w:t>191</w:t>
      </w:r>
      <w:bookmarkEnd w:id="0"/>
    </w:p>
    <w:p w14:paraId="3138FBA1" w14:textId="77777777" w:rsidR="00A1715E" w:rsidRPr="000402A3" w:rsidRDefault="00A1715E" w:rsidP="00A1715E">
      <w:pPr>
        <w:pStyle w:val="ATHeading2"/>
      </w:pPr>
      <w:bookmarkStart w:id="1" w:name="title"/>
      <w:r w:rsidRPr="000402A3">
        <w:t>Potreba znížiť počet úmrtí súvisiacich s prácou</w:t>
      </w:r>
      <w:bookmarkEnd w:id="1"/>
    </w:p>
    <w:p w14:paraId="721A12EC" w14:textId="77777777" w:rsidR="00A1715E" w:rsidRPr="000402A3" w:rsidRDefault="00A1715E" w:rsidP="00A1715E">
      <w:pPr>
        <w:rPr>
          <w:i/>
          <w:vanish/>
        </w:rPr>
      </w:pPr>
      <w:r w:rsidRPr="000402A3">
        <w:rPr>
          <w:i/>
        </w:rPr>
        <w:fldChar w:fldCharType="begin"/>
      </w:r>
      <w:r w:rsidRPr="000402A3">
        <w:rPr>
          <w:i/>
        </w:rPr>
        <w:instrText xml:space="preserve"> TC"(</w:instrText>
      </w:r>
      <w:bookmarkStart w:id="2" w:name="DocNumber"/>
      <w:r w:rsidRPr="000402A3">
        <w:rPr>
          <w:i/>
        </w:rPr>
        <w:instrText>B10-0244/2026</w:instrText>
      </w:r>
      <w:bookmarkEnd w:id="2"/>
      <w:r w:rsidRPr="000402A3">
        <w:rPr>
          <w:i/>
        </w:rPr>
        <w:instrText xml:space="preserve">)"\l3 \n&gt; \* MERGEFORMAT </w:instrText>
      </w:r>
      <w:r w:rsidRPr="000402A3">
        <w:rPr>
          <w:i/>
        </w:rPr>
        <w:fldChar w:fldCharType="end"/>
      </w:r>
    </w:p>
    <w:p w14:paraId="6D54D3DA" w14:textId="77777777" w:rsidR="00A1715E" w:rsidRPr="000402A3" w:rsidRDefault="00A1715E" w:rsidP="00A1715E">
      <w:pPr>
        <w:rPr>
          <w:vanish/>
        </w:rPr>
      </w:pPr>
      <w:bookmarkStart w:id="3" w:name="PE"/>
      <w:r w:rsidRPr="000402A3">
        <w:rPr>
          <w:vanish/>
        </w:rPr>
        <w:t>PE782.343</w:t>
      </w:r>
      <w:bookmarkEnd w:id="3"/>
    </w:p>
    <w:p w14:paraId="6A505697" w14:textId="41B40989" w:rsidR="00A1715E" w:rsidRPr="000402A3" w:rsidRDefault="00A1715E" w:rsidP="00A1715E">
      <w:pPr>
        <w:pStyle w:val="ATHeading3"/>
      </w:pPr>
      <w:bookmarkStart w:id="4" w:name="Sujet"/>
      <w:r w:rsidRPr="000402A3">
        <w:t>Uznesenie Európskeho parlamentu z</w:t>
      </w:r>
      <w:r w:rsidR="00F7438B" w:rsidRPr="000402A3">
        <w:t> 21. mája</w:t>
      </w:r>
      <w:r w:rsidRPr="000402A3">
        <w:t xml:space="preserve"> 2026 o potrebe znížiť počet úmrtí súvisiacich s prácou</w:t>
      </w:r>
      <w:bookmarkEnd w:id="4"/>
      <w:r w:rsidRPr="000402A3">
        <w:t xml:space="preserve"> </w:t>
      </w:r>
      <w:bookmarkStart w:id="5" w:name="References"/>
      <w:r w:rsidRPr="000402A3">
        <w:t>(2025/3046(RSP))</w:t>
      </w:r>
      <w:bookmarkEnd w:id="5"/>
    </w:p>
    <w:p w14:paraId="3E0BAFE8" w14:textId="77777777" w:rsidR="007C1283" w:rsidRPr="000402A3" w:rsidRDefault="007C1283" w:rsidP="007C1283">
      <w:pPr>
        <w:pStyle w:val="EPComma"/>
      </w:pPr>
      <w:bookmarkStart w:id="6" w:name="TextBodyBegin"/>
      <w:bookmarkStart w:id="7" w:name="_Hlk229584736"/>
      <w:bookmarkEnd w:id="6"/>
      <w:r w:rsidRPr="000402A3">
        <w:rPr>
          <w:i/>
        </w:rPr>
        <w:t>Európsky parlament</w:t>
      </w:r>
      <w:r w:rsidRPr="000402A3">
        <w:t>,</w:t>
      </w:r>
    </w:p>
    <w:p w14:paraId="61683D1B" w14:textId="77777777" w:rsidR="007C1283" w:rsidRPr="000402A3" w:rsidRDefault="007C1283" w:rsidP="007C1283">
      <w:pPr>
        <w:pStyle w:val="NormalHanging12a"/>
      </w:pPr>
      <w:r w:rsidRPr="000402A3">
        <w:t>–</w:t>
      </w:r>
      <w:r w:rsidRPr="000402A3">
        <w:tab/>
        <w:t>so zreteľom na články 151, 153 a 156 Zmluvy o fungovaní európskej únie,</w:t>
      </w:r>
    </w:p>
    <w:p w14:paraId="76FD2F3D" w14:textId="25FD94EA" w:rsidR="007C1283" w:rsidRPr="000402A3" w:rsidRDefault="007C1283" w:rsidP="007C1283">
      <w:pPr>
        <w:pStyle w:val="NormalHanging12a"/>
      </w:pPr>
      <w:r w:rsidRPr="000402A3">
        <w:t>–</w:t>
      </w:r>
      <w:r w:rsidRPr="000402A3">
        <w:tab/>
        <w:t>so zreteľom na smernicu Rady 89/391/EHS z 12. júna 1989 o zavádzaní opatrení na podporu zlepšenia bezpečnosti a ochrany zdravia pracovníkov pri práci</w:t>
      </w:r>
      <w:r w:rsidRPr="000402A3">
        <w:rPr>
          <w:rStyle w:val="FootnoteReference"/>
        </w:rPr>
        <w:footnoteReference w:id="1"/>
      </w:r>
      <w:r w:rsidRPr="000402A3">
        <w:t>,</w:t>
      </w:r>
    </w:p>
    <w:p w14:paraId="6A0A2FB8" w14:textId="0C46996C" w:rsidR="007C1283" w:rsidRPr="000402A3" w:rsidRDefault="007C1283" w:rsidP="007C1283">
      <w:pPr>
        <w:pStyle w:val="NormalHanging12a"/>
      </w:pPr>
      <w:r w:rsidRPr="000402A3">
        <w:t>–</w:t>
      </w:r>
      <w:r w:rsidRPr="000402A3">
        <w:tab/>
        <w:t>so zreteľom na strategický rámec EÚ v oblasti ochrany zdravia a bezpečnosti pri práci na obdobie 2021 – 2027,</w:t>
      </w:r>
    </w:p>
    <w:p w14:paraId="23D589BA" w14:textId="77777777" w:rsidR="007C1283" w:rsidRPr="000402A3" w:rsidRDefault="007C1283" w:rsidP="007C1283">
      <w:pPr>
        <w:pStyle w:val="NormalHanging12a"/>
      </w:pPr>
      <w:r w:rsidRPr="000402A3">
        <w:t>–</w:t>
      </w:r>
      <w:r w:rsidRPr="000402A3">
        <w:tab/>
        <w:t>so zreteľom na svoje uznesenie z 10. marca 2022 o novom strategickom rámci EÚ v oblasti ochrany zdravia a bezpečnosti pri práci po roku 2020</w:t>
      </w:r>
      <w:r w:rsidRPr="000402A3">
        <w:rPr>
          <w:rStyle w:val="FootnoteReference"/>
        </w:rPr>
        <w:footnoteReference w:id="2"/>
      </w:r>
      <w:r w:rsidRPr="000402A3">
        <w:t>,</w:t>
      </w:r>
    </w:p>
    <w:p w14:paraId="52115CEA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rPr>
          <w:bCs/>
          <w:iCs/>
        </w:rPr>
        <w:t>–</w:t>
      </w:r>
      <w:r w:rsidRPr="000402A3">
        <w:rPr>
          <w:b/>
          <w:i/>
        </w:rPr>
        <w:tab/>
      </w:r>
      <w:r w:rsidRPr="000402A3">
        <w:t>so zreteľom na svoje uznesenie zo 17. decembra 2025 s odporúčaniami pre Komisiu o digitalizácii, umelej inteligencii a algoritmickom riadení na pracovisku – formovanie budúcnosti práce</w:t>
      </w:r>
      <w:r w:rsidRPr="000402A3">
        <w:rPr>
          <w:rStyle w:val="FootnoteReference"/>
          <w:bCs/>
          <w:iCs/>
        </w:rPr>
        <w:footnoteReference w:id="3"/>
      </w:r>
      <w:r w:rsidRPr="000402A3">
        <w:t>,</w:t>
      </w:r>
    </w:p>
    <w:p w14:paraId="7F266D9F" w14:textId="77777777" w:rsidR="007C1283" w:rsidRPr="000402A3" w:rsidRDefault="007C1283" w:rsidP="007C1283">
      <w:pPr>
        <w:pStyle w:val="NormalHanging12a"/>
      </w:pPr>
      <w:r w:rsidRPr="000402A3">
        <w:t>–</w:t>
      </w:r>
      <w:r w:rsidRPr="000402A3">
        <w:tab/>
        <w:t>so zreteľom na Chartu základných práv Európskej únie, najmä na jej článok 31, v ktorom sa uvádza, že každý pracovník má právo na pracovné podmienky, ktoré zohľadňujú jeho zdravie, bezpečnosť a dôstojnosť,</w:t>
      </w:r>
    </w:p>
    <w:p w14:paraId="00486D31" w14:textId="0B78717F" w:rsidR="007C1283" w:rsidRPr="000402A3" w:rsidRDefault="007C1283" w:rsidP="007C1283">
      <w:pPr>
        <w:pStyle w:val="NormalHanging12a"/>
      </w:pPr>
      <w:r w:rsidRPr="000402A3">
        <w:t>–</w:t>
      </w:r>
      <w:r w:rsidRPr="000402A3">
        <w:tab/>
        <w:t>so zreteľom na článok 136 ods. 2 rokovacieho poriadku,</w:t>
      </w:r>
    </w:p>
    <w:p w14:paraId="7591B129" w14:textId="77777777" w:rsidR="007C1283" w:rsidRPr="000402A3" w:rsidRDefault="007C1283" w:rsidP="007C1283">
      <w:pPr>
        <w:pStyle w:val="NormalHanging12a"/>
      </w:pPr>
      <w:r w:rsidRPr="000402A3">
        <w:t>A.</w:t>
      </w:r>
      <w:r w:rsidRPr="000402A3">
        <w:tab/>
        <w:t>keďže bezpečnosť a ochrana zdravia pri práci predstavujú základný pilier európskej sociálnej politiky a sú ústredným prvkom ochrany ľudskej dôstojnosti, základných práv pracovníkov a spravodlivých a bezpečných pracovných podmienok;</w:t>
      </w:r>
    </w:p>
    <w:p w14:paraId="71467338" w14:textId="77777777" w:rsidR="007C1283" w:rsidRPr="000402A3" w:rsidRDefault="007C1283" w:rsidP="007C1283">
      <w:pPr>
        <w:pStyle w:val="NormalHanging12a"/>
      </w:pPr>
      <w:r w:rsidRPr="000402A3">
        <w:t>B.</w:t>
      </w:r>
      <w:r w:rsidRPr="000402A3">
        <w:tab/>
        <w:t xml:space="preserve">keďže v roku 2023 bolo v EÚ zaznamenaných 3 298 smrteľných pracovných úrazov a približne 2,8 milióna nefatálnych pracovných úrazov, ktoré mali za následok aspoň </w:t>
      </w:r>
      <w:r w:rsidRPr="000402A3">
        <w:lastRenderedPageBreak/>
        <w:t>štvordňovú práceneschopnosť; keďže tieto štatistiky naďalej poukazujú na závažné problémy vo vysokorizikových odvetviach s vysokým výskytom pracovných úrazov, ako sú stavebníctvo, doprava, výroba a poľnohospodárstvo;</w:t>
      </w:r>
    </w:p>
    <w:p w14:paraId="36BF2733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C.</w:t>
      </w:r>
      <w:r w:rsidRPr="000402A3">
        <w:tab/>
        <w:t>keďže mladí pracovníci sú zraniteľnejší voči vážnym pracovným úrazom ako ich starší kolegovia, pričom miera úrazovosti je v porovnaní so skúsenejšími pracovníkmi o viac ako 40 % vyššia, čo odzrkadľuje ich zvýšenú zraniteľnosť spôsobenú obmedzenými pracovnými skúsenosťami, nedostatočnou odbornou prípravou a nižšou informovanosťou o rizikách na pracovisku; keďže môžu byť vystavení zlým pracovným podmienkam, ktoré môžu viesť k chorobám z povolania počas ich mladosti alebo neskôr v živote;</w:t>
      </w:r>
    </w:p>
    <w:p w14:paraId="5E4FB31B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D.</w:t>
      </w:r>
      <w:r w:rsidRPr="000402A3">
        <w:tab/>
        <w:t>keďže je dôležité, aby sa na bezpečnosť a ochranu zdravia pri práci uplatňovalo rodové hľadisko, pretože pracovníci môžu byť v závislosti od rodu odlišne vystavení a zraniteľnejší voči rôznym druhom látok alebo rizík;</w:t>
      </w:r>
    </w:p>
    <w:p w14:paraId="3296FC02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E.</w:t>
      </w:r>
      <w:r w:rsidRPr="000402A3">
        <w:tab/>
        <w:t>keďže pracovníci v odvetviach, ako je zdravotníctvo a sociálna starostlivosť, sú vystavení násiliu a psychosociálnym rizikám a čelia takisto významným a často podceňovaným rizikám týkajúcim sa ich bezpečnosti; keďže násilie a šikanovanie na pracovisku môžu spôsobiť vážnu psychickú ujmu a sú spojené so zvýšeným rizikom problémov duševného zdravia; keďže tieto javy sa zaznamenávajú najmä v zdravotníctve a v službách starostlivosti;</w:t>
      </w:r>
    </w:p>
    <w:p w14:paraId="654EB376" w14:textId="514D939D" w:rsidR="007C1283" w:rsidRPr="000402A3" w:rsidRDefault="007C1283" w:rsidP="007C1283">
      <w:pPr>
        <w:pStyle w:val="NormalHanging12a"/>
        <w:rPr>
          <w:bCs/>
          <w:iCs/>
        </w:rPr>
      </w:pPr>
      <w:r w:rsidRPr="000402A3">
        <w:t>F.</w:t>
      </w:r>
      <w:r w:rsidRPr="000402A3">
        <w:tab/>
        <w:t xml:space="preserve">keďže v posledných rokoch viaceré členské štáty zaznamenali výrazný nárast útokov voči </w:t>
      </w:r>
      <w:r w:rsidR="008F1681" w:rsidRPr="000402A3">
        <w:rPr>
          <w:bCs/>
          <w:iCs/>
        </w:rPr>
        <w:t>predstaviteľom verejnej moci vykonávajúcim úlohy v oblasti presadzovania práva</w:t>
      </w:r>
      <w:r w:rsidRPr="000402A3">
        <w:t xml:space="preserve">, ako aj pracovníkom pohotovostných záchranných služieb; keďže niektoré profesionálne činnosti, najmä tie, ktoré súvisia s výkonom verejnej moci a legitímnym použitím sily, sa vyznačujú štrukturálnym a trvalým vystavením riziku vážneho fyzického zranenia alebo smrti v dôsledku úmyselných násilných činov tretích strán; keďže hrozby a úmyselné násilné činy voči pracovníkom pohotovostných záchranných služieb, ako sú </w:t>
      </w:r>
      <w:proofErr w:type="spellStart"/>
      <w:r w:rsidRPr="000402A3">
        <w:t>paramedici</w:t>
      </w:r>
      <w:proofErr w:type="spellEnd"/>
      <w:r w:rsidRPr="000402A3">
        <w:t xml:space="preserve"> a hasiči, sú skôr novým fenoménom</w:t>
      </w:r>
      <w:r w:rsidR="00F7438B" w:rsidRPr="000402A3">
        <w:t>;</w:t>
      </w:r>
      <w:r w:rsidRPr="000402A3">
        <w:t xml:space="preserve"> keďže takéto vystavenie zahŕňajúce úmyselné činy tretích strán odlišuje tieto povolania od iných foriem nebezpečnej práce a odôvodňuje osobitné uznanie povahy súvisiacich rizík;</w:t>
      </w:r>
    </w:p>
    <w:p w14:paraId="1747B4CC" w14:textId="65C193D8" w:rsidR="007C1283" w:rsidRPr="000402A3" w:rsidRDefault="007C1283" w:rsidP="007C1283">
      <w:pPr>
        <w:pStyle w:val="NormalHanging12a"/>
        <w:rPr>
          <w:bCs/>
          <w:iCs/>
        </w:rPr>
      </w:pPr>
      <w:r w:rsidRPr="000402A3">
        <w:t>G.</w:t>
      </w:r>
      <w:r w:rsidRPr="000402A3">
        <w:tab/>
        <w:t>keďže cezhraniční a migrujúci pracovníci vrátane pracovníkov z tretích krajín sú obzvlášť zraniteľní voči pracovnému vykorisťovaniu a formám nelegálnosti v súvislosti s prácou; keďže z výskumu vyplýva, že na celom svete títo pracovníci čelia v porovnaní s miestnymi pracovníkmi približne o 70 % vyššiemu riziku smrteľných pracovných úrazov</w:t>
      </w:r>
      <w:r w:rsidRPr="000402A3">
        <w:rPr>
          <w:bCs/>
          <w:iCs/>
          <w:vertAlign w:val="superscript"/>
        </w:rPr>
        <w:footnoteReference w:id="4"/>
      </w:r>
      <w:r w:rsidRPr="000402A3">
        <w:t xml:space="preserve"> a že v EÚ je toto riziko takisto výrazne vyššie, približne na úrovni 65 %, najmä u pracovníkov z východnej Európy; keďže štátni príslušníci tretích krajín čelia trojnásobne vyššiemu riziku pracovných úrazov a odhaduje sa, že je nahlásený len približne každý piaty úraz, čo upozorňuje na výrazné podhodnotenie tohto javu a potrebu posilniť mechanizmy ochrany a presadzovania a dodržiavať zákonnosť a dôstojnosť práce;</w:t>
      </w:r>
    </w:p>
    <w:p w14:paraId="34EFC469" w14:textId="77777777" w:rsidR="007C1283" w:rsidRPr="000402A3" w:rsidRDefault="007C1283" w:rsidP="007C1283">
      <w:pPr>
        <w:pStyle w:val="NormalHanging12a"/>
      </w:pPr>
      <w:r w:rsidRPr="000402A3">
        <w:t>H.</w:t>
      </w:r>
      <w:r w:rsidRPr="000402A3">
        <w:tab/>
        <w:t xml:space="preserve">keďže značný počet úmrtí súvisiacich s prácou je spôsobený chorobami z povolania, </w:t>
      </w:r>
      <w:r w:rsidRPr="000402A3">
        <w:lastRenderedPageBreak/>
        <w:t xml:space="preserve">ktoré sú príliš často podceňované, nedostatočne uznávané a nedostatočne nahlasované, najmä z dôvodu nerovností v prístupe k starostlivosti, prevencii a následnej kontrole, nedostatočnej </w:t>
      </w:r>
      <w:proofErr w:type="spellStart"/>
      <w:r w:rsidRPr="000402A3">
        <w:t>vysledovateľnosti</w:t>
      </w:r>
      <w:proofErr w:type="spellEnd"/>
      <w:r w:rsidRPr="000402A3">
        <w:t xml:space="preserve"> expozície a latencie určitých ochorení; keďže nedostatočné nahlasovanie a nedostatočné uznávanie chorôb z povolania oslabuje účinnosť politík v oblasti prevencie, mechanizmy odškodňovania a systémy presadzovania;</w:t>
      </w:r>
    </w:p>
    <w:p w14:paraId="6D4EC2DD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I.</w:t>
      </w:r>
      <w:r w:rsidRPr="000402A3">
        <w:tab/>
        <w:t>keďže rakovina je v EÚ hlavnou príčinou úmrtí súvisiacich s prácou; keďže pracovníci môžu byť na pracovisku vystavení kombinácii látok, ktoré ďalej zvyšujú zdravotné riziká; keďže vystavenie faktorom, ako je žiarenie, stres súvisiaci s prácou, nevhodná organizácia práce a pracovné podmienky, je spojené s rakovinou z povolania; keďže počet prípadov rakoviny kože ako jednej z najviac rozšírených chorôb z povolania sa zvyšuje, pričom len obmedzený podiel týchto prípadov je uznaných za prípady choroby z povolania;</w:t>
      </w:r>
    </w:p>
    <w:p w14:paraId="01968682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J.</w:t>
      </w:r>
      <w:r w:rsidRPr="000402A3">
        <w:tab/>
        <w:t>keďže v súvislosti s aktualizovaným odporúčaním Komisie o chorobách z povolania prijatým 28. novembra 2022</w:t>
      </w:r>
      <w:r w:rsidRPr="000402A3">
        <w:rPr>
          <w:rStyle w:val="FootnoteReference"/>
          <w:bCs/>
          <w:iCs/>
        </w:rPr>
        <w:footnoteReference w:id="5"/>
      </w:r>
      <w:r w:rsidRPr="000402A3">
        <w:t xml:space="preserve"> sa zdôraznilo, že je dôležité podporiť pracovníkov, ktorí sú vystavení pracovným rizikám, a rodiny, ktoré prišli o svojich príbuzných v dôsledku takéhoto vystavenia, a to aj prostredníctvom poskytnutia primeranej pomoci;</w:t>
      </w:r>
    </w:p>
    <w:p w14:paraId="06B2E433" w14:textId="77777777" w:rsidR="007C1283" w:rsidRPr="000402A3" w:rsidRDefault="007C1283" w:rsidP="007C1283">
      <w:pPr>
        <w:pStyle w:val="NormalHanging12a"/>
      </w:pPr>
      <w:r w:rsidRPr="000402A3">
        <w:t>K.</w:t>
      </w:r>
      <w:r w:rsidRPr="000402A3">
        <w:tab/>
        <w:t>keďže prevencia pracovných úrazov a chorôb z povolania je základom európskej sociálnej politiky a práva na voľný pohyb pracovníkov; keďže nejde len o právnu povinnosť vyplývajúcu z práva Únie, najmä zo smernice Rady 89/391/EHS, a z vnútroštátnych právnych poriadkov, ale aj o strategickú sociálnu a hospodársku investíciu, ktorá môže mať pozitívny a trvalý vplyv na pracovníkov, podniky a komunity ako celok a prispieť k zníženiu rizík, obmedzeniu sociálno-ekonomických nákladov spojených s pracovnými úrazmi, ako aj k celkovému zlepšeniu kvality a udržateľnosti pracovného prostredia;</w:t>
      </w:r>
    </w:p>
    <w:p w14:paraId="17E92A22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L.</w:t>
      </w:r>
      <w:r w:rsidRPr="000402A3">
        <w:tab/>
        <w:t>keďže osobitná odborná príprava poskytovaná dobrovoľným hasičom vrátane odbornej prípravy v oblasti prvej pomoci, posudzovania rizík, evakuačných postupov a predchádzania požiarom preukázateľne zvyšuje bezpečnosť na pracovisku tým, že umožňuje rýchlu a účinnú reakciu na závažné incidenty a podporuje kultúru predchádzania rizikám, čím prispieva k zníženiu závažnosti pracovných úrazov; keďže podľa smernice 89/391/EHS majú zamestnávatelia zákonnú povinnosť vykonávať posudzovanie rizík, poskytovať odbornú prípravu a zabezpečovať opatrenia v oblasti prvej pomoci, hasenia požiarov a evakuácie a že podpora zručností dobrovoľných hasičov na pracovisku môže dopĺňať tieto povinnosti a ďalej posilniť bezpečnosť pri práci;</w:t>
      </w:r>
    </w:p>
    <w:p w14:paraId="670222C5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M.</w:t>
      </w:r>
      <w:r w:rsidRPr="000402A3">
        <w:tab/>
        <w:t>keďže inšpekcie práce zohrávajú kľúčovú úlohu pri zabezpečovaní účinného vykonávania politiky bezpečnosti a ochrany zdravia pri práci na národnej, regionálnej a miestnej úrovni a sú nevyhnutné na predchádzanie pracovnému vykorisťovaniu a nebezpečným pracovným podmienkam;</w:t>
      </w:r>
    </w:p>
    <w:p w14:paraId="57FCBB8A" w14:textId="77777777" w:rsidR="007C1283" w:rsidRPr="000402A3" w:rsidRDefault="007C1283" w:rsidP="007C1283">
      <w:pPr>
        <w:pStyle w:val="NormalHanging12a"/>
      </w:pPr>
      <w:r w:rsidRPr="000402A3">
        <w:t>N.</w:t>
      </w:r>
      <w:r w:rsidRPr="000402A3">
        <w:tab/>
        <w:t xml:space="preserve">keďže zásadné zmeny vo svete práce vrátane šírenia neštandardných foriem práce, neistej práce, zvyšujúceho sa podielu mladých pracovníkov zamestnaných v neistých a </w:t>
      </w:r>
      <w:r w:rsidRPr="000402A3">
        <w:lastRenderedPageBreak/>
        <w:t>rizikových zamestnaniach, starnutia pracovnej sily, digitalizácie, zavádzania nových technológií a globalizácie viedli k zvýšeniu psychosociálnych rizík, pracovného stresu a nových výziev v oblasti ochrany zdravia pri práci, čo si vyžaduje širšie a integrovanejšie stratégie prevencie;</w:t>
      </w:r>
    </w:p>
    <w:p w14:paraId="15B388BC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O.</w:t>
      </w:r>
      <w:r w:rsidRPr="000402A3">
        <w:tab/>
        <w:t>keďže psychosociálne riziká v práci, ako je chronický stres, syndróm vyhorenia a obťažovanie, sú hlavným a rastúcim faktorom zlého zdravotného stavu a úmrtí súvisiacich s prácou a sú často podceňované, nedostatočne nahlasované a nedostatočne riešené;</w:t>
      </w:r>
    </w:p>
    <w:p w14:paraId="2391417B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P.</w:t>
      </w:r>
      <w:r w:rsidRPr="000402A3">
        <w:tab/>
        <w:t>keďže psychologicky podporujúce pracovné prostredie je nevyhnutné na duševné zdravie a fyzickú pohodu pracovníkov; keďže psychosociálne riziká môžu vyplývať z nevhodného dizajnu práce a zo zlých organizačných alebo riadiacich postupov a môžu viesť k stresu, úzkosti, vyhoreniu a depresii; keďže dlhodobé vystavenie nepriaznivým psychosociálnym pracovným podmienkam sa spája so závažnými dôsledkami pre duševné zdravie vrátane chronických chorôb a zvýšeného rizika samovrážd;</w:t>
      </w:r>
    </w:p>
    <w:p w14:paraId="1689D378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Q.</w:t>
      </w:r>
      <w:r w:rsidRPr="000402A3">
        <w:tab/>
        <w:t>keďže rastúce využívanie umelej inteligencie a systémov algoritmického riadenia na pracovisku môže zintenzívniť pracovné tempo, viesť k vyššiemu pracovnému zaťaženiu, zvýšiť psychosociálne riziká, narušiť samostatnosť pracovníkov a vytvoriť nové riziká pre bezpečnosť a zdravie pri práci;</w:t>
      </w:r>
    </w:p>
    <w:p w14:paraId="40825685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R.</w:t>
      </w:r>
      <w:r w:rsidRPr="000402A3">
        <w:tab/>
        <w:t>keďže zmena klímy vrátane rastúcich teplôt, častejších a intenzívnejších vĺn horúčav a iných extrémnych poveternostných javov predstavuje rastúce a mnohostranné riziko pre zdravie, bezpečnosť a pracovné podmienky pracovníkov v celej EÚ; keďže dlhodobé vystavenie vysokým teplotám môže mať vážne zdravotné následky, ako je vyčerpanie z horúčav, úpal a iné ochorenia súvisiace s teplom, a zároveň zvyšuje pravdepodobnosť únavy, zníženej koncentrácie a zhoršeného rozhodovania a tým aj pracovných úrazov, čo si vyžaduje cielené preventívne a ochranné opatrenia;</w:t>
      </w:r>
    </w:p>
    <w:p w14:paraId="633E016F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S.</w:t>
      </w:r>
      <w:r w:rsidRPr="000402A3">
        <w:tab/>
        <w:t>keďže účinné stratégie prevencie, opatrenia na zvyšovanie povedomia, iniciatívy zamerané na dobré životné podmienky a podpora silnej kultúry bezpečnosti a ochrany zdravia pri práci sú nevyhnutné na predchádzanie závažným úrazom a chorobám z povolania a na zníženie počtu úmrtí súvisiacich s prácou; keďže takéto preventívne prístupy nielen chránia zdravie a bezpečnosť pracovníkov, ale prinášajú aj ekonomické výhody pre podniky a pre celú spoločnosť;</w:t>
      </w:r>
    </w:p>
    <w:p w14:paraId="5CC9E659" w14:textId="77777777" w:rsidR="007C1283" w:rsidRPr="000402A3" w:rsidRDefault="007C1283" w:rsidP="007C1283">
      <w:pPr>
        <w:pStyle w:val="NormalHanging12a"/>
      </w:pPr>
      <w:r w:rsidRPr="000402A3">
        <w:t>T.</w:t>
      </w:r>
      <w:r w:rsidRPr="000402A3">
        <w:tab/>
        <w:t>keďže je potrebné zintenzívniť úsilie na dosiahnutie cieľov stanovených v Agende 2030 pre udržateľný rozvoj, najmä cieľa 8.8: „Chrániť pracovné práva a presadzovať bezpečné a spoľahlivé pracovné prostredie pre všetkých pracujúcich, vrátane migrujúcich pracovníkov, predovšetkým migrantiek, a tých, ktorých zamestnanie je neisté“;</w:t>
      </w:r>
    </w:p>
    <w:p w14:paraId="4896DB2B" w14:textId="77777777" w:rsidR="007C1283" w:rsidRPr="000402A3" w:rsidRDefault="007C1283" w:rsidP="007C1283">
      <w:pPr>
        <w:pStyle w:val="NormalHanging12a"/>
      </w:pPr>
      <w:r w:rsidRPr="000402A3">
        <w:t>U.</w:t>
      </w:r>
      <w:r w:rsidRPr="000402A3">
        <w:tab/>
        <w:t>keďže vo svojom uznesení z 10. marca 2022 uvítal zavedenie prístupu vízie nulovej úmrtnosti v prípade pracovných úrazov a chorôb z povolania, pričom vyzval na vypracovanie ambiciózneho plánu na zníženie počtu pracovných úrazov a odstránenie úmrtí na pracovisku a chorôb z povolania, ako aj na posilnenie preventívnych opatrení a presadzovanie existujúcich právnych predpisov v oblasti bezpečnosti a ochrany zdravia pri práci; keďže cieľ nulovej úmrtnosti by sa mal považovať nielen za politický cieľ, ale aj za etickú a spoločenskú povinnosť voči všetkým pracovníkom;</w:t>
      </w:r>
    </w:p>
    <w:p w14:paraId="5E62DD9B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lastRenderedPageBreak/>
        <w:t>V.</w:t>
      </w:r>
      <w:r w:rsidRPr="000402A3">
        <w:tab/>
        <w:t>keďže právo každého pracovníka na bezpečné a zdravé pracovné prostredie musí byť plne zaručené prostredníctvom účinných opatrení na predchádzanie pracovným úrazom a chorobám z povolania, ako aj prostredníctvom pravidelných kontrol a skutočne odrádzajúcich sankcií, ktoré musia byť podporené primeranými zdrojmi pre príslušné orgány; keďže nedodržiavanie právnych predpisov v oblasti bezpečnosti a ochrany zdravia pri práci je základnou súčasťou pracovného vykorisťovania a podkopáva dosiahnutie cieľa nulovej úmrtnosti, preto je nevyhnutné zabezpečiť dôsledné a účinné presadzovanie existujúcich právnych predpisov, a to aj posilnením inšpektorátov práce a ich kontrolných a sankčných nástrojov;</w:t>
      </w:r>
    </w:p>
    <w:p w14:paraId="11DC6D1C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W.</w:t>
      </w:r>
      <w:r w:rsidRPr="000402A3">
        <w:tab/>
        <w:t>keďže účinné vykonávanie prístupu vízie nulovej úmrtnosti si vyžaduje merateľné opatrenia a ciele, komplexný prístup zahŕňajúci všetky pracovné úrazy a choroby z povolania, rozvoj a podporu kultúry prevencie a primerané zdroje;</w:t>
      </w:r>
    </w:p>
    <w:p w14:paraId="505290EE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X.</w:t>
      </w:r>
      <w:r w:rsidRPr="000402A3">
        <w:tab/>
        <w:t>keďže odbory a zástupcovia pracovníkov zohrávajú dôležitú úlohu pri ochrane bezpečnosti a ochrany zdravia pri práci, a to aj pokiaľ ide o monitorovanie dodržiavania a podporu účinného vykonávania existujúcich pravidiel; keďže však v rozsahu pôsobnosti smernice 89/391/EHS pretrvávajú nedostatky, najmä pokiaľ ide o určité kategórie pracovníkov vrátane pracovníkov v domácnosti, ktorí sú čiastočne alebo úplne vylúčení z ochrany, čím sa narúša zásada rovnakej ochrany, najmä pokiaľ ide o ženy, štátnych príslušníkov tretích krajín a iné skupiny v zraniteľných situáciách, čo si vyžaduje zabezpečenie primeranej a jednotnej úrovne ochrany;</w:t>
      </w:r>
    </w:p>
    <w:p w14:paraId="0A8ED86D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Y.</w:t>
      </w:r>
      <w:r w:rsidRPr="000402A3">
        <w:tab/>
        <w:t>keďže súčasný strategický rámec EÚ v oblasti ochrany zdravia a bezpečnosti pri práci na obdobie 2021 – 2027 sa blíži ku koncu; keďže na urýchlenie pokroku pri dosahovaní cieľa nulovej úmrtnosti bude potrebné obnoviť politický záväzok a aktualizovať ambicióznejší rámec;</w:t>
      </w:r>
    </w:p>
    <w:p w14:paraId="25117889" w14:textId="77777777" w:rsidR="007C1283" w:rsidRPr="000402A3" w:rsidRDefault="007C1283" w:rsidP="007C1283">
      <w:pPr>
        <w:pStyle w:val="NormalHanging12a"/>
      </w:pPr>
      <w:r w:rsidRPr="000402A3">
        <w:t>Z.</w:t>
      </w:r>
      <w:r w:rsidRPr="000402A3">
        <w:tab/>
        <w:t>keďže spomienka na obete pracovných úrazov je aktom kolektívnej pamäte a morálnej zodpovednosti, ktorý pomáha zachovať vysoké povedomie verejnosti o hodnote ľudského života, posilniť kultúru prevencie a obnoviť záväzok európskych a národných inštitúcií k cieľu nulovej úmrtnosti na pracovisku;</w:t>
      </w:r>
    </w:p>
    <w:p w14:paraId="2A49D652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AA.</w:t>
      </w:r>
      <w:r w:rsidRPr="000402A3">
        <w:tab/>
        <w:t>keďže kolektívna pamäť sa musí premietnuť do zodpovednosti, a to aj prostredníctvom spoľahlivého podávania správ; keďže je často mimoriadne ťažké zaznamenať všetky pracovné úrazy vrátane smrteľných; keďže je potrebné zabezpečiť, aby všetci pracovníci využívali primeranú úroveň sociálnej ochrany;</w:t>
      </w:r>
    </w:p>
    <w:p w14:paraId="6DAFC441" w14:textId="77777777" w:rsidR="007C1283" w:rsidRPr="000402A3" w:rsidRDefault="007C1283" w:rsidP="007C1283">
      <w:pPr>
        <w:pStyle w:val="NormalHanging12a"/>
      </w:pPr>
      <w:r w:rsidRPr="000402A3">
        <w:t>AB.</w:t>
      </w:r>
      <w:r w:rsidRPr="000402A3">
        <w:tab/>
        <w:t xml:space="preserve">keďže tragédia v bani </w:t>
      </w:r>
      <w:proofErr w:type="spellStart"/>
      <w:r w:rsidRPr="000402A3">
        <w:t>Bois</w:t>
      </w:r>
      <w:proofErr w:type="spellEnd"/>
      <w:r w:rsidRPr="000402A3">
        <w:t xml:space="preserve"> </w:t>
      </w:r>
      <w:proofErr w:type="spellStart"/>
      <w:r w:rsidRPr="000402A3">
        <w:t>du</w:t>
      </w:r>
      <w:proofErr w:type="spellEnd"/>
      <w:r w:rsidRPr="000402A3">
        <w:t xml:space="preserve"> </w:t>
      </w:r>
      <w:proofErr w:type="spellStart"/>
      <w:r w:rsidRPr="000402A3">
        <w:t>Cazier</w:t>
      </w:r>
      <w:proofErr w:type="spellEnd"/>
      <w:r w:rsidRPr="000402A3">
        <w:t xml:space="preserve"> v meste </w:t>
      </w:r>
      <w:proofErr w:type="spellStart"/>
      <w:r w:rsidRPr="000402A3">
        <w:t>Marcinelle</w:t>
      </w:r>
      <w:proofErr w:type="spellEnd"/>
      <w:r w:rsidRPr="000402A3">
        <w:t>, ku ktorej došlo 8. augusta 1956 a ktorá si vyžiadala život 262 baníkov, z ktorých mnohí boli občanmi štátov, ktoré sú dnes súčasťou Európskej únie, je trvalým symbolom boja za dôstojnú prácu, solidaritu a sociálnu spravodlivosť v Európe;</w:t>
      </w:r>
    </w:p>
    <w:p w14:paraId="0B08E1DC" w14:textId="77777777" w:rsidR="007C1283" w:rsidRPr="000402A3" w:rsidRDefault="007C1283" w:rsidP="007C1283">
      <w:pPr>
        <w:pStyle w:val="NormalHanging12a"/>
        <w:rPr>
          <w:i/>
          <w:iCs/>
        </w:rPr>
      </w:pPr>
      <w:r w:rsidRPr="000402A3">
        <w:t>AC.</w:t>
      </w:r>
      <w:r w:rsidRPr="000402A3">
        <w:tab/>
        <w:t xml:space="preserve">keďže medzi obeťami boli príslušníci viacerých európskych národností, tragédia v </w:t>
      </w:r>
      <w:proofErr w:type="spellStart"/>
      <w:r w:rsidRPr="000402A3">
        <w:t>Marcinelle</w:t>
      </w:r>
      <w:proofErr w:type="spellEnd"/>
      <w:r w:rsidRPr="000402A3">
        <w:t xml:space="preserve"> bola prvým kolektívnym nešťastím, ku ktorému došlo v Európe, ktorá sa už vtedy zaoberala myšlienkami na bratstvo v kľúčových otázkach, ako je práca, bezpečnosť, spravodlivosť a dôstojnosť;</w:t>
      </w:r>
    </w:p>
    <w:p w14:paraId="6ECD6C4B" w14:textId="77777777" w:rsidR="007C1283" w:rsidRPr="000402A3" w:rsidRDefault="007C1283" w:rsidP="007C1283">
      <w:pPr>
        <w:pStyle w:val="NormalHanging12a"/>
      </w:pPr>
      <w:r w:rsidRPr="000402A3">
        <w:t>AD.</w:t>
      </w:r>
      <w:r w:rsidRPr="000402A3">
        <w:tab/>
        <w:t xml:space="preserve">keďže pripomínanie si nešťastia v </w:t>
      </w:r>
      <w:proofErr w:type="spellStart"/>
      <w:r w:rsidRPr="000402A3">
        <w:t>Marcinelle</w:t>
      </w:r>
      <w:proofErr w:type="spellEnd"/>
      <w:r w:rsidRPr="000402A3">
        <w:t xml:space="preserve"> udržiava nažive povedomie o základnej hodnote voľného pohybu pracovníkov a ich právach a bezpečnosti, čo sú priority účinnej a konkurencieschopnej sociálnej Európy;</w:t>
      </w:r>
    </w:p>
    <w:p w14:paraId="59C05C00" w14:textId="77777777" w:rsidR="007C1283" w:rsidRPr="000402A3" w:rsidRDefault="007C1283" w:rsidP="007C1283">
      <w:pPr>
        <w:pStyle w:val="NormalHanging12a"/>
      </w:pPr>
      <w:r w:rsidRPr="000402A3">
        <w:lastRenderedPageBreak/>
        <w:t>AE.</w:t>
      </w:r>
      <w:r w:rsidRPr="000402A3">
        <w:tab/>
        <w:t xml:space="preserve">keďže ďalšie minulé tragédie súvisiace s prácou vrátane požiaru v bani </w:t>
      </w:r>
      <w:proofErr w:type="spellStart"/>
      <w:r w:rsidRPr="000402A3">
        <w:t>Marie</w:t>
      </w:r>
      <w:proofErr w:type="spellEnd"/>
      <w:r w:rsidRPr="000402A3">
        <w:t xml:space="preserve"> 31. mája 1892, banského nešťastia v </w:t>
      </w:r>
      <w:proofErr w:type="spellStart"/>
      <w:r w:rsidRPr="000402A3">
        <w:t>Courrières</w:t>
      </w:r>
      <w:proofErr w:type="spellEnd"/>
      <w:r w:rsidRPr="000402A3">
        <w:t xml:space="preserve"> 10. marca 1906, banského nešťastia v </w:t>
      </w:r>
      <w:proofErr w:type="spellStart"/>
      <w:r w:rsidRPr="000402A3">
        <w:t>Luisenthale</w:t>
      </w:r>
      <w:proofErr w:type="spellEnd"/>
      <w:r w:rsidRPr="000402A3">
        <w:t xml:space="preserve"> 7. februára 1962, banského nešťastia v </w:t>
      </w:r>
      <w:proofErr w:type="spellStart"/>
      <w:r w:rsidRPr="000402A3">
        <w:t>Aliveri</w:t>
      </w:r>
      <w:proofErr w:type="spellEnd"/>
      <w:r w:rsidRPr="000402A3">
        <w:t xml:space="preserve"> v roku 1968, výbuchu v továrni na náboje </w:t>
      </w:r>
      <w:proofErr w:type="spellStart"/>
      <w:r w:rsidRPr="000402A3">
        <w:t>Lapua</w:t>
      </w:r>
      <w:proofErr w:type="spellEnd"/>
      <w:r w:rsidRPr="000402A3">
        <w:t xml:space="preserve"> vo Fínsku v roku 1976 a smrteľného výbuchu a požiaru v závode </w:t>
      </w:r>
      <w:proofErr w:type="spellStart"/>
      <w:r w:rsidRPr="000402A3">
        <w:t>Violanta</w:t>
      </w:r>
      <w:proofErr w:type="spellEnd"/>
      <w:r w:rsidRPr="000402A3">
        <w:t xml:space="preserve"> v Grécku v januári 2026, sú hlboko zakorenené v kolektívnej pamäti viacerých členských štátov a neustále pripomínajú naliehavú potrebu účinných opatrení na prevenciu a ochranu pracovníkov;</w:t>
      </w:r>
    </w:p>
    <w:p w14:paraId="4396556D" w14:textId="77777777" w:rsidR="007C1283" w:rsidRPr="000402A3" w:rsidRDefault="007C1283" w:rsidP="007C1283">
      <w:pPr>
        <w:pStyle w:val="NormalHanging12a"/>
      </w:pPr>
      <w:r w:rsidRPr="000402A3">
        <w:t>1.</w:t>
      </w:r>
      <w:r w:rsidRPr="000402A3">
        <w:tab/>
        <w:t xml:space="preserve">vyzýva na ustanovenie Európskeho dňa spomienky na obete pracovných úrazov a ochrany a dôstojnosti pracovníkov, ktorý by sme si každoročne pripomínali 8. augusta, na počesť pamiatky obetí tragédie v bani </w:t>
      </w:r>
      <w:proofErr w:type="spellStart"/>
      <w:r w:rsidRPr="000402A3">
        <w:t>Bois</w:t>
      </w:r>
      <w:proofErr w:type="spellEnd"/>
      <w:r w:rsidRPr="000402A3">
        <w:t xml:space="preserve"> </w:t>
      </w:r>
      <w:proofErr w:type="spellStart"/>
      <w:r w:rsidRPr="000402A3">
        <w:t>du</w:t>
      </w:r>
      <w:proofErr w:type="spellEnd"/>
      <w:r w:rsidRPr="000402A3">
        <w:t xml:space="preserve"> </w:t>
      </w:r>
      <w:proofErr w:type="spellStart"/>
      <w:r w:rsidRPr="000402A3">
        <w:t>Cazier</w:t>
      </w:r>
      <w:proofErr w:type="spellEnd"/>
      <w:r w:rsidRPr="000402A3">
        <w:t xml:space="preserve"> v </w:t>
      </w:r>
      <w:proofErr w:type="spellStart"/>
      <w:r w:rsidRPr="000402A3">
        <w:t>Marcinelle</w:t>
      </w:r>
      <w:proofErr w:type="spellEnd"/>
      <w:r w:rsidRPr="000402A3">
        <w:t>, ktorá vzhľadom na svoj európsky rozmer – keďže postihla pracovníkov z viacerých štátov, ktoré sú v súčasnosti členmi EÚ – predstavuje spoločný symbol boja za dôstojnú prácu a nevyhnutnosti spoločnej ochrany zdravia a bezpečnosti pri práci;</w:t>
      </w:r>
    </w:p>
    <w:p w14:paraId="7957FFE0" w14:textId="77777777" w:rsidR="007C1283" w:rsidRPr="000402A3" w:rsidRDefault="007C1283" w:rsidP="007C1283">
      <w:pPr>
        <w:pStyle w:val="NormalHanging12a"/>
      </w:pPr>
      <w:r w:rsidRPr="000402A3">
        <w:t>2.</w:t>
      </w:r>
      <w:r w:rsidRPr="000402A3">
        <w:tab/>
        <w:t xml:space="preserve">potvrdzuje ciele tohto európskeho dňa, a to pripomínať si obete pracovných úrazov a chorôb z povolania a zvyšovať povedomie širokej verejnosti, podnikov a inštitúcií o význame prevencie, bezpečnosti pri práci a dôstojných pracovných podmienok; pripomína však, že zvyšovanie povedomia by malo byť spojené so súčasnými rizikami pre bezpečnosť a ochranu zdravia, čím by sa skutočne prispelo k predchádzaniu úmrtiam, úrazom a chorobám na pracovisku; zdôrazňuje, že tento európsky deň môže pomôcť posilniť záväzok EÚ a členských štátov k prístupu vízie nulovej úmrtnosti, a to najmä podporou prevencie na pracovisku, presadzovania bezpečnej a dôstojnej práce, odbornej prípravy, zvyšovania povedomia o vznikajúcich rizikách, sociálneho dialógu a účinného presadzovania existujúcich právnych predpisov, ako aj posilnením činnosti EÚ na riešenie psychosociálnych rizík, </w:t>
      </w:r>
      <w:proofErr w:type="spellStart"/>
      <w:r w:rsidRPr="000402A3">
        <w:t>muskuloskeletálnych</w:t>
      </w:r>
      <w:proofErr w:type="spellEnd"/>
      <w:r w:rsidRPr="000402A3">
        <w:t xml:space="preserve"> porúch a rizík pre zdravie pri práci súvisiacich s extrémnymi poveternostnými javmi vo všetkých odvetviach a v podnikoch všetkých veľkostí; domnieva sa, že tento európsky deň by bol každoročnou príležitosťou na posúdenie pokroku dosiahnutého pri plnení cieľa vízie nulovej úmrtnosti, na identifikáciu nedostatkov v prevencii a presadzovaní predpisov a na posilnenie politickej zodpovednosti na vnútroštátnej úrovni a na úrovni EÚ a na opätovné potvrdenie potreby účinných kontrol;</w:t>
      </w:r>
    </w:p>
    <w:p w14:paraId="400026F1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3.</w:t>
      </w:r>
      <w:r w:rsidRPr="000402A3">
        <w:tab/>
        <w:t>zdôrazňuje, že tento európsky deň, ktorý by dopĺňal Svetový deň bezpečnosti a ochrany zdravia pri práci organizovaný Medzinárodnou organizáciou práce 28. apríla, by mal podporovať konkrétne iniciatívy v školách, na pracoviskách a v inštitúciách vrátane kampaní na zvýšenie povedomia, programov odbornej prípravy a výmeny najlepších postupov v oblasti prevencie, čím sa posilní kultúra bezpečnosti naprieč generáciami a odvetviami;</w:t>
      </w:r>
    </w:p>
    <w:p w14:paraId="60E2BB0C" w14:textId="77777777" w:rsidR="007C1283" w:rsidRPr="000402A3" w:rsidRDefault="007C1283" w:rsidP="007C1283">
      <w:pPr>
        <w:pStyle w:val="NormalHanging12a"/>
      </w:pPr>
      <w:r w:rsidRPr="000402A3">
        <w:t>4.</w:t>
      </w:r>
      <w:r w:rsidRPr="000402A3">
        <w:tab/>
        <w:t>zdôrazňuje, že tento európsky deň by mal prispieť k posilneniu záväzku EÚ a členských štátov k cieľu systematického a trvalého odstraňovania pracovných úrazov, chorôb z povolania a úmrtí súvisiacich s prácou v súlade s prístupom vízie nulovej úmrtnosti, a to najmä podporou prevencie na pracovisku, presadzovania bezpečnej a dôstojnej práce, odbornej prípravy, zvyšovania povedomia o vznikajúcich rizikách, sociálneho dialógu a účinného presadzovania existujúcich právnych predpisov;</w:t>
      </w:r>
    </w:p>
    <w:p w14:paraId="752EB0D8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5.</w:t>
      </w:r>
      <w:r w:rsidRPr="000402A3">
        <w:tab/>
        <w:t>zdôrazňuje význam posilnenia práv pracovníkov na informácie, konzultácie a účasť prostredníctvom volieb zástupcov pre bezpečnosť a ochranu zdravia pri práci a prijatia kolektívnych zmlúv;</w:t>
      </w:r>
    </w:p>
    <w:p w14:paraId="1B43477B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lastRenderedPageBreak/>
        <w:t>6.</w:t>
      </w:r>
      <w:r w:rsidRPr="000402A3">
        <w:tab/>
        <w:t>zdôrazňuje, že dosiahnutie cieľa nulovej úmrtnosti súvisiacej s prácou si vyžaduje úzku spoluprácu medzi členskými štátmi, zamestnávateľmi, sociálnymi partnermi, inšpektorátmi práce, výskumnými inštitúciami a agentúrami EÚ; vyzýva na intenzívnejšiu výmenu najlepších postupov, údajov a metodík prevencie s podporou Európskej agentúry pre bezpečnosť a ochranu zdravia pri práci (EU-OSHA);</w:t>
      </w:r>
    </w:p>
    <w:p w14:paraId="7F19FAA5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7.</w:t>
      </w:r>
      <w:r w:rsidRPr="000402A3">
        <w:tab/>
        <w:t>vyzýva Komisiu, aby posúdila a riešila riziká pre bezpečnosť a ochranu zdravia pri práci spojené s umelou inteligenciou a so systémami algoritmického riadenia vrátane zintenzívnenia práce, psychosociálnej záťaže, neprimeraného dohľadu a stierania hraníc pracovného času; vyzýva Komisiu a členské štáty, aby uznali a riešili vznikajúce riziká úmrtí a závažných úrazov spojených s novými formami zamestnania vrátane práce pre platformy a algoritmicky riadenej práce; zdôrazňuje, že pracovníci zapojení do digitálnych pracovných platforiem a pracovníci, ktorých úlohy, tempo práce a výkonnosť riadia alebo vyhodnocujú nástroje založené na umelej inteligencii, môžu čeliť zvýšeným rizikám v oblasti bezpečnosti a ochrany zdravia pri práci v dôsledku zintenzívnenia pracovného rytmu, zneužívania monitorovania, nedostatočnej transparentnosti algoritmického rozhodovania, a to aj pokiaľ ide o identifikovateľné kontaktné miesta s človekom, a neprimeraných alebo nedostatočných informácií či odbornej prípravy; zdôrazňuje, že zavádzanie takýchto technológií podlieha primeranému posudzovaniu rizík, transparentnému informovaniu pracovníkov a konzultáciám s nimi a primeranému ľudskému dohľadu v súlade s právnymi predpismi v oblasti bezpečnosti a ochrany zdravia pri práci;</w:t>
      </w:r>
    </w:p>
    <w:p w14:paraId="22B1784A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8.</w:t>
      </w:r>
      <w:r w:rsidRPr="000402A3">
        <w:tab/>
        <w:t>vyzýva Komisiu, aby komplexne posúdila a predvídala riziká v oblasti bezpečnosti a ochrany zdravia pri práci vyplývajúce z faktorov súvisiacich s klímou vrátane tepelného stresu, extrémnych poveternostných javov, znečistenia ovzdušia, zvýšenej expozície nebezpečným látkam počas projektov obnovy a modernizácie infraštruktúry a vzniku nových biologických rizík; vyzýva na posilnenie preventívnych opatrení na základe tohto posúdenia s cieľom posilniť odolnosť a pripravenosť v rámci vnútroštátnych systémov bezpečnosti a ochrany zdravia pri práci, a to aj prostredníctvom mechanizmov včasného varovania a usmernení pre jednotlivé odvetvia s vysokým rizikom, ako sú stavebníctvo, poľnohospodárstvo a doprava, ako aj pre ďalšie dotknuté odvetvia vrátane pohotovostných služieb; zdôrazňuje potrebu vybaviť inšpektoráty práce a zamestnávateľov praktickými usmerneniami na úrovni EÚ o riadení práce v podmienkach tepla a o iných pracovných rizikách súvisiacich s klímou;</w:t>
      </w:r>
    </w:p>
    <w:p w14:paraId="0D607B8A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9.</w:t>
      </w:r>
      <w:r w:rsidRPr="000402A3">
        <w:tab/>
        <w:t>zdôrazňuje potrebu uznať vplyvy extrémnych horúčav a zmeny klímy za hlavné rizikové faktory pri práci a vyzýva Komisiu a členské štáty, aby posilnili preventívne, ochranné a adaptačné opatrenia na pracovisku s cieľom znížiť počet pracovných úrazov, chorôb z povolania a úmrtí súvisiacich s prácou;</w:t>
      </w:r>
    </w:p>
    <w:p w14:paraId="497009A4" w14:textId="77777777" w:rsidR="007C1283" w:rsidRPr="000402A3" w:rsidRDefault="007C1283" w:rsidP="007C1283">
      <w:pPr>
        <w:pStyle w:val="NormalHanging12a"/>
      </w:pPr>
      <w:r w:rsidRPr="000402A3">
        <w:t>10.</w:t>
      </w:r>
      <w:r w:rsidRPr="000402A3">
        <w:tab/>
        <w:t xml:space="preserve">vyzýva Komisiu, Radu, občiansku spoločnosť a sociálnych partnerov, aby podporili ustanovenie a pripomínanie si európskeho dňa ako občianskeho záväzku spájajúceho inštitúcie, podniky a občanov, a to aj prostredníctvom iniciatív zameraných na informovanie, zvyšovanie povedomia a praktických nástrojov prevencie prispôsobených malým a stredným podnikom a zraniteľným pracovníkom a výmeny najlepších postupov v oblasti bezpečnosti a ochrany zdravia pri práci; zdôrazňuje, že takéto iniciatívy by sa mali osobitne zaoberať psychosociálnymi rizikami, rizikami súvisiacimi s horúčavami a extrémnymi pracovnými teplotami, rizikami spojenými so subdodávateľskými reťazcami a neštandardnými formami práce a problémami, ktoré sa týkajú vyslaných, sezónnych a iných cezhraničných pracovníkov, zabezpečujúc pritom </w:t>
      </w:r>
      <w:r w:rsidRPr="000402A3">
        <w:lastRenderedPageBreak/>
        <w:t>dodržiavanie zásady rovnakého zaobchádzania a účinné uplatňovanie predpisov hostiteľskej krajiny v oblasti bezpečnosti a ochrany zdravia pri práci a sociálnej ochrany; pripomína, že nadmerne dlhý pracovný čas často vedie k únave a zvyšuje riziko smrteľných pracovných úrazov;</w:t>
      </w:r>
    </w:p>
    <w:p w14:paraId="6A2EAE5E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11.</w:t>
      </w:r>
      <w:r w:rsidRPr="000402A3">
        <w:tab/>
        <w:t>nabáda členské štáty, aby zvyšovali povedomie zamestnávateľov a pracovníkov o ich zodpovednosti za zaistenie vlastnej bezpečnosti a bezpečnosti iných osôb, podporovali odbornú prípravu v oblasti prvej pomoci pre všetkých zamestnancov, najmä v odvetviach s vyššími pracovnými rizikami, a aby zabezpečili, že takáto odborná príprava bude pravidelne aktualizovaná, široko dostupná a začlenená do politík bezpečnosti na pracovisku; zdôrazňuje, že zamestnávatelia nesú hlavnú zodpovednosť za zaistenie bezpečnosti a ochrany zdravia pracovníkov, a to aj prostredníctvom posudzovania rizík, preventívnych opatrení, poskytovania osobných ochranných prostriedkov, pracovných zdravotných služieb, účinného uplatňovania právnych predpisov v oblasti bezpečnosti pri práci a zabezpečovania primeraného informovania, školenia a odbornej prípravy zamestnancov; zdôrazňuje zodpovednosť zamestnávateľov zabezpečiť skutočné zapojenie zamestnancov a ich zástupcov do vytvárania postupov v oblasti bezpečnosti a ochrany zdravia pri práci, posudzovania rizík a nebezpečenstiev, plánovania opatrení, ich monitorovania a vykonávania preventívnej činnosti;</w:t>
      </w:r>
    </w:p>
    <w:p w14:paraId="1BE44B87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12.</w:t>
      </w:r>
      <w:r w:rsidRPr="000402A3">
        <w:tab/>
        <w:t>pripomína, že násilie predstavuje rastúci problém na mnohých pracoviskách, najmä v odvetviach služieb a zdravotnej starostlivosti, a v prípade pracovníkov pohotovostných záchranných služieb: trvá na potrebe opatrení navrhnutých na uplatňovanie prístupu nulovej tolerancie voči šikanovaniu, obťažovaniu a iným formám násilia na pracovisku prostredníctvom zlepšenia a podpory organizačných a legislatívnych podporných štruktúr a prostredníctvom lepších systémov ohlasovania incidentov;</w:t>
      </w:r>
    </w:p>
    <w:p w14:paraId="20324BCB" w14:textId="77777777" w:rsidR="007C1283" w:rsidRPr="000402A3" w:rsidRDefault="007C1283" w:rsidP="007C1283">
      <w:pPr>
        <w:pStyle w:val="NormalHanging12a"/>
      </w:pPr>
      <w:r w:rsidRPr="000402A3">
        <w:t>13.</w:t>
      </w:r>
      <w:r w:rsidRPr="000402A3">
        <w:tab/>
        <w:t xml:space="preserve">vyzýva Komisiu a agentúru EU-OSHA, aby využili európsky deň ako príležitosť na šírenie aktuálnych štatistických údajov, porovnávacích analýz a usmernení založených na dôkazoch v oblasti bezpečnosti a ochrany zdravia pri práci s osobitným zameraním na psychosociálne riziká, neštandardné formy práce, </w:t>
      </w:r>
      <w:proofErr w:type="spellStart"/>
      <w:r w:rsidRPr="000402A3">
        <w:t>mikropodniky</w:t>
      </w:r>
      <w:proofErr w:type="spellEnd"/>
      <w:r w:rsidRPr="000402A3">
        <w:t xml:space="preserve"> a malé podniky a najzraniteľnejšie skupiny pracovníkov; ďalej vyzýva Komisiu a agentúru EU-OSHA, aby zverejnili prehľad chorôb z povolania a úmrtí súvisiacich s prácou v celej EÚ a v jednotlivých krajinách vrátane ukazovateľov prevencie a kontroly (vrátane inšpekcií práce) s cieľom lepšie usmerňovať verejné politiky a posilniť zodpovednosť; ďalej zdôrazňuje význam systematického monitorovania a analyzovania trendov v oblasti pracovných podmienok, psychosociálnych rizík, kapacít inšpekcie práce a dodržiavania noriem bezpečnosti a ochrany zdravia pri práci v členských štátoch s cieľom posilniť prevenciu, transparentnosť a zvyšovanie konvergencie pracovných podmienok v celej EÚ;</w:t>
      </w:r>
    </w:p>
    <w:p w14:paraId="449264BE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14.</w:t>
      </w:r>
      <w:r w:rsidRPr="000402A3">
        <w:tab/>
        <w:t xml:space="preserve">vyzýva Komisiu, aby v spolupráci s </w:t>
      </w:r>
      <w:proofErr w:type="spellStart"/>
      <w:r w:rsidRPr="000402A3">
        <w:t>Eurostatom</w:t>
      </w:r>
      <w:proofErr w:type="spellEnd"/>
      <w:r w:rsidRPr="000402A3">
        <w:t xml:space="preserve"> a členskými štátmi zlepšila zber, harmonizáciu a transparentnosť údajov o pracovných úrazoch a chorobách z povolania vrátane psychosociálnych rizík a dlhodobých latentných ochorení a aby riešila nedostatočné nahlasovanie;</w:t>
      </w:r>
    </w:p>
    <w:p w14:paraId="3F2F9721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15.</w:t>
      </w:r>
      <w:r w:rsidRPr="000402A3">
        <w:tab/>
        <w:t xml:space="preserve">vyzýva Komisiu a členské štáty, aby zabezpečili, že zodpovednosť za dodržiavanie právnych predpisov v oblasti bezpečnosti a ochrany zdravia pri práci bude jasne zakotvená na úrovni riadenia a široko začlenená v rámci organizácie, a to aj prostredníctvom účinných plánov prevencie a účasti pracovníkov; zdôrazňuje, že </w:t>
      </w:r>
      <w:r w:rsidRPr="000402A3">
        <w:lastRenderedPageBreak/>
        <w:t>samotné posudzovanie rizík prispieva k zníženiu počtu úrazov;</w:t>
      </w:r>
    </w:p>
    <w:p w14:paraId="1FC5991E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16.</w:t>
      </w:r>
      <w:r w:rsidRPr="000402A3">
        <w:tab/>
        <w:t>zdôrazňuje význam regulačných inšpekcií v oblasti bezpečnosti a ochrany zdravia pri práci pri dosahovaní bezpečných a zdravých pracovísk, pričom uznáva, že dosah inšpekcií môže byť obmedzený; vyzýva členské štáty, aby posilnili inšpektoráty práce stálymi zamestnancami, primeranými zdrojmi a inštitucionálnou nezávislosťou s cieľom zabezpečiť účinné vykonávanie právnych predpisov v oblasti bezpečnosti a ochrany zdravia pri práci a reagovať na transformáciu sveta práce;</w:t>
      </w:r>
    </w:p>
    <w:p w14:paraId="7A8FDC5A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17.</w:t>
      </w:r>
      <w:r w:rsidRPr="000402A3">
        <w:tab/>
        <w:t>vyzýva Komisiu a členské štáty, aby posilnili presadzovanie právnych predpisov v oblasti bezpečnosti a ochrany zdravia pri práci vrátane zabezpečenia primeraných zdrojov pre inšpektoráty práce, zlepšenia cezhraničnej spolupráce a zabezpečenia účinného dodržiavania, najmä v prípadoch, keď hrubá nedbanlivosť viedla k vážnej ujme alebo úmrtiu; domnieva sa, že na to, aby boli pravidlá bezpečnosti a ochrany zdravia pri práci dôveryhodné a účinné, musia byť dostatočne odrádzajúce a primerané;</w:t>
      </w:r>
    </w:p>
    <w:p w14:paraId="7C055B55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18.</w:t>
      </w:r>
      <w:r w:rsidRPr="000402A3">
        <w:tab/>
        <w:t>víta hodnotiacu správu Komisie o Európskom orgáne práce (ELA), v ktorej sa uznáva jeho úloha pri účinnom presadzovaní pracovného práva EÚ a pravidiel bezpečnosti a ochrany zdravia pri práci, najmä v cezhraničnom kontexte a v rizikových odvetviach, a opätovne vyzýva Komisiu, aby posilnila mandát orgánu ELA s cieľom zlepšiť presadzovanie pracovného práva EÚ a bezpečnosti a ochrany zdravia pri práci; zdôrazňuje, že je dôležité zabezpečiť konkrétnu pridanú hodnotu na podporu národných orgánov presadzovania práva, a to aj prostredníctvom posilnenia zosúladených a spoločných inšpekcií práce a možnosti účinnejšie prispievať k identifikácii a riešeniu prípadov porušovania; zdôrazňuje, že je potrebné podporovať väčšie zosúladenie a zjednodušenie pravidiel mobility pracovnej sily a súvisiacich kontrolných postupov, a to aj prostredníctvom jednotnejších pravidiel a účinnejšej výmeny informácií v súlade s usmerneniami orgánu ELA;</w:t>
      </w:r>
    </w:p>
    <w:p w14:paraId="748DC8C8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19.</w:t>
      </w:r>
      <w:r w:rsidRPr="000402A3">
        <w:tab/>
        <w:t>vyzýva Komisiu, aby na základe priorít súčasného strategického rámca EÚ v oblasti ochrany zdravia a bezpečnosti pri práci na obdobie 2021 – 2027 a skúseností, ktoré sa prostredníctvom neho získali, vymedzila nový strategický rámec v rámci Plánu pre kvalitné pracovné miesta na roky 2028 – 2034; zdôrazňuje, že tento nový strategický rámec by mal byť jasný, merateľný a časovo ohraničený, mal by stanoviť jasné a nové požiadavky a mal by byť zameraný na zníženie počtu pracovných úrazov a úmrtí súvisiacich s prácou, dokončenie prechodu na nulovú úmrtnosť na pracovisku, posilnenie ochrany pracovníkov, najmä vo vysokorizikových odvetviach a v prípade zraniteľných skupín, riešenie vznikajúcich pracovných rizík vrátane rizík vyplývajúcich z nových foriem práce, digitalizácie a psychosociálnych rizík a zabezpečenie prispôsobenia pracovných podmienok extrémnym teplotám;</w:t>
      </w:r>
    </w:p>
    <w:p w14:paraId="7E5C9910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20.</w:t>
      </w:r>
      <w:r w:rsidRPr="000402A3">
        <w:tab/>
        <w:t xml:space="preserve">víta smernice zamerané na zníženie rizík expozície karcinogénom a iných potenciálne smrteľných chorôb z povolania; konštatuje, že prevencia smrteľných chorôb z povolania si vyžaduje rozvoj odborných znalostí týkajúcich sa expozície na pracoviskách, ako aj v rámci pracovných zdravotných služieb; pripomína dôležitosť primeraných zdrojov na pracoviskách na identifikáciu rizík expozície a ich prevenciu v spolupráci s pracovnými zdravotnými službami, ktoré môžu poskytovať usmernenia týkajúce sa príslušných opatrení v oblasti bezpečnosti a ochrany zdravia pri práci; domnieva sa, že pracovníci, u ktorých existuje riziko expozície látkam, ktoré spôsobujú závažné choroby z povolania, by mali mať prístup k pracovným zdravotným službám a pravidelným zdravotným prehliadkam na monitorovanie možnej expozície; zdôrazňuje, že akákoľvek komplexná </w:t>
      </w:r>
      <w:r w:rsidRPr="000402A3">
        <w:lastRenderedPageBreak/>
        <w:t>stratégia na zníženie počtu úmrtí pri práci musí výslovne riešiť rakovinu z povolania ako tichú, no hlavnú príčinu úmrtí súvisiacich s prácou, a to aj prostredníctvom dlhodobých latentných ochorení vyplývajúcich z dlhodobej expozície karcinogénom na pracovisku; zdôrazňuje, že je potrebné zlepšiť získavanie údajov o rakovine z povolania na úrovni EÚ, aby sa v plnej miere zohľadnil skutočný rozsah úmrtí súvisiacich s prácou;</w:t>
      </w:r>
    </w:p>
    <w:p w14:paraId="4168F71E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21.</w:t>
      </w:r>
      <w:r w:rsidRPr="000402A3">
        <w:tab/>
        <w:t xml:space="preserve">vyjadruje znepokojenie nad tým, že vyslaní pracovníci, migrujúci pracovníci a pracovníci v subdodávateľských reťazcoch sú vystavení neprimeraným rizikám v oblasti bezpečnosti a ochrany zdravia pri práci vrátane rizika smrteľných úrazov v dôsledku roztrieštených reťazcov zodpovednosti, nedostatočnej koordinácie a rozptýlenej zodpovednosti, najmä vo vysokorizikových odvetviach, ako je stavebníctvo; vyzýva Komisiu, aby posúdila, či súčasné </w:t>
      </w:r>
      <w:proofErr w:type="spellStart"/>
      <w:r w:rsidRPr="000402A3">
        <w:rPr>
          <w:i/>
          <w:iCs/>
        </w:rPr>
        <w:t>acquis</w:t>
      </w:r>
      <w:proofErr w:type="spellEnd"/>
      <w:r w:rsidRPr="000402A3">
        <w:t xml:space="preserve"> v oblasti bezpečnosti a ochrany zdravia pri práci dostatočne zaručuje účinné uplatňovanie minimálnych požiadaviek na bezpečnosť a ochranu zdravia v subdodávateľských reťazcoch, a aby v prípade zistenia nedostatkov navrhla legislatívne opatrenia;</w:t>
      </w:r>
    </w:p>
    <w:p w14:paraId="72DD20EC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22.</w:t>
      </w:r>
      <w:r w:rsidRPr="000402A3">
        <w:tab/>
        <w:t>vyzýva členské štáty, aby podporovali kultúru bezpečnosti v oblasti bezpečnosti a ochrany zdravia pri práci, najmä u mladých pracovníkov, a to kombináciou vzdelávania a praktických skúseností; domnieva sa, že vzdelávacie inštitúcie by mali poskytovať všeobecné informácie a odbornú prípravu v oblasti bezpečnosti a ochrany zdravia, zatiaľ čo zamestnávatelia by mali zabezpečovať odbornú prípravu zameranú na konkrétne pracovné miesta, najmä počas učňovskej prípravy a stáží;</w:t>
      </w:r>
    </w:p>
    <w:p w14:paraId="2844F493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23.</w:t>
      </w:r>
      <w:r w:rsidRPr="000402A3">
        <w:tab/>
        <w:t>nabáda členské štáty, aby vytvorili podporné rámce, ktorými sa uľahčí zamestnávanie dobrovoľných hasičov, uzná hodnota získaných zručností, najmä v oblasti prvej pomoci, prevencie rizík, hasenia požiarov, používania hasičského vybavenia a organizácie evakuácie, ako aj zlepšovania bezpečnosti na pracovisku, zabezpečí sa prevencia pracovných úrazov a zníži závažnosť takýchto úrazov počas čakania na príchod pohotovostných služieb;</w:t>
      </w:r>
    </w:p>
    <w:p w14:paraId="7867622C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24.</w:t>
      </w:r>
      <w:r w:rsidRPr="000402A3">
        <w:tab/>
        <w:t xml:space="preserve">zdôrazňuje, že </w:t>
      </w:r>
      <w:proofErr w:type="spellStart"/>
      <w:r w:rsidRPr="000402A3">
        <w:t>mikropodniky</w:t>
      </w:r>
      <w:proofErr w:type="spellEnd"/>
      <w:r w:rsidRPr="000402A3">
        <w:t>, malé a stredné podniky majú často obmedzené administratívne kapacity, finančné zdroje a špecializované odborné znalosti; vyzýva na komplexné a cielené podporné opatrenia, ktoré im pomôžu pri účinnej identifikácii, prevencii a riadení pracovných rizík, chorôb a úmrtí súvisiacich s prácou, a to aj prostredníctvom zjednodušených a používateľsky ústretových nástrojov na posudzovanie rizík, usmernení pre jednotlivé odvetvia, praktických preventívnych programov, prístupnej odbornej prípravy a podpory pri dodržiavaní povinností v oblasti bezpečnosti a ochrany zdravia pri práci;</w:t>
      </w:r>
    </w:p>
    <w:p w14:paraId="312E29B9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25.</w:t>
      </w:r>
      <w:r w:rsidRPr="000402A3">
        <w:tab/>
        <w:t>vyzýva Komisiu, aby v spolupráci s členskými štátmi a so sociálnymi partnermi posilnila usmernenia EÚ týkajúce sa podpory pre obete pracovných úrazov a chorôb z povolania a ich rodiny; ďalej vyzýva Komisiu, aby posúdila možnosť vypracovania odporúčaní zameraných na podporu primeranej podpory a mechanizmov odškodnenia pre obete a ich rodiny, a podporila tak vzostupnú konvergenciu ochrany v celej EÚ;</w:t>
      </w:r>
    </w:p>
    <w:p w14:paraId="53035BDF" w14:textId="77777777" w:rsidR="007C1283" w:rsidRPr="000402A3" w:rsidRDefault="007C1283" w:rsidP="007C1283">
      <w:pPr>
        <w:pStyle w:val="NormalHanging12a"/>
        <w:rPr>
          <w:bCs/>
          <w:iCs/>
        </w:rPr>
      </w:pPr>
      <w:r w:rsidRPr="000402A3">
        <w:t>26.</w:t>
      </w:r>
      <w:r w:rsidRPr="000402A3">
        <w:tab/>
        <w:t xml:space="preserve">vyzýva členské štáty, aby zabezpečili, že všetci pracovníci budú účinne využívať ochranu bezpečnosti a ochrany zdravia pri práci v súlade s vnútroštátnymi systémami a postupmi vrátane pracovníkov platforiem, štátnych príslušníkov tretích krajín a pracovníkov v domácnosti zamestnaných v súkromných domácnostiach; vyzýva členské štáty a sociálnych partnerov, aby podporovali využívanie inovatívnych riešení a </w:t>
      </w:r>
      <w:r w:rsidRPr="000402A3">
        <w:lastRenderedPageBreak/>
        <w:t>najlepších postupov na predchádzanie pracovným úrazom a chorobám z povolania, a to aj prostredníctvom iniciatív, ako je udeľovanie cien EU-OSHA za osvedčené postupy v oblasti zdravých pracovísk, ktoré predstavujú účinné stratégie a technológie, ktoré možno zaviesť v rôznych odvetviach s cieľom zlepšiť bezpečnosť a ochranu zdravia pri práci;</w:t>
      </w:r>
    </w:p>
    <w:p w14:paraId="68B72367" w14:textId="18FCB8F3" w:rsidR="0041251B" w:rsidRPr="000402A3" w:rsidRDefault="007C1283" w:rsidP="0041251B">
      <w:pPr>
        <w:pStyle w:val="NormalHanging12a"/>
      </w:pPr>
      <w:r w:rsidRPr="000402A3">
        <w:t>27.</w:t>
      </w:r>
      <w:r w:rsidRPr="000402A3">
        <w:tab/>
        <w:t xml:space="preserve">poveruje svoju predsedníčku, aby postúpila toto uznesenie </w:t>
      </w:r>
      <w:r w:rsidR="0041251B" w:rsidRPr="000402A3">
        <w:t>Rade a Komisii.</w:t>
      </w:r>
      <w:bookmarkEnd w:id="7"/>
    </w:p>
    <w:p w14:paraId="03287CD8" w14:textId="1DC54BBF" w:rsidR="00E365E1" w:rsidRPr="000402A3" w:rsidRDefault="00E365E1" w:rsidP="00A1715E"/>
    <w:sectPr w:rsidR="00E365E1" w:rsidRPr="000402A3" w:rsidSect="004125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6B470" w14:textId="77777777" w:rsidR="00A1715E" w:rsidRPr="0041251B" w:rsidRDefault="00A1715E">
      <w:r w:rsidRPr="0041251B">
        <w:separator/>
      </w:r>
    </w:p>
  </w:endnote>
  <w:endnote w:type="continuationSeparator" w:id="0">
    <w:p w14:paraId="61BCFB8C" w14:textId="77777777" w:rsidR="00A1715E" w:rsidRPr="0041251B" w:rsidRDefault="00A1715E">
      <w:r w:rsidRPr="004125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6CDC" w14:textId="77777777" w:rsidR="00064002" w:rsidRPr="004125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AD816" w14:textId="77777777" w:rsidR="00064002" w:rsidRPr="004125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639C" w14:textId="77777777" w:rsidR="00064002" w:rsidRPr="004125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126DC" w14:textId="77777777" w:rsidR="00A1715E" w:rsidRPr="0041251B" w:rsidRDefault="00A1715E">
      <w:r w:rsidRPr="0041251B">
        <w:separator/>
      </w:r>
    </w:p>
  </w:footnote>
  <w:footnote w:type="continuationSeparator" w:id="0">
    <w:p w14:paraId="09BC45F6" w14:textId="77777777" w:rsidR="00A1715E" w:rsidRPr="0041251B" w:rsidRDefault="00A1715E">
      <w:r w:rsidRPr="0041251B">
        <w:continuationSeparator/>
      </w:r>
    </w:p>
  </w:footnote>
  <w:footnote w:id="1">
    <w:p w14:paraId="11B0A34C" w14:textId="4E51C153" w:rsidR="007C1283" w:rsidRPr="0041251B" w:rsidRDefault="007C1283" w:rsidP="0041251B">
      <w:pPr>
        <w:pStyle w:val="FootnoteText"/>
        <w:ind w:left="567" w:hanging="567"/>
        <w:rPr>
          <w:sz w:val="24"/>
          <w:lang w:val="sk-SK"/>
        </w:rPr>
      </w:pPr>
      <w:r w:rsidRPr="0041251B">
        <w:rPr>
          <w:rStyle w:val="FootnoteReference"/>
          <w:sz w:val="24"/>
          <w:lang w:val="sk-SK"/>
        </w:rPr>
        <w:footnoteRef/>
      </w:r>
      <w:r w:rsidR="0041251B" w:rsidRPr="0041251B">
        <w:rPr>
          <w:sz w:val="24"/>
          <w:lang w:val="sk-SK"/>
        </w:rPr>
        <w:t xml:space="preserve"> </w:t>
      </w:r>
      <w:r w:rsidR="0041251B" w:rsidRPr="0041251B">
        <w:rPr>
          <w:sz w:val="24"/>
          <w:lang w:val="sk-SK"/>
        </w:rPr>
        <w:tab/>
      </w:r>
      <w:r w:rsidRPr="0041251B">
        <w:rPr>
          <w:sz w:val="24"/>
          <w:lang w:val="sk-SK"/>
        </w:rPr>
        <w:t>Ú. v. ES L 183, 29.6.1989, s. 1, ELI: </w:t>
      </w:r>
      <w:hyperlink r:id="rId1" w:tooltip="Umožňuje prístup k tomuto dokumentu prostredníctvom identifikátora URI používaného v rámci ELI." w:history="1">
        <w:r w:rsidRPr="0041251B">
          <w:rPr>
            <w:rStyle w:val="Hyperlink"/>
            <w:sz w:val="24"/>
            <w:lang w:val="sk-SK"/>
          </w:rPr>
          <w:t>http://data.europa.eu/eli/dir/1989/391/oj</w:t>
        </w:r>
      </w:hyperlink>
      <w:r w:rsidRPr="0041251B">
        <w:rPr>
          <w:sz w:val="24"/>
          <w:lang w:val="sk-SK"/>
        </w:rPr>
        <w:t>.</w:t>
      </w:r>
    </w:p>
  </w:footnote>
  <w:footnote w:id="2">
    <w:p w14:paraId="40754758" w14:textId="2E84BC56" w:rsidR="007C1283" w:rsidRPr="0041251B" w:rsidRDefault="007C1283" w:rsidP="0041251B">
      <w:pPr>
        <w:pStyle w:val="FootnoteText"/>
        <w:ind w:left="567" w:hanging="567"/>
        <w:rPr>
          <w:sz w:val="24"/>
          <w:lang w:val="sk-SK"/>
        </w:rPr>
      </w:pPr>
      <w:r w:rsidRPr="0041251B">
        <w:rPr>
          <w:rStyle w:val="FootnoteReference"/>
          <w:sz w:val="24"/>
          <w:lang w:val="sk-SK"/>
        </w:rPr>
        <w:footnoteRef/>
      </w:r>
      <w:r w:rsidR="0041251B" w:rsidRPr="0041251B">
        <w:rPr>
          <w:sz w:val="24"/>
          <w:lang w:val="sk-SK"/>
        </w:rPr>
        <w:t xml:space="preserve"> </w:t>
      </w:r>
      <w:r w:rsidR="0041251B" w:rsidRPr="0041251B">
        <w:rPr>
          <w:sz w:val="24"/>
          <w:lang w:val="sk-SK"/>
        </w:rPr>
        <w:tab/>
      </w:r>
      <w:r w:rsidRPr="0041251B">
        <w:rPr>
          <w:sz w:val="24"/>
          <w:lang w:val="sk-SK"/>
        </w:rPr>
        <w:t>Ú. v. EÚ C 347, 9.9.2022, s. 122.</w:t>
      </w:r>
    </w:p>
  </w:footnote>
  <w:footnote w:id="3">
    <w:p w14:paraId="6E3EBF4D" w14:textId="0B5C2042" w:rsidR="007C1283" w:rsidRPr="0041251B" w:rsidRDefault="007C1283" w:rsidP="0041251B">
      <w:pPr>
        <w:pStyle w:val="FootnoteText"/>
        <w:ind w:left="567" w:hanging="567"/>
        <w:rPr>
          <w:sz w:val="24"/>
          <w:lang w:val="sk-SK"/>
        </w:rPr>
      </w:pPr>
      <w:r w:rsidRPr="0041251B">
        <w:rPr>
          <w:rStyle w:val="FootnoteReference"/>
          <w:sz w:val="24"/>
          <w:lang w:val="sk-SK"/>
        </w:rPr>
        <w:footnoteRef/>
      </w:r>
      <w:r w:rsidR="0041251B" w:rsidRPr="0041251B">
        <w:rPr>
          <w:sz w:val="24"/>
          <w:lang w:val="sk-SK"/>
        </w:rPr>
        <w:t xml:space="preserve"> </w:t>
      </w:r>
      <w:r w:rsidR="0041251B" w:rsidRPr="0041251B">
        <w:rPr>
          <w:sz w:val="24"/>
          <w:lang w:val="sk-SK"/>
        </w:rPr>
        <w:tab/>
      </w:r>
      <w:r w:rsidRPr="0041251B">
        <w:rPr>
          <w:sz w:val="24"/>
          <w:lang w:val="sk-SK"/>
        </w:rPr>
        <w:t xml:space="preserve">Ú. v. </w:t>
      </w:r>
      <w:r w:rsidRPr="0041251B">
        <w:rPr>
          <w:sz w:val="24"/>
          <w:lang w:val="sk-SK"/>
        </w:rPr>
        <w:t xml:space="preserve">EÚ C, C/2026/2154, 6.5.2026, ELI: </w:t>
      </w:r>
      <w:hyperlink r:id="rId2" w:history="1">
        <w:r w:rsidRPr="0041251B">
          <w:rPr>
            <w:rStyle w:val="Hyperlink"/>
            <w:sz w:val="24"/>
            <w:lang w:val="sk-SK"/>
          </w:rPr>
          <w:t>http://data.europa.eu/eli/C/2026/2154/oj</w:t>
        </w:r>
      </w:hyperlink>
      <w:r w:rsidRPr="0041251B">
        <w:rPr>
          <w:sz w:val="24"/>
          <w:lang w:val="sk-SK"/>
        </w:rPr>
        <w:t>.</w:t>
      </w:r>
    </w:p>
  </w:footnote>
  <w:footnote w:id="4">
    <w:p w14:paraId="783DDFFC" w14:textId="1AD7B8A5" w:rsidR="007C1283" w:rsidRPr="0041251B" w:rsidRDefault="007C1283" w:rsidP="0041251B">
      <w:pPr>
        <w:pStyle w:val="FootnoteText"/>
        <w:ind w:left="567" w:hanging="567"/>
        <w:rPr>
          <w:sz w:val="24"/>
          <w:lang w:val="sk-SK"/>
        </w:rPr>
      </w:pPr>
      <w:r w:rsidRPr="0041251B">
        <w:rPr>
          <w:rStyle w:val="FootnoteReference"/>
          <w:sz w:val="24"/>
          <w:lang w:val="sk-SK"/>
        </w:rPr>
        <w:footnoteRef/>
      </w:r>
      <w:r w:rsidR="0041251B" w:rsidRPr="0041251B">
        <w:rPr>
          <w:sz w:val="24"/>
          <w:lang w:val="sk-SK"/>
        </w:rPr>
        <w:t xml:space="preserve"> </w:t>
      </w:r>
      <w:r w:rsidR="0041251B" w:rsidRPr="0041251B">
        <w:rPr>
          <w:sz w:val="24"/>
          <w:lang w:val="sk-SK"/>
        </w:rPr>
        <w:tab/>
      </w:r>
      <w:r w:rsidRPr="0041251B">
        <w:rPr>
          <w:sz w:val="24"/>
          <w:lang w:val="sk-SK"/>
        </w:rPr>
        <w:t xml:space="preserve">Pozri napríklad </w:t>
      </w:r>
      <w:proofErr w:type="spellStart"/>
      <w:r w:rsidRPr="0041251B">
        <w:rPr>
          <w:sz w:val="24"/>
          <w:lang w:val="sk-SK"/>
        </w:rPr>
        <w:t>Lau</w:t>
      </w:r>
      <w:proofErr w:type="spellEnd"/>
      <w:r w:rsidRPr="0041251B">
        <w:rPr>
          <w:sz w:val="24"/>
          <w:lang w:val="sk-SK"/>
        </w:rPr>
        <w:t xml:space="preserve"> et al., „</w:t>
      </w:r>
      <w:proofErr w:type="spellStart"/>
      <w:r w:rsidRPr="0041251B">
        <w:rPr>
          <w:sz w:val="24"/>
          <w:lang w:val="sk-SK"/>
        </w:rPr>
        <w:t>Workplace</w:t>
      </w:r>
      <w:proofErr w:type="spellEnd"/>
      <w:r w:rsidRPr="0041251B">
        <w:rPr>
          <w:sz w:val="24"/>
          <w:lang w:val="sk-SK"/>
        </w:rPr>
        <w:t xml:space="preserve"> mortality risk and </w:t>
      </w:r>
      <w:proofErr w:type="spellStart"/>
      <w:r w:rsidRPr="0041251B">
        <w:rPr>
          <w:sz w:val="24"/>
          <w:lang w:val="sk-SK"/>
        </w:rPr>
        <w:t>social</w:t>
      </w:r>
      <w:proofErr w:type="spellEnd"/>
      <w:r w:rsidRPr="0041251B">
        <w:rPr>
          <w:sz w:val="24"/>
          <w:lang w:val="sk-SK"/>
        </w:rPr>
        <w:t xml:space="preserve"> </w:t>
      </w:r>
      <w:proofErr w:type="spellStart"/>
      <w:r w:rsidRPr="0041251B">
        <w:rPr>
          <w:sz w:val="24"/>
          <w:lang w:val="sk-SK"/>
        </w:rPr>
        <w:t>determinants</w:t>
      </w:r>
      <w:proofErr w:type="spellEnd"/>
      <w:r w:rsidRPr="0041251B">
        <w:rPr>
          <w:sz w:val="24"/>
          <w:lang w:val="sk-SK"/>
        </w:rPr>
        <w:t xml:space="preserve"> </w:t>
      </w:r>
      <w:proofErr w:type="spellStart"/>
      <w:r w:rsidRPr="0041251B">
        <w:rPr>
          <w:sz w:val="24"/>
          <w:lang w:val="sk-SK"/>
        </w:rPr>
        <w:t>among</w:t>
      </w:r>
      <w:proofErr w:type="spellEnd"/>
      <w:r w:rsidRPr="0041251B">
        <w:rPr>
          <w:sz w:val="24"/>
          <w:lang w:val="sk-SK"/>
        </w:rPr>
        <w:t xml:space="preserve"> migrant </w:t>
      </w:r>
      <w:proofErr w:type="spellStart"/>
      <w:r w:rsidRPr="0041251B">
        <w:rPr>
          <w:sz w:val="24"/>
          <w:lang w:val="sk-SK"/>
        </w:rPr>
        <w:t>workers</w:t>
      </w:r>
      <w:proofErr w:type="spellEnd"/>
      <w:r w:rsidRPr="0041251B">
        <w:rPr>
          <w:sz w:val="24"/>
          <w:lang w:val="sk-SK"/>
        </w:rPr>
        <w:t xml:space="preserve">“ (Riziko úmrtnosti na pracovisku a sociálne determinanty medzi migrujúcimi pracovníkmi), </w:t>
      </w:r>
      <w:proofErr w:type="spellStart"/>
      <w:r w:rsidRPr="0041251B">
        <w:rPr>
          <w:i/>
          <w:sz w:val="24"/>
          <w:lang w:val="sk-SK"/>
        </w:rPr>
        <w:t>The</w:t>
      </w:r>
      <w:proofErr w:type="spellEnd"/>
      <w:r w:rsidRPr="0041251B">
        <w:rPr>
          <w:i/>
          <w:sz w:val="24"/>
          <w:lang w:val="sk-SK"/>
        </w:rPr>
        <w:t xml:space="preserve"> Lancet </w:t>
      </w:r>
      <w:proofErr w:type="spellStart"/>
      <w:r w:rsidRPr="0041251B">
        <w:rPr>
          <w:i/>
          <w:sz w:val="24"/>
          <w:lang w:val="sk-SK"/>
        </w:rPr>
        <w:t>Public</w:t>
      </w:r>
      <w:proofErr w:type="spellEnd"/>
      <w:r w:rsidRPr="0041251B">
        <w:rPr>
          <w:i/>
          <w:sz w:val="24"/>
          <w:lang w:val="sk-SK"/>
        </w:rPr>
        <w:t xml:space="preserve"> Health</w:t>
      </w:r>
      <w:r w:rsidRPr="0041251B">
        <w:rPr>
          <w:sz w:val="24"/>
          <w:lang w:val="sk-SK"/>
        </w:rPr>
        <w:t xml:space="preserve">, zv. 9, vyd. </w:t>
      </w:r>
      <w:r w:rsidRPr="0041251B">
        <w:rPr>
          <w:sz w:val="24"/>
          <w:lang w:val="sk-SK"/>
        </w:rPr>
        <w:t xml:space="preserve">11, 2024, E935-E949, </w:t>
      </w:r>
      <w:hyperlink r:id="rId3" w:tgtFrame="_blank" w:tooltip="Trvalé prepojenie pomocou identifikátora digitálneho objektu" w:history="1">
        <w:r w:rsidRPr="0041251B">
          <w:rPr>
            <w:rStyle w:val="Hyperlink"/>
            <w:sz w:val="24"/>
            <w:lang w:val="sk-SK"/>
          </w:rPr>
          <w:t>https://doi.org/10.1016/S2468-2667(24)00226-3</w:t>
        </w:r>
      </w:hyperlink>
      <w:r w:rsidRPr="0041251B">
        <w:rPr>
          <w:sz w:val="24"/>
          <w:lang w:val="sk-SK"/>
        </w:rPr>
        <w:t>).</w:t>
      </w:r>
    </w:p>
  </w:footnote>
  <w:footnote w:id="5">
    <w:p w14:paraId="78C6BFDA" w14:textId="24FB2175" w:rsidR="007C1283" w:rsidRPr="0041251B" w:rsidRDefault="007C1283" w:rsidP="0041251B">
      <w:pPr>
        <w:pStyle w:val="FootnoteText"/>
        <w:ind w:left="567" w:hanging="567"/>
        <w:rPr>
          <w:sz w:val="24"/>
          <w:lang w:val="sk-SK"/>
        </w:rPr>
      </w:pPr>
      <w:r w:rsidRPr="0041251B">
        <w:rPr>
          <w:rStyle w:val="FootnoteReference"/>
          <w:sz w:val="24"/>
          <w:lang w:val="sk-SK"/>
        </w:rPr>
        <w:footnoteRef/>
      </w:r>
      <w:r w:rsidR="0041251B" w:rsidRPr="0041251B">
        <w:rPr>
          <w:sz w:val="24"/>
          <w:lang w:val="sk-SK"/>
        </w:rPr>
        <w:t xml:space="preserve"> </w:t>
      </w:r>
      <w:r w:rsidR="0041251B" w:rsidRPr="0041251B">
        <w:rPr>
          <w:sz w:val="24"/>
          <w:lang w:val="sk-SK"/>
        </w:rPr>
        <w:tab/>
      </w:r>
      <w:r w:rsidRPr="0041251B">
        <w:rPr>
          <w:sz w:val="24"/>
          <w:lang w:val="sk-SK"/>
        </w:rPr>
        <w:t>Odporúčanie Komisie (EÚ) 2022/2337 z 28. novembra 2022 týkajúce sa európskeho zoznamu chorôb z povolania (Ú. v. EÚ L 309, 30.11.2022, s. </w:t>
      </w:r>
      <w:r w:rsidRPr="0041251B">
        <w:rPr>
          <w:sz w:val="24"/>
          <w:lang w:val="sk-SK"/>
        </w:rPr>
        <w:t xml:space="preserve">12, ELI: </w:t>
      </w:r>
      <w:hyperlink r:id="rId4" w:history="1">
        <w:r w:rsidRPr="0041251B">
          <w:rPr>
            <w:rStyle w:val="Hyperlink"/>
            <w:sz w:val="24"/>
            <w:lang w:val="sk-SK"/>
          </w:rPr>
          <w:t>http://data.europa.eu/eli/reco/2022/2337/oj</w:t>
        </w:r>
      </w:hyperlink>
      <w:r w:rsidRPr="0041251B">
        <w:rPr>
          <w:sz w:val="24"/>
          <w:lang w:val="sk-S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F34FA" w14:textId="77777777" w:rsidR="00064002" w:rsidRPr="004125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170A3" w14:textId="77777777" w:rsidR="00064002" w:rsidRPr="004125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7F3E0" w14:textId="77777777" w:rsidR="00064002" w:rsidRPr="004125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0007997">
    <w:abstractNumId w:val="9"/>
  </w:num>
  <w:num w:numId="2" w16cid:durableId="330331279">
    <w:abstractNumId w:val="9"/>
  </w:num>
  <w:num w:numId="3" w16cid:durableId="11298968">
    <w:abstractNumId w:val="7"/>
  </w:num>
  <w:num w:numId="4" w16cid:durableId="104816174">
    <w:abstractNumId w:val="7"/>
  </w:num>
  <w:num w:numId="5" w16cid:durableId="460616764">
    <w:abstractNumId w:val="6"/>
  </w:num>
  <w:num w:numId="6" w16cid:durableId="1187326695">
    <w:abstractNumId w:val="6"/>
  </w:num>
  <w:num w:numId="7" w16cid:durableId="1446774415">
    <w:abstractNumId w:val="5"/>
  </w:num>
  <w:num w:numId="8" w16cid:durableId="566190651">
    <w:abstractNumId w:val="5"/>
  </w:num>
  <w:num w:numId="9" w16cid:durableId="18162892">
    <w:abstractNumId w:val="4"/>
  </w:num>
  <w:num w:numId="10" w16cid:durableId="71971886">
    <w:abstractNumId w:val="4"/>
  </w:num>
  <w:num w:numId="11" w16cid:durableId="1099375219">
    <w:abstractNumId w:val="8"/>
  </w:num>
  <w:num w:numId="12" w16cid:durableId="22487653">
    <w:abstractNumId w:val="8"/>
  </w:num>
  <w:num w:numId="13" w16cid:durableId="173887479">
    <w:abstractNumId w:val="3"/>
  </w:num>
  <w:num w:numId="14" w16cid:durableId="734740487">
    <w:abstractNumId w:val="3"/>
  </w:num>
  <w:num w:numId="15" w16cid:durableId="1006447632">
    <w:abstractNumId w:val="2"/>
  </w:num>
  <w:num w:numId="16" w16cid:durableId="6716553">
    <w:abstractNumId w:val="2"/>
  </w:num>
  <w:num w:numId="17" w16cid:durableId="1593052">
    <w:abstractNumId w:val="1"/>
  </w:num>
  <w:num w:numId="18" w16cid:durableId="1160072842">
    <w:abstractNumId w:val="1"/>
  </w:num>
  <w:num w:numId="19" w16cid:durableId="966934601">
    <w:abstractNumId w:val="0"/>
  </w:num>
  <w:num w:numId="20" w16cid:durableId="1919249864">
    <w:abstractNumId w:val="0"/>
  </w:num>
  <w:num w:numId="21" w16cid:durableId="520780914">
    <w:abstractNumId w:val="9"/>
  </w:num>
  <w:num w:numId="22" w16cid:durableId="1246187292">
    <w:abstractNumId w:val="7"/>
  </w:num>
  <w:num w:numId="23" w16cid:durableId="606427963">
    <w:abstractNumId w:val="6"/>
  </w:num>
  <w:num w:numId="24" w16cid:durableId="2088531836">
    <w:abstractNumId w:val="5"/>
  </w:num>
  <w:num w:numId="25" w16cid:durableId="1712878580">
    <w:abstractNumId w:val="4"/>
  </w:num>
  <w:num w:numId="26" w16cid:durableId="1548757384">
    <w:abstractNumId w:val="8"/>
  </w:num>
  <w:num w:numId="27" w16cid:durableId="1559051179">
    <w:abstractNumId w:val="3"/>
  </w:num>
  <w:num w:numId="28" w16cid:durableId="704406232">
    <w:abstractNumId w:val="2"/>
  </w:num>
  <w:num w:numId="29" w16cid:durableId="720977518">
    <w:abstractNumId w:val="1"/>
  </w:num>
  <w:num w:numId="30" w16cid:durableId="1713461204">
    <w:abstractNumId w:val="0"/>
  </w:num>
  <w:num w:numId="31" w16cid:durableId="688062891">
    <w:abstractNumId w:val="9"/>
  </w:num>
  <w:num w:numId="32" w16cid:durableId="1557352058">
    <w:abstractNumId w:val="7"/>
  </w:num>
  <w:num w:numId="33" w16cid:durableId="119956766">
    <w:abstractNumId w:val="6"/>
  </w:num>
  <w:num w:numId="34" w16cid:durableId="448596462">
    <w:abstractNumId w:val="5"/>
  </w:num>
  <w:num w:numId="35" w16cid:durableId="1344044205">
    <w:abstractNumId w:val="4"/>
  </w:num>
  <w:num w:numId="36" w16cid:durableId="754941625">
    <w:abstractNumId w:val="8"/>
  </w:num>
  <w:num w:numId="37" w16cid:durableId="944340049">
    <w:abstractNumId w:val="3"/>
  </w:num>
  <w:num w:numId="38" w16cid:durableId="536359533">
    <w:abstractNumId w:val="2"/>
  </w:num>
  <w:num w:numId="39" w16cid:durableId="1588076134">
    <w:abstractNumId w:val="1"/>
  </w:num>
  <w:num w:numId="40" w16cid:durableId="1199275894">
    <w:abstractNumId w:val="0"/>
  </w:num>
  <w:num w:numId="41" w16cid:durableId="1744139869">
    <w:abstractNumId w:val="10"/>
  </w:num>
  <w:num w:numId="42" w16cid:durableId="1846283462">
    <w:abstractNumId w:val="10"/>
  </w:num>
  <w:num w:numId="43" w16cid:durableId="2100783904">
    <w:abstractNumId w:val="10"/>
  </w:num>
  <w:num w:numId="44" w16cid:durableId="15196556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4/2026"/>
    <w:docVar w:name="dvlangue" w:val="SK"/>
    <w:docVar w:name="dvnumam" w:val="0"/>
    <w:docVar w:name="dvpe" w:val="782.343"/>
    <w:docVar w:name="dvtitre" w:val="Uznesenie Európskeho parlamentu z/zo xx. xxx 2026 o potrebe znížiť počet úmrtí súvisiacich s prácou(2025/3046(RSP))"/>
  </w:docVars>
  <w:rsids>
    <w:rsidRoot w:val="00A1715E"/>
    <w:rsid w:val="00002272"/>
    <w:rsid w:val="000402A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251B"/>
    <w:rsid w:val="0041666E"/>
    <w:rsid w:val="00421060"/>
    <w:rsid w:val="00464E4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BBF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28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681"/>
    <w:rsid w:val="00907DCD"/>
    <w:rsid w:val="00930C23"/>
    <w:rsid w:val="0093193B"/>
    <w:rsid w:val="009509D8"/>
    <w:rsid w:val="00950B64"/>
    <w:rsid w:val="00981893"/>
    <w:rsid w:val="00A1687D"/>
    <w:rsid w:val="00A1715E"/>
    <w:rsid w:val="00A43E52"/>
    <w:rsid w:val="00A4678D"/>
    <w:rsid w:val="00A778C7"/>
    <w:rsid w:val="00A80CE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140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38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7BD9D"/>
  <w15:chartTrackingRefBased/>
  <w15:docId w15:val="{E6EC625F-2501-432A-BC7C-BC9BED97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1283"/>
    <w:pPr>
      <w:spacing w:before="480" w:after="240"/>
    </w:pPr>
  </w:style>
  <w:style w:type="paragraph" w:customStyle="1" w:styleId="NormalHanging12a">
    <w:name w:val="NormalHanging12a"/>
    <w:basedOn w:val="Normal"/>
    <w:rsid w:val="007C1283"/>
    <w:pPr>
      <w:spacing w:after="240"/>
      <w:ind w:left="567" w:hanging="567"/>
    </w:pPr>
  </w:style>
  <w:style w:type="character" w:styleId="Hyperlink">
    <w:name w:val="Hyperlink"/>
    <w:basedOn w:val="DefaultParagraphFont"/>
    <w:rsid w:val="007C128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7438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1016/S2468-2667(24)00226-3" TargetMode="External"/><Relationship Id="rId2" Type="http://schemas.openxmlformats.org/officeDocument/2006/relationships/hyperlink" Target="http://data.europa.eu/eli/C/2026/2154/oj" TargetMode="External"/><Relationship Id="rId1" Type="http://schemas.openxmlformats.org/officeDocument/2006/relationships/hyperlink" Target="http://data.europa.eu/eli/dir/1989/391/oj" TargetMode="External"/><Relationship Id="rId4" Type="http://schemas.openxmlformats.org/officeDocument/2006/relationships/hyperlink" Target="http://data.europa.eu/eli/reco/2022/23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4380</Words>
  <Characters>28079</Characters>
  <Application>Microsoft Office Word</Application>
  <DocSecurity>0</DocSecurity>
  <Lines>233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2026-05-21T14:31:00Z</dcterms:created>
  <dcterms:modified xsi:type="dcterms:W3CDTF">2026-05-21T14:31:00Z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B10-0244/2026</vt:lpwstr>
  </property>
  <property fmtid="{D5CDD505-2E9C-101B-9397-08002B2CF9AE}" pid="4" name="&lt;Type&gt;">
    <vt:lpwstr>RR</vt:lpwstr>
  </property>
</Properties>
</file>