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0A5C5F" w14:textId="77777777" w:rsidTr="0010095E">
        <w:tblPrEx>
          <w:tblW w:w="9072" w:type="dxa"/>
          <w:tblLook w:val="01E0"/>
        </w:tblPrEx>
        <w:trPr>
          <w:trHeight w:hRule="exact" w:val="1418"/>
        </w:trPr>
        <w:tc>
          <w:tcPr>
            <w:tcW w:w="6804" w:type="dxa"/>
            <w:shd w:val="clear" w:color="auto" w:fill="auto"/>
            <w:vAlign w:val="center"/>
          </w:tcPr>
          <w:p w:rsidR="00751A4A" w:rsidRPr="00A416ED" w:rsidP="0010095E" w14:paraId="14E42AC5" w14:textId="77777777">
            <w:pPr>
              <w:pStyle w:val="EPName"/>
            </w:pPr>
            <w:r w:rsidRPr="00A416ED">
              <w:t>Evropský parlament</w:t>
            </w:r>
          </w:p>
          <w:p w:rsidR="00751A4A" w:rsidRPr="00A416ED" w:rsidP="005F1B17" w14:paraId="104995DF" w14:textId="77777777">
            <w:pPr>
              <w:pStyle w:val="EPTerm"/>
              <w:rPr>
                <w:rStyle w:val="HideTWBExt"/>
                <w:noProof w:val="0"/>
                <w:vanish w:val="0"/>
                <w:color w:val="auto"/>
              </w:rPr>
            </w:pPr>
            <w:r w:rsidRPr="00A416ED">
              <w:t>2024</w:t>
            </w:r>
            <w:r w:rsidRPr="00A416ED" w:rsidR="00817416">
              <w:t>-202</w:t>
            </w:r>
            <w:r w:rsidRPr="00A416ED">
              <w:t>9</w:t>
            </w:r>
          </w:p>
        </w:tc>
        <w:tc>
          <w:tcPr>
            <w:tcW w:w="2268" w:type="dxa"/>
            <w:shd w:val="clear" w:color="auto" w:fill="auto"/>
          </w:tcPr>
          <w:p w:rsidR="00751A4A" w:rsidRPr="00A416ED" w:rsidP="0010095E" w14:paraId="7207385E" w14:textId="77777777">
            <w:pPr>
              <w:pStyle w:val="EPLogo"/>
            </w:pPr>
            <w:r w:rsidRPr="00A416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16ED" w:rsidP="004C5D52" w14:paraId="1A86637C" w14:textId="77777777">
      <w:pPr>
        <w:pStyle w:val="LineTop"/>
      </w:pPr>
    </w:p>
    <w:p w:rsidR="00680577" w:rsidRPr="00A416ED" w:rsidP="00680577" w14:paraId="30A33DA7" w14:textId="77777777">
      <w:pPr>
        <w:pStyle w:val="EPBodyTA1"/>
      </w:pPr>
      <w:r w:rsidRPr="00A416ED">
        <w:t>PŘIJATÉ TEXTY</w:t>
      </w:r>
    </w:p>
    <w:p w:rsidR="00D058B8" w:rsidRPr="00A416ED" w:rsidP="00D058B8" w14:paraId="0180EC97" w14:textId="77777777">
      <w:pPr>
        <w:pStyle w:val="LineBottom"/>
      </w:pPr>
    </w:p>
    <w:p w:rsidR="00577465" w:rsidRPr="00A416ED" w:rsidP="00577465" w14:paraId="4A0103D1" w14:textId="79859742">
      <w:pPr>
        <w:pStyle w:val="ATHeading1"/>
      </w:pPr>
      <w:bookmarkStart w:id="0" w:name="TANumber"/>
      <w:r w:rsidRPr="00A416ED">
        <w:t>P10_TA(2026)0</w:t>
      </w:r>
      <w:r w:rsidR="00C7686C">
        <w:t>192</w:t>
      </w:r>
      <w:bookmarkEnd w:id="0"/>
    </w:p>
    <w:p w:rsidR="00577465" w:rsidRPr="00A416ED" w:rsidP="00577465" w14:paraId="23FC5427" w14:textId="77777777">
      <w:pPr>
        <w:pStyle w:val="ATHeading2"/>
      </w:pPr>
      <w:bookmarkStart w:id="1" w:name="title"/>
      <w:r w:rsidRPr="00A416ED">
        <w:t xml:space="preserve">Žádost, aby byl Daniel </w:t>
      </w:r>
      <w:r w:rsidRPr="00A416ED">
        <w:t>Attard</w:t>
      </w:r>
      <w:r w:rsidRPr="00A416ED">
        <w:t xml:space="preserve"> zbaven imunity</w:t>
      </w:r>
      <w:bookmarkEnd w:id="1"/>
    </w:p>
    <w:p w:rsidR="00577465" w:rsidRPr="00A416ED" w:rsidP="00577465" w14:paraId="22351856" w14:textId="77777777">
      <w:pPr>
        <w:rPr>
          <w:i/>
          <w:vanish/>
        </w:rPr>
      </w:pPr>
      <w:r>
        <w:rPr>
          <w:i/>
        </w:rPr>
        <w:fldChar w:fldCharType="begin"/>
      </w:r>
      <w:r w:rsidRPr="00A416ED">
        <w:rPr>
          <w:i/>
        </w:rPr>
        <w:instrText xml:space="preserve"> TC"(</w:instrText>
      </w:r>
      <w:bookmarkStart w:id="2" w:name="DocNumber"/>
      <w:r w:rsidRPr="00A416ED">
        <w:rPr>
          <w:i/>
        </w:rPr>
        <w:instrText>A10-0152/2026</w:instrText>
      </w:r>
      <w:bookmarkEnd w:id="2"/>
      <w:r w:rsidRPr="00A416ED">
        <w:rPr>
          <w:i/>
        </w:rPr>
        <w:instrText xml:space="preserve"> - Zpravodaj: Dominik Tarczyński)"\l3 \n&gt; \* MERGEFORMAT </w:instrText>
      </w:r>
      <w:r>
        <w:rPr>
          <w:i/>
        </w:rPr>
        <w:fldChar w:fldCharType="end"/>
      </w:r>
    </w:p>
    <w:p w:rsidR="00577465" w:rsidRPr="00A416ED" w:rsidP="00577465" w14:paraId="69F36F9C" w14:textId="77777777">
      <w:pPr>
        <w:rPr>
          <w:vanish/>
        </w:rPr>
      </w:pPr>
      <w:bookmarkStart w:id="3" w:name="Commission"/>
      <w:r w:rsidRPr="00A416ED">
        <w:rPr>
          <w:vanish/>
        </w:rPr>
        <w:t>Výbor pro právní záležitosti</w:t>
      </w:r>
      <w:bookmarkEnd w:id="3"/>
    </w:p>
    <w:p w:rsidR="00577465" w:rsidRPr="00A416ED" w:rsidP="00577465" w14:paraId="3B0DA1BE" w14:textId="77777777">
      <w:pPr>
        <w:rPr>
          <w:vanish/>
        </w:rPr>
      </w:pPr>
      <w:bookmarkStart w:id="4" w:name="PE"/>
      <w:r w:rsidRPr="00A416ED">
        <w:rPr>
          <w:vanish/>
        </w:rPr>
        <w:t>PE782.198</w:t>
      </w:r>
      <w:bookmarkEnd w:id="4"/>
    </w:p>
    <w:p w:rsidR="00577465" w:rsidRPr="00A416ED" w:rsidP="007035E0" w14:paraId="26F30E36" w14:textId="35A93765">
      <w:pPr>
        <w:pStyle w:val="ATHeading3"/>
      </w:pPr>
      <w:bookmarkStart w:id="5" w:name="Sujet"/>
      <w:r w:rsidRPr="00A416ED">
        <w:t>Rozhodnutí Evropského parlamentu ze dne</w:t>
      </w:r>
      <w:r w:rsidR="007035E0">
        <w:t xml:space="preserve"> </w:t>
      </w:r>
      <w:r w:rsidR="008839F2">
        <w:t>16</w:t>
      </w:r>
      <w:r w:rsidR="007035E0">
        <w:t>. června</w:t>
      </w:r>
      <w:r w:rsidRPr="00A416ED">
        <w:t xml:space="preserve"> 2026 o žádosti, aby byl Daniel </w:t>
      </w:r>
      <w:r w:rsidRPr="00A416ED">
        <w:t>Attard</w:t>
      </w:r>
      <w:r w:rsidRPr="00A416ED">
        <w:t xml:space="preserve"> zbaven imunity</w:t>
      </w:r>
      <w:bookmarkEnd w:id="5"/>
      <w:r w:rsidRPr="00A416ED">
        <w:t xml:space="preserve"> </w:t>
      </w:r>
      <w:bookmarkStart w:id="6" w:name="References"/>
      <w:r w:rsidRPr="00A416ED">
        <w:t>(2025/2097(IMM))</w:t>
      </w:r>
      <w:bookmarkEnd w:id="6"/>
    </w:p>
    <w:p w:rsidR="00725968" w:rsidRPr="00A416ED" w:rsidP="00725968" w14:paraId="65C5D68A" w14:textId="77777777">
      <w:pPr>
        <w:pStyle w:val="EPComma"/>
      </w:pPr>
      <w:bookmarkStart w:id="7" w:name="TextBodyBegin"/>
      <w:bookmarkEnd w:id="7"/>
      <w:r w:rsidRPr="00A416ED">
        <w:rPr>
          <w:i/>
        </w:rPr>
        <w:t>Evropský parlament</w:t>
      </w:r>
      <w:r w:rsidRPr="00A416ED">
        <w:t>,</w:t>
      </w:r>
    </w:p>
    <w:p w:rsidR="00725968" w:rsidRPr="00A416ED" w:rsidP="00725968" w14:paraId="71C45674" w14:textId="0FE3352F">
      <w:pPr>
        <w:pStyle w:val="NormalHanging12a"/>
      </w:pPr>
      <w:r w:rsidRPr="00A416ED">
        <w:t>–</w:t>
      </w:r>
      <w:r w:rsidRPr="00A416ED">
        <w:tab/>
        <w:t>s ohledem na žádost</w:t>
      </w:r>
      <w:r w:rsidR="005C7FA8">
        <w:t>, aby byl</w:t>
      </w:r>
      <w:r w:rsidRPr="00A416ED">
        <w:t xml:space="preserve"> Daniel </w:t>
      </w:r>
      <w:r w:rsidRPr="00A416ED">
        <w:t>Attard</w:t>
      </w:r>
      <w:r w:rsidRPr="00A416ED">
        <w:t xml:space="preserve"> </w:t>
      </w:r>
      <w:r w:rsidR="005C7FA8">
        <w:t xml:space="preserve">zbaven </w:t>
      </w:r>
      <w:r w:rsidRPr="00A416ED">
        <w:t>imunity</w:t>
      </w:r>
      <w:r w:rsidR="005C7FA8">
        <w:t>, kterou dne</w:t>
      </w:r>
      <w:r w:rsidRPr="00A416ED">
        <w:t xml:space="preserve"> </w:t>
      </w:r>
      <w:r w:rsidR="005C7FA8">
        <w:t>6. května 202</w:t>
      </w:r>
      <w:r w:rsidR="00EF435E">
        <w:t>5</w:t>
      </w:r>
      <w:r w:rsidR="005C7FA8">
        <w:t xml:space="preserve"> formou dopisu </w:t>
      </w:r>
      <w:r w:rsidRPr="00A416ED">
        <w:t>předlož</w:t>
      </w:r>
      <w:r w:rsidR="005C7FA8">
        <w:t>il</w:t>
      </w:r>
      <w:r w:rsidR="008839F2">
        <w:t>o</w:t>
      </w:r>
      <w:r w:rsidR="00E85C2D">
        <w:t xml:space="preserve"> </w:t>
      </w:r>
      <w:r w:rsidRPr="00A416ED">
        <w:t>belgické federální ministerstv</w:t>
      </w:r>
      <w:r w:rsidR="008839F2">
        <w:t>o</w:t>
      </w:r>
      <w:r w:rsidRPr="00A416ED">
        <w:t xml:space="preserve"> pro zahraniční věci, zahraniční obchod a rozvojovou spolupráci, jež tak předalo žádost belgického federálního státního zastupitelství ze dne 16. dubna 2025 </w:t>
      </w:r>
      <w:r w:rsidR="005C7FA8">
        <w:t xml:space="preserve">v </w:t>
      </w:r>
      <w:r w:rsidRPr="00A416ED">
        <w:t>souvis</w:t>
      </w:r>
      <w:r w:rsidR="005C7FA8">
        <w:t>losti</w:t>
      </w:r>
      <w:r w:rsidRPr="00A416ED">
        <w:t xml:space="preserve"> s trestním řízením, které má být vedeno </w:t>
      </w:r>
      <w:r w:rsidR="00E85C2D">
        <w:t xml:space="preserve">proti </w:t>
      </w:r>
      <w:r w:rsidRPr="00A416ED">
        <w:t>Daniel</w:t>
      </w:r>
      <w:r w:rsidR="00E85C2D">
        <w:t>u</w:t>
      </w:r>
      <w:r w:rsidRPr="00A416ED">
        <w:t xml:space="preserve"> </w:t>
      </w:r>
      <w:r w:rsidRPr="00A416ED">
        <w:t>Attard</w:t>
      </w:r>
      <w:r w:rsidR="00E85C2D">
        <w:t>ovi</w:t>
      </w:r>
      <w:r w:rsidRPr="00A416ED">
        <w:t>, a </w:t>
      </w:r>
      <w:r w:rsidR="005C7FA8">
        <w:t>která</w:t>
      </w:r>
      <w:r w:rsidRPr="00A416ED">
        <w:t xml:space="preserve"> byla </w:t>
      </w:r>
      <w:r w:rsidRPr="00C75945" w:rsidR="00C75945">
        <w:t xml:space="preserve">oznámena na plenárním zasedání </w:t>
      </w:r>
      <w:r w:rsidRPr="00A416ED">
        <w:t>dne 21. května 2025,</w:t>
      </w:r>
    </w:p>
    <w:p w:rsidR="00725968" w:rsidRPr="00A416ED" w:rsidP="00725968" w14:paraId="143596AE" w14:textId="50AF3D4D">
      <w:pPr>
        <w:pStyle w:val="NormalHanging12a"/>
        <w:rPr>
          <w:bCs/>
        </w:rPr>
      </w:pPr>
      <w:r w:rsidRPr="00A416ED">
        <w:t>–</w:t>
      </w:r>
      <w:r w:rsidRPr="00A416ED">
        <w:tab/>
      </w:r>
      <w:bookmarkStart w:id="8" w:name="_Hlk229401852"/>
      <w:bookmarkStart w:id="9" w:name="_Hlk225077637"/>
      <w:r w:rsidRPr="00A416ED">
        <w:t xml:space="preserve">s ohledem na dodatečné informace, které poskytli federální státní zástupce a vyšetřující soudce </w:t>
      </w:r>
      <w:r w:rsidR="008839F2">
        <w:t>během</w:t>
      </w:r>
      <w:r w:rsidRPr="00A416ED" w:rsidR="008839F2">
        <w:t xml:space="preserve"> výměn</w:t>
      </w:r>
      <w:r w:rsidR="008839F2">
        <w:t>y</w:t>
      </w:r>
      <w:r w:rsidRPr="00A416ED" w:rsidR="008839F2">
        <w:t xml:space="preserve"> </w:t>
      </w:r>
      <w:r w:rsidRPr="00A416ED">
        <w:t xml:space="preserve">informací dne 15. července 2025, a na odpověď, jež byla poskytnuta </w:t>
      </w:r>
      <w:r w:rsidR="008839F2">
        <w:t xml:space="preserve">federálním státním zástupcem </w:t>
      </w:r>
      <w:r w:rsidRPr="00A416ED">
        <w:t xml:space="preserve">dne 18. září 2025 na základě písemné žádosti o další informace, s ohledem na skutečnost, že žádost o zbavení poslanecké imunity </w:t>
      </w:r>
      <w:bookmarkStart w:id="10" w:name="_Hlk225077824"/>
      <w:r w:rsidRPr="00A416ED">
        <w:t>musí splňovat určité</w:t>
      </w:r>
      <w:bookmarkEnd w:id="10"/>
      <w:r w:rsidRPr="00A416ED">
        <w:t xml:space="preserve"> náležitosti, konkrétně to znamená, že musí být formulována jasně, a to i s ohledem na právní rámec, na němž je založena, a musí uvádět jasné a dostatečné údaje a informace, aby Parlament mohl žádost posoudit a dospět k závěru a co nejrychleji toto posouzení uzavřít, a to i vzhledem k relativní složitosti případu,</w:t>
      </w:r>
      <w:bookmarkEnd w:id="8"/>
    </w:p>
    <w:bookmarkEnd w:id="9"/>
    <w:p w:rsidR="00725968" w:rsidRPr="00A416ED" w:rsidP="00725968" w14:paraId="66E25279" w14:textId="7BE0B2FF">
      <w:pPr>
        <w:pStyle w:val="NormalHanging12a"/>
      </w:pPr>
      <w:r w:rsidRPr="00A416ED">
        <w:t>–</w:t>
      </w:r>
      <w:r w:rsidRPr="00A416ED">
        <w:tab/>
        <w:t xml:space="preserve">poté, co Daniel </w:t>
      </w:r>
      <w:r w:rsidRPr="00A416ED">
        <w:t>Attard</w:t>
      </w:r>
      <w:r w:rsidRPr="00A416ED">
        <w:t xml:space="preserve"> dostal příležitost vyjádřit </w:t>
      </w:r>
      <w:r w:rsidRPr="008839F2">
        <w:t>se dne 3. prosince 2025 v</w:t>
      </w:r>
      <w:r w:rsidRPr="00A416ED">
        <w:t> souladu s čl. 9 odst. 6 jednacího řádu, a s ohledem na dokumenty, které předložil,</w:t>
      </w:r>
    </w:p>
    <w:p w:rsidR="00725968" w:rsidRPr="00A416ED" w:rsidP="00725968" w14:paraId="1382CDD1" w14:textId="4FC501AF">
      <w:pPr>
        <w:pStyle w:val="NormalHanging12a"/>
        <w:rPr>
          <w:b/>
          <w:bCs/>
        </w:rPr>
      </w:pPr>
      <w:r w:rsidRPr="00A416ED">
        <w:t>–</w:t>
      </w:r>
      <w:r w:rsidRPr="00A416ED">
        <w:tab/>
        <w:t xml:space="preserve">s ohledem na dopis federálního státního zástupce ze dne 5. března 2026, v němž se opravují chybná tvrzení proti Danielu </w:t>
      </w:r>
      <w:r w:rsidRPr="00A416ED">
        <w:t>Attardovi</w:t>
      </w:r>
      <w:r w:rsidRPr="00A416ED">
        <w:t>, která byla původně obsažena v odpovědi poskytnuté dne 18. září 2025,</w:t>
      </w:r>
    </w:p>
    <w:p w:rsidR="00725968" w:rsidRPr="00A416ED" w:rsidP="00725968" w14:paraId="1C1E86F2" w14:textId="77777777">
      <w:pPr>
        <w:pStyle w:val="NormalHanging12a"/>
      </w:pPr>
      <w:r w:rsidRPr="00A416ED">
        <w:t>–</w:t>
      </w:r>
      <w:r w:rsidRPr="00A416ED">
        <w:tab/>
      </w:r>
      <w:bookmarkStart w:id="11" w:name="_Hlk229401894"/>
      <w:r w:rsidRPr="00A416ED">
        <w:t>s ohledem na články 8 a 9 Protokolu č. 7 o výsadách a imunitách Evropské unie a na čl. 6 odst. 2 aktu ze dne 20. září 1976 o volbě členů Evropského parlamentu ve všeobecných a přímých volbách,</w:t>
      </w:r>
    </w:p>
    <w:p w:rsidR="00725968" w:rsidRPr="00A416ED" w:rsidP="00725968" w14:paraId="5A2BB858" w14:textId="77777777">
      <w:pPr>
        <w:pStyle w:val="NormalHanging12a"/>
      </w:pPr>
      <w:r w:rsidRPr="00A416ED">
        <w:t>–</w:t>
      </w:r>
      <w:r w:rsidRPr="00A416ED">
        <w:tab/>
        <w:t xml:space="preserve">s ohledem na rozsudky Soudního dvora Evropské unie ze dne 21. října 2008, 19. března </w:t>
      </w:r>
      <w:r w:rsidRPr="00A416ED">
        <w:t>2010, 6. září 2011, 17. ledna 2013 a 19. prosince 2019</w:t>
      </w:r>
      <w:r>
        <w:rPr>
          <w:vertAlign w:val="superscript"/>
        </w:rPr>
        <w:footnoteReference w:id="2"/>
      </w:r>
      <w:r w:rsidRPr="00A416ED">
        <w:t>,</w:t>
      </w:r>
    </w:p>
    <w:p w:rsidR="00725968" w:rsidRPr="00A416ED" w:rsidP="00725968" w14:paraId="5A4BFE47" w14:textId="77777777">
      <w:pPr>
        <w:pStyle w:val="NormalHanging12a"/>
      </w:pPr>
      <w:r w:rsidRPr="00A416ED">
        <w:t>–</w:t>
      </w:r>
      <w:r w:rsidRPr="00A416ED">
        <w:tab/>
        <w:t>s ohledem na čl. 5 odst. 2, čl. 6 odst. 1 a článek 9 jednacího řádu,</w:t>
      </w:r>
    </w:p>
    <w:p w:rsidR="00725968" w:rsidRPr="00A416ED" w:rsidP="00725968" w14:paraId="3066E2BA" w14:textId="77777777">
      <w:pPr>
        <w:pStyle w:val="NormalHanging12a"/>
      </w:pPr>
      <w:r w:rsidRPr="00A416ED">
        <w:t>–</w:t>
      </w:r>
      <w:r w:rsidRPr="00A416ED">
        <w:tab/>
        <w:t>s ohledem na zprávu Výboru pro právní záležitosti (A10</w:t>
      </w:r>
      <w:r w:rsidRPr="00A416ED">
        <w:noBreakHyphen/>
        <w:t>0152/2026)</w:t>
      </w:r>
      <w:bookmarkEnd w:id="11"/>
      <w:r w:rsidRPr="00A416ED">
        <w:t>,</w:t>
      </w:r>
    </w:p>
    <w:p w:rsidR="00725968" w:rsidRPr="00A416ED" w:rsidP="00725968" w14:paraId="7614D9DA" w14:textId="596F4B07">
      <w:pPr>
        <w:pStyle w:val="NormalHanging12a"/>
      </w:pPr>
      <w:r w:rsidRPr="00A416ED">
        <w:t>A.</w:t>
      </w:r>
      <w:r w:rsidRPr="00A416ED">
        <w:tab/>
      </w:r>
      <w:bookmarkStart w:id="12" w:name="_Hlk223949138"/>
      <w:r w:rsidRPr="00A416ED">
        <w:t xml:space="preserve">vzhledem k tomu, že </w:t>
      </w:r>
      <w:r w:rsidR="008839F2">
        <w:t xml:space="preserve">dne 6. května 2025 předložilo federální </w:t>
      </w:r>
      <w:r w:rsidRPr="008839F2" w:rsidR="008839F2">
        <w:t>ministerstvo pro zahraniční věci, zahraniční obchod a rozvojovou spolupráci</w:t>
      </w:r>
      <w:r w:rsidR="008839F2">
        <w:t xml:space="preserve"> žádost </w:t>
      </w:r>
      <w:r w:rsidRPr="00A416ED">
        <w:t>federální</w:t>
      </w:r>
      <w:r w:rsidR="008839F2">
        <w:t>ho</w:t>
      </w:r>
      <w:r w:rsidRPr="00A416ED">
        <w:t xml:space="preserve"> státní</w:t>
      </w:r>
      <w:r w:rsidR="008839F2">
        <w:t>ho</w:t>
      </w:r>
      <w:r w:rsidRPr="00A416ED">
        <w:t xml:space="preserve"> zastupitelství </w:t>
      </w:r>
      <w:bookmarkStart w:id="13" w:name="_Hlk210982066"/>
      <w:r w:rsidR="008839F2">
        <w:t xml:space="preserve">ze </w:t>
      </w:r>
      <w:r w:rsidRPr="00A416ED">
        <w:t>dne 16. dubna 2025</w:t>
      </w:r>
      <w:bookmarkEnd w:id="13"/>
      <w:r w:rsidRPr="00A416ED">
        <w:t xml:space="preserve"> o to</w:t>
      </w:r>
      <w:r w:rsidR="000815D4">
        <w:t>m</w:t>
      </w:r>
      <w:r w:rsidRPr="00A416ED">
        <w:t xml:space="preserve">, aby byl Daniel </w:t>
      </w:r>
      <w:r w:rsidRPr="00A416ED">
        <w:t>Attard</w:t>
      </w:r>
      <w:r w:rsidRPr="00A416ED">
        <w:t>, poslanec Evropského parlamentu zvolený na Maltě, zbaven imunity v souvislosti s trestním řízením, které proti němu má být zahájeno;</w:t>
      </w:r>
      <w:bookmarkEnd w:id="12"/>
    </w:p>
    <w:p w:rsidR="00725968" w:rsidRPr="00A416ED" w:rsidP="00725968" w14:paraId="18F669B2" w14:textId="36C54AA0">
      <w:pPr>
        <w:pStyle w:val="NormalHanging12a"/>
      </w:pPr>
      <w:r w:rsidRPr="00A416ED">
        <w:t>B.</w:t>
      </w:r>
      <w:r w:rsidRPr="00A416ED">
        <w:tab/>
      </w:r>
      <w:bookmarkStart w:id="14" w:name="_Hlk228968475"/>
      <w:bookmarkStart w:id="15" w:name="_Hlk223949179"/>
      <w:r w:rsidRPr="00A416ED">
        <w:t>vzhledem k tomu, že rozsáhlé vyšetřování týkající se společnosti Huawei přineslo údajně pádné důkazy o zločinném spolčení, které mělo pomocí podplácení poslanců Evropského parlamentu ovlivňovat rozhodování orgánů U</w:t>
      </w:r>
      <w:r w:rsidR="00D226E1">
        <w:t>nie</w:t>
      </w:r>
      <w:r w:rsidRPr="00A416ED">
        <w:t>; vzhledem k tomu, že toto vyšetřování zřejmě odhalilo několik případů údajného korupčního jednání, k němuž patrně docházelo opakovaně v letech 2021 až 2024; vzhledem k tomu, že tento systém podplácení údajně fungoval v různých formách, například ve formě pozvání na akce podporované společností Huawei, která poslanci Evropského parlamentu dostávali zřejmě za to, že zaujmou politické postoje, které budou ku prospěchu této společnosti, dále ve formě nepřiměřených darů, například úhrady nákladů na jídlo a cesty, nebo pravidelných pozvání na fotbalová utkání nad rámec aktivit Evropského parlamentu</w:t>
      </w:r>
      <w:bookmarkEnd w:id="14"/>
      <w:r w:rsidRPr="00A416ED">
        <w:t>;</w:t>
      </w:r>
      <w:bookmarkEnd w:id="15"/>
    </w:p>
    <w:p w:rsidR="00725968" w:rsidRPr="00A416ED" w:rsidP="00725968" w14:paraId="4041A1EA" w14:textId="025DDD48">
      <w:pPr>
        <w:pStyle w:val="NormalHanging12a"/>
      </w:pPr>
      <w:bookmarkStart w:id="16" w:name="_Hlk223949214"/>
      <w:r w:rsidRPr="00A416ED">
        <w:t>C.</w:t>
      </w:r>
      <w:r w:rsidRPr="00A416ED">
        <w:tab/>
        <w:t xml:space="preserve">vzhledem k tomu, že podle žádosti o zbavení imunity se Daniel </w:t>
      </w:r>
      <w:r w:rsidRPr="00A416ED">
        <w:t>Attard</w:t>
      </w:r>
      <w:r w:rsidRPr="00A416ED">
        <w:t xml:space="preserve"> spolu se svým akreditovaným parlamentním asistentem, zástupcem společnosti Huawei a dalšími dvěma osobami zúčastnil dne 25. září 2024 fotbalového zápasu na stadionu v Bruselu; vzhledem k tomu, že podle informací uvedených v žádosti o zbavení imunity </w:t>
      </w:r>
      <w:bookmarkStart w:id="17" w:name="_Hlk229395476"/>
      <w:r w:rsidRPr="00A416ED">
        <w:t xml:space="preserve">sledovali zápas z boxu, který údajně společnost Huawei pronajala přes zprostředkovatelskou firmu za 45 000 EUR na sezónu, aby mohla </w:t>
      </w:r>
      <w:r w:rsidR="00D226E1">
        <w:t xml:space="preserve">údajně </w:t>
      </w:r>
      <w:r w:rsidRPr="00A416ED">
        <w:t xml:space="preserve">snáze navazovat kontakty s některými poslanci Evropského parlamentu; vzhledem k tomu, že Daniel </w:t>
      </w:r>
      <w:r w:rsidRPr="00A416ED">
        <w:t>Attard</w:t>
      </w:r>
      <w:r w:rsidRPr="00A416ED">
        <w:t xml:space="preserve"> podle všeho neoznámil Evropskému parlamentu úhradu nákladů spojených s návštěvou fotbalového zápasu, jejichž přesná výše nebyla orgánu žádajícímu o zbavení imunity známa;</w:t>
      </w:r>
      <w:bookmarkEnd w:id="16"/>
      <w:bookmarkEnd w:id="17"/>
    </w:p>
    <w:p w:rsidR="00725968" w:rsidRPr="00A416ED" w:rsidP="00725968" w14:paraId="30ED5617" w14:textId="156BC4C0">
      <w:pPr>
        <w:pStyle w:val="NormalHanging12a"/>
      </w:pPr>
      <w:bookmarkStart w:id="18" w:name="_Hlk223949297"/>
      <w:r w:rsidRPr="00A416ED">
        <w:t>D.</w:t>
      </w:r>
      <w:r w:rsidRPr="00A416ED">
        <w:tab/>
        <w:t>vzhledem k tomu, že teprve na základě dodatečných informací, které uvedl federální státní zástupce v odpovědi na písemnou žádost o d</w:t>
      </w:r>
      <w:r w:rsidR="00C90D98">
        <w:t>alší</w:t>
      </w:r>
      <w:r w:rsidRPr="00A416ED">
        <w:t xml:space="preserve"> informace, bylo zjištěno, že v případě Daniela </w:t>
      </w:r>
      <w:r w:rsidRPr="00A416ED">
        <w:t>Attarda</w:t>
      </w:r>
      <w:r w:rsidRPr="00A416ED">
        <w:t xml:space="preserve"> se mohlo jednat o pasivní úplatkářství veřejného činitele, což je trestný čin ve smyslu čl. 246 odst. 1 belgického trestního zákoníku;</w:t>
      </w:r>
      <w:bookmarkStart w:id="19" w:name="_Hlk228968566"/>
      <w:bookmarkEnd w:id="19"/>
    </w:p>
    <w:p w:rsidR="00725968" w:rsidRPr="00A416ED" w:rsidP="00725968" w14:paraId="1C0C8028" w14:textId="42612E38">
      <w:pPr>
        <w:pStyle w:val="NormalHanging12a"/>
      </w:pPr>
      <w:r w:rsidRPr="00A416ED">
        <w:t>E.</w:t>
      </w:r>
      <w:r w:rsidRPr="00A416ED">
        <w:tab/>
        <w:t xml:space="preserve">vzhledem k tomu, že Daniel </w:t>
      </w:r>
      <w:r w:rsidRPr="00A416ED">
        <w:t>Attard</w:t>
      </w:r>
      <w:r w:rsidRPr="00A416ED">
        <w:t xml:space="preserve"> byl </w:t>
      </w:r>
      <w:bookmarkStart w:id="20" w:name="_Hlk232413933"/>
      <w:r w:rsidRPr="00D226E1" w:rsidR="00D226E1">
        <w:t xml:space="preserve">v evropských volbách v červnu 2024 </w:t>
      </w:r>
      <w:bookmarkEnd w:id="20"/>
      <w:r w:rsidRPr="00A416ED">
        <w:t xml:space="preserve">zvolen </w:t>
      </w:r>
      <w:r w:rsidR="00D226E1">
        <w:t xml:space="preserve">poslancem </w:t>
      </w:r>
      <w:r w:rsidRPr="00A416ED">
        <w:t>Evropského parlamentu a </w:t>
      </w:r>
      <w:r w:rsidR="00D226E1">
        <w:t xml:space="preserve">že </w:t>
      </w:r>
      <w:r w:rsidRPr="00A416ED">
        <w:t xml:space="preserve">v době </w:t>
      </w:r>
      <w:r w:rsidR="00D226E1">
        <w:t xml:space="preserve">spáchání </w:t>
      </w:r>
      <w:r w:rsidRPr="00A416ED">
        <w:t xml:space="preserve">údajného trestného činu </w:t>
      </w:r>
      <w:r w:rsidR="00D226E1">
        <w:t xml:space="preserve">tudíž </w:t>
      </w:r>
      <w:r w:rsidRPr="00A416ED">
        <w:t>byl poslancem Evropského parlamentu;</w:t>
      </w:r>
    </w:p>
    <w:p w:rsidR="00725968" w:rsidRPr="00A416ED" w:rsidP="00725968" w14:paraId="269D432B" w14:textId="77777777">
      <w:pPr>
        <w:pStyle w:val="NormalHanging12a"/>
      </w:pPr>
      <w:r w:rsidRPr="00A416ED">
        <w:t>F.</w:t>
      </w:r>
      <w:r w:rsidRPr="00A416ED">
        <w:tab/>
        <w:t xml:space="preserve">vzhledem k tomu, že na jedné straně Evropský parlament nelze považovat za soud a že </w:t>
      </w:r>
      <w:r w:rsidRPr="00A416ED">
        <w:t>na straně druhé poslanec nemůže být v rámci řízení o zbavení imunity považován za „obžalovaného“</w:t>
      </w:r>
      <w:r>
        <w:rPr>
          <w:vertAlign w:val="superscript"/>
        </w:rPr>
        <w:footnoteReference w:id="3"/>
      </w:r>
      <w:r w:rsidRPr="00A416ED">
        <w:t>;</w:t>
      </w:r>
    </w:p>
    <w:p w:rsidR="00725968" w:rsidRPr="00A416ED" w:rsidP="00725968" w14:paraId="7A268AC8" w14:textId="2536FAEE">
      <w:pPr>
        <w:pStyle w:val="NormalHanging12a"/>
      </w:pPr>
      <w:r w:rsidRPr="00A416ED">
        <w:t>G.</w:t>
      </w:r>
      <w:r w:rsidRPr="00A416ED">
        <w:tab/>
        <w:t>vzhledem k tomu, že účelem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rsidR="00725968" w:rsidRPr="00A416ED" w:rsidP="00725968" w14:paraId="33A70368" w14:textId="0779CDD7">
      <w:pPr>
        <w:pStyle w:val="NormalHanging12a"/>
      </w:pPr>
      <w:r w:rsidRPr="00A416ED">
        <w:t xml:space="preserve">H. </w:t>
      </w:r>
      <w:r w:rsidRPr="00A416ED">
        <w:tab/>
        <w:t xml:space="preserve">vzhledem k tomu, že podle čl. 5 odst. 2 jednacího řádu není poslanecká imunita osobní výsadou </w:t>
      </w:r>
      <w:r w:rsidR="00D226E1">
        <w:t>poslance</w:t>
      </w:r>
      <w:r w:rsidRPr="00A416ED">
        <w:t xml:space="preserve">, nýbrž zárukou nezávislosti </w:t>
      </w:r>
      <w:r w:rsidR="00D226E1">
        <w:t>P</w:t>
      </w:r>
      <w:r w:rsidRPr="00A416ED">
        <w:t>arlamentu jako celku a jeho poslanců;</w:t>
      </w:r>
    </w:p>
    <w:p w:rsidR="00725968" w:rsidRPr="00A416ED" w:rsidP="00725968" w14:paraId="293A8439" w14:textId="77777777">
      <w:pPr>
        <w:pStyle w:val="NormalHanging12a"/>
      </w:pPr>
      <w:r w:rsidRPr="00A416ED">
        <w:t>I.</w:t>
      </w:r>
      <w:r w:rsidRPr="00A416ED">
        <w:tab/>
        <w:t xml:space="preserve">vzhledem k tomu, že článek 8 Protokolu č. 7 o výsadách a imunitách Evropské unie stanoví, že členové Evropského parlamentu nemohou být vyšetřováni, zadrženi nebo stíháni pro své názory či hlasování během výkonu své funkce; vzhledem k tomu, že údajný trestný čin se netýká názorů, které Daniel </w:t>
      </w:r>
      <w:r w:rsidRPr="00A416ED">
        <w:t>Attard</w:t>
      </w:r>
      <w:r w:rsidRPr="00A416ED">
        <w:t xml:space="preserve"> vyjadřuje, ani způsobu, jakým hlasuje, při výkonu své funkce ve smyslu článku 8 uvedeného protokolu;</w:t>
      </w:r>
    </w:p>
    <w:p w:rsidR="00725968" w:rsidRPr="00A416ED" w:rsidP="00C90D98" w14:paraId="44EF5792" w14:textId="4947801F">
      <w:pPr>
        <w:pStyle w:val="NormalHanging12a"/>
      </w:pPr>
      <w:r w:rsidRPr="00A416ED">
        <w:t>J.</w:t>
      </w:r>
      <w:r w:rsidRPr="00A416ED">
        <w:tab/>
        <w:t xml:space="preserve">vzhledem k tomu, že čl. 9 </w:t>
      </w:r>
      <w:r w:rsidR="00C90D98">
        <w:t>první p</w:t>
      </w:r>
      <w:r w:rsidRPr="00A416ED">
        <w:t>o</w:t>
      </w:r>
      <w:r w:rsidR="00C90D98">
        <w:t>do</w:t>
      </w:r>
      <w:r w:rsidRPr="00A416ED">
        <w:t>dst</w:t>
      </w:r>
      <w:r w:rsidR="00C90D98">
        <w:t>avec</w:t>
      </w:r>
      <w:r w:rsidRPr="00A416ED">
        <w:t xml:space="preserve"> písm. b) Protokolu č. 7 o výsadách a imunitách Evropské unie stanoví, že </w:t>
      </w:r>
      <w:bookmarkStart w:id="21" w:name="_Hlk232414038"/>
      <w:r w:rsidR="007E5A18">
        <w:t>v</w:t>
      </w:r>
      <w:r w:rsidRPr="007E5A18" w:rsidR="007E5A18">
        <w:t xml:space="preserve"> průběhu zasedání Evropského parlamentu jeho členové</w:t>
      </w:r>
      <w:r w:rsidR="007E5A18">
        <w:t xml:space="preserve"> </w:t>
      </w:r>
      <w:bookmarkEnd w:id="21"/>
      <w:r w:rsidRPr="00A416ED">
        <w:t xml:space="preserve">požívají na území </w:t>
      </w:r>
      <w:r w:rsidR="00C90D98">
        <w:t>všech o</w:t>
      </w:r>
      <w:r w:rsidR="007E5A18">
        <w:t>statních</w:t>
      </w:r>
      <w:r w:rsidR="00D226E1">
        <w:t xml:space="preserve"> </w:t>
      </w:r>
      <w:r w:rsidR="007E5A18">
        <w:t xml:space="preserve">členských </w:t>
      </w:r>
      <w:r w:rsidRPr="00A416ED" w:rsidR="007E5A18">
        <w:t>stát</w:t>
      </w:r>
      <w:r w:rsidR="007E5A18">
        <w:t>ů</w:t>
      </w:r>
      <w:r w:rsidRPr="00A416ED" w:rsidR="007E5A18">
        <w:t xml:space="preserve"> </w:t>
      </w:r>
      <w:r w:rsidRPr="00A416ED">
        <w:t>imunity a nemohou být zadrženi ani soudně stíháni;</w:t>
      </w:r>
    </w:p>
    <w:p w:rsidR="00725968" w:rsidRPr="00A416ED" w:rsidP="00725968" w14:paraId="2CFF6637" w14:textId="5EE037F9">
      <w:pPr>
        <w:pStyle w:val="NormalHanging12a"/>
      </w:pPr>
      <w:r w:rsidRPr="00A416ED">
        <w:t>K.</w:t>
      </w:r>
      <w:r w:rsidRPr="00A416ED">
        <w:tab/>
        <w:t xml:space="preserve">vzhledem k tomu, že jakýkoli závěr týkající se imunity Daniela </w:t>
      </w:r>
      <w:r w:rsidRPr="00A416ED">
        <w:t>Attarda</w:t>
      </w:r>
      <w:r w:rsidRPr="00A416ED">
        <w:t xml:space="preserve"> je třeba vyvodit na základě žádosti o zbavení imunity a na základě informací a vysvětlení poskytnutých v tomto případě, včetně odpovědí federálního státního zástupce, a to jak během výměny názorů, tak v rámci dodatečných informací poskytnutých písemně; vzhledem k tomu, že v žádosti o zbavení imunity zjevně chybí dostatek konkrétních prvků; vzhledem k tomu, že následná ústní a písemná komunikace s federálním státním zástupcem nerozptýlila značnou nejistotu, pokud jde o různé prvky obsažené v žádosti o zbavení Daniela </w:t>
      </w:r>
      <w:r w:rsidRPr="00A416ED">
        <w:t>Attarda</w:t>
      </w:r>
      <w:r w:rsidRPr="00A416ED">
        <w:t xml:space="preserve"> imunity; vzhledem k tomu, že obvinění, která byla poprvé sdělena v odpovědi ze dne 18. září 2025, byla založena na záměně totožnosti, jak bylo odhaleno v dopise ze dne 5. března 2026, což dále prohloubilo vážné pochybnosti týkající se argumentace, na níž byla založena původní žádost;</w:t>
      </w:r>
    </w:p>
    <w:p w:rsidR="00725968" w:rsidRPr="00A416ED" w:rsidP="00725968" w14:paraId="5D010E37" w14:textId="77777777">
      <w:pPr>
        <w:pStyle w:val="NormalHanging12a"/>
      </w:pPr>
      <w:r w:rsidRPr="00A416ED">
        <w:t>L.</w:t>
      </w:r>
      <w:r w:rsidRPr="00A416ED">
        <w:tab/>
        <w:t xml:space="preserve">vzhledem k tomu, že na základě výše uvedených skutečností neumožnil souhrn předložených informací Parlamentu s jistotou dospět k dostatečně informovanému rozhodnutí zbavit Daniela </w:t>
      </w:r>
      <w:r w:rsidRPr="00A416ED">
        <w:t>Attarda</w:t>
      </w:r>
      <w:r w:rsidRPr="00A416ED">
        <w:t xml:space="preserve"> imunity; vzhledem k tomu, že panuje značná nejistota ohledně toho, zda různé prvky tohoto případu neodkazují na existenci </w:t>
      </w:r>
      <w:r w:rsidRPr="00A416ED">
        <w:rPr>
          <w:i/>
          <w:iCs/>
        </w:rPr>
        <w:t>fumus</w:t>
      </w:r>
      <w:r w:rsidRPr="00A416ED">
        <w:rPr>
          <w:i/>
          <w:iCs/>
        </w:rPr>
        <w:t xml:space="preserve"> </w:t>
      </w:r>
      <w:r w:rsidRPr="00A416ED">
        <w:rPr>
          <w:i/>
          <w:iCs/>
        </w:rPr>
        <w:t>persecutionis</w:t>
      </w:r>
      <w:r w:rsidRPr="00A416ED">
        <w:t>;</w:t>
      </w:r>
    </w:p>
    <w:bookmarkEnd w:id="18"/>
    <w:p w:rsidR="00725968" w:rsidRPr="00A416ED" w:rsidP="00725968" w14:paraId="0C8B43B4" w14:textId="77777777">
      <w:pPr>
        <w:pStyle w:val="NormalHanging12a"/>
      </w:pPr>
      <w:r w:rsidRPr="00A416ED">
        <w:t>1.</w:t>
      </w:r>
      <w:r w:rsidRPr="00A416ED">
        <w:tab/>
      </w:r>
      <w:bookmarkStart w:id="22" w:name="_Hlk223949317"/>
      <w:r w:rsidRPr="00A416ED">
        <w:t xml:space="preserve">rozhodl, že se Daniel </w:t>
      </w:r>
      <w:r w:rsidRPr="00A416ED">
        <w:t>Attard</w:t>
      </w:r>
      <w:r w:rsidRPr="00A416ED">
        <w:t xml:space="preserve"> nezbavuje imunity</w:t>
      </w:r>
      <w:bookmarkEnd w:id="22"/>
      <w:r w:rsidRPr="00A416ED">
        <w:t>;</w:t>
      </w:r>
    </w:p>
    <w:p w:rsidR="00A416ED" w:rsidRPr="00A416ED" w:rsidP="00A416ED" w14:paraId="55B0FD32" w14:textId="655C49E9">
      <w:pPr>
        <w:pStyle w:val="NormalHanging12a"/>
      </w:pPr>
      <w:r w:rsidRPr="00A416ED">
        <w:t>2.</w:t>
      </w:r>
      <w:r w:rsidRPr="00A416ED">
        <w:tab/>
        <w:t>pověřuje svou předsedkyni, aby ihned předala toto rozhodnutí a zprávu příslušného výboru příslušn</w:t>
      </w:r>
      <w:r w:rsidR="007E5A18">
        <w:t>ému</w:t>
      </w:r>
      <w:r w:rsidRPr="00A416ED">
        <w:t xml:space="preserve"> orgán</w:t>
      </w:r>
      <w:r w:rsidR="007E5A18">
        <w:t>u</w:t>
      </w:r>
      <w:r w:rsidRPr="00A416ED">
        <w:t xml:space="preserve"> Belgického království a Danielovi </w:t>
      </w:r>
      <w:r w:rsidRPr="00A416ED">
        <w:t>Attardovi</w:t>
      </w:r>
      <w:r w:rsidRPr="00A416ED">
        <w:t>.</w:t>
      </w:r>
    </w:p>
    <w:p w:rsidR="00E365E1" w:rsidRPr="00A416ED" w:rsidP="00577465" w14:paraId="01D7B148" w14:textId="093FFE25"/>
    <w:sectPr w:rsidSect="00A416E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16ED" w14:paraId="0E642AE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16ED" w14:paraId="28A8AF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16ED" w14:paraId="48A4372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7465" w:rsidRPr="00A416ED" w14:paraId="5F8D1D9C" w14:textId="77777777">
      <w:r w:rsidRPr="00A416ED">
        <w:separator/>
      </w:r>
    </w:p>
  </w:footnote>
  <w:footnote w:type="continuationSeparator" w:id="1">
    <w:p w:rsidR="00577465" w:rsidRPr="00A416ED" w14:paraId="3441AEE7" w14:textId="77777777">
      <w:r w:rsidRPr="00A416ED">
        <w:continuationSeparator/>
      </w:r>
    </w:p>
  </w:footnote>
  <w:footnote w:id="2">
    <w:p w:rsidR="00725968" w:rsidRPr="00A416ED" w:rsidP="00A416ED" w14:paraId="4019DCE4" w14:textId="6365D19F">
      <w:pPr>
        <w:pStyle w:val="FootnoteText"/>
        <w:ind w:left="567" w:hanging="567"/>
        <w:rPr>
          <w:sz w:val="24"/>
          <w:lang w:val="cs-CZ"/>
        </w:rPr>
      </w:pPr>
      <w:r w:rsidRPr="00A416ED">
        <w:rPr>
          <w:rStyle w:val="FootnoteReference"/>
          <w:sz w:val="24"/>
          <w:lang w:val="cs-CZ"/>
        </w:rPr>
        <w:footnoteRef/>
      </w:r>
      <w:r w:rsidRPr="00A416ED" w:rsidR="00A416ED">
        <w:rPr>
          <w:sz w:val="24"/>
          <w:lang w:val="cs-CZ"/>
        </w:rPr>
        <w:t xml:space="preserve"> </w:t>
      </w:r>
      <w:r w:rsidRPr="00A416ED" w:rsidR="00A416ED">
        <w:rPr>
          <w:sz w:val="24"/>
          <w:lang w:val="cs-CZ"/>
        </w:rPr>
        <w:tab/>
      </w:r>
      <w:r w:rsidRPr="00A416ED">
        <w:rPr>
          <w:sz w:val="24"/>
          <w:lang w:val="cs-CZ"/>
        </w:rPr>
        <w:t>Rozsudek Soudního dvora ze dne 21. října 2008</w:t>
      </w:r>
      <w:r w:rsidRPr="00392EBB">
        <w:rPr>
          <w:sz w:val="24"/>
          <w:lang w:val="cs-CZ"/>
        </w:rPr>
        <w:t xml:space="preserve">, </w:t>
      </w:r>
      <w:r w:rsidRPr="008C4241">
        <w:rPr>
          <w:sz w:val="24"/>
          <w:lang w:val="cs-CZ"/>
        </w:rPr>
        <w:t>Marra</w:t>
      </w:r>
      <w:r w:rsidRPr="008C4241">
        <w:rPr>
          <w:sz w:val="24"/>
          <w:lang w:val="cs-CZ"/>
        </w:rPr>
        <w:t xml:space="preserve"> v. De </w:t>
      </w:r>
      <w:r w:rsidRPr="008C4241">
        <w:rPr>
          <w:sz w:val="24"/>
          <w:lang w:val="cs-CZ"/>
        </w:rPr>
        <w:t>Gregorio</w:t>
      </w:r>
      <w:r w:rsidRPr="008C4241">
        <w:rPr>
          <w:sz w:val="24"/>
          <w:lang w:val="cs-CZ"/>
        </w:rPr>
        <w:t xml:space="preserve"> a Clemente</w:t>
      </w:r>
      <w:r w:rsidRPr="00392EBB">
        <w:rPr>
          <w:sz w:val="24"/>
          <w:lang w:val="cs-CZ"/>
        </w:rPr>
        <w:t xml:space="preserve">, C-200/07 a C-201/07, ECLI:EU:C:2008:579; rozsudek Tribunálu ze dne 19. března 2010, </w:t>
      </w:r>
      <w:r w:rsidRPr="008C4241">
        <w:rPr>
          <w:sz w:val="24"/>
          <w:lang w:val="cs-CZ"/>
        </w:rPr>
        <w:t>Gollnisch</w:t>
      </w:r>
      <w:r w:rsidRPr="008C4241">
        <w:rPr>
          <w:sz w:val="24"/>
          <w:lang w:val="cs-CZ"/>
        </w:rPr>
        <w:t xml:space="preserve"> v. Parlament</w:t>
      </w:r>
      <w:r w:rsidRPr="00392EBB">
        <w:rPr>
          <w:sz w:val="24"/>
          <w:lang w:val="cs-CZ"/>
        </w:rPr>
        <w:t xml:space="preserve">, T-42/06, ECLI:EU:T:2010:102; rozsudek Soudního dvora ze dne 6. září 2011, </w:t>
      </w:r>
      <w:r w:rsidRPr="008C4241">
        <w:rPr>
          <w:sz w:val="24"/>
          <w:lang w:val="cs-CZ"/>
        </w:rPr>
        <w:t>Patriciello</w:t>
      </w:r>
      <w:r w:rsidRPr="00392EBB">
        <w:rPr>
          <w:sz w:val="24"/>
          <w:lang w:val="cs-CZ"/>
        </w:rPr>
        <w:t xml:space="preserve">, C-163/10, ECLI: C:2011:543; rozsudek Tribunálu ze dne 17. ledna 2013, </w:t>
      </w:r>
      <w:r w:rsidRPr="008C4241">
        <w:rPr>
          <w:sz w:val="24"/>
          <w:lang w:val="cs-CZ"/>
        </w:rPr>
        <w:t>Gollnisch</w:t>
      </w:r>
      <w:r w:rsidRPr="008C4241">
        <w:rPr>
          <w:sz w:val="24"/>
          <w:lang w:val="cs-CZ"/>
        </w:rPr>
        <w:t xml:space="preserve"> v. Parlament</w:t>
      </w:r>
      <w:r w:rsidRPr="00392EBB">
        <w:rPr>
          <w:sz w:val="24"/>
          <w:lang w:val="cs-CZ"/>
        </w:rPr>
        <w:t xml:space="preserve">, T-346/11 a T-347/11, ECLI:EU:T:2013:23. rozsudek Soudního dvora ze dne 19. prosince 2019, </w:t>
      </w:r>
      <w:r w:rsidRPr="008C4241">
        <w:rPr>
          <w:sz w:val="24"/>
          <w:lang w:val="cs-CZ"/>
        </w:rPr>
        <w:t>Junqueras</w:t>
      </w:r>
      <w:r w:rsidRPr="008C4241">
        <w:rPr>
          <w:sz w:val="24"/>
          <w:lang w:val="cs-CZ"/>
        </w:rPr>
        <w:t xml:space="preserve"> </w:t>
      </w:r>
      <w:r w:rsidRPr="008C4241">
        <w:rPr>
          <w:sz w:val="24"/>
          <w:lang w:val="cs-CZ"/>
        </w:rPr>
        <w:t>Vies</w:t>
      </w:r>
      <w:r w:rsidRPr="00392EBB">
        <w:rPr>
          <w:sz w:val="24"/>
          <w:lang w:val="cs-CZ"/>
        </w:rPr>
        <w:t>, C-502</w:t>
      </w:r>
      <w:r w:rsidRPr="00A416ED">
        <w:rPr>
          <w:sz w:val="24"/>
          <w:lang w:val="cs-CZ"/>
        </w:rPr>
        <w:t>/19, ECLI:EU:C:2019:1115.</w:t>
      </w:r>
    </w:p>
  </w:footnote>
  <w:footnote w:id="3">
    <w:p w:rsidR="00725968" w:rsidRPr="00A416ED" w:rsidP="00A416ED" w14:paraId="3B3C001A" w14:textId="12CF64AA">
      <w:pPr>
        <w:pStyle w:val="FootnoteText"/>
        <w:ind w:left="567" w:hanging="567"/>
        <w:rPr>
          <w:sz w:val="24"/>
          <w:lang w:val="cs-CZ"/>
        </w:rPr>
      </w:pPr>
      <w:r w:rsidRPr="00A416ED">
        <w:rPr>
          <w:rStyle w:val="FootnoteReference"/>
          <w:sz w:val="24"/>
          <w:lang w:val="cs-CZ"/>
        </w:rPr>
        <w:footnoteRef/>
      </w:r>
      <w:r w:rsidRPr="00A416ED" w:rsidR="00A416ED">
        <w:rPr>
          <w:sz w:val="24"/>
          <w:lang w:val="cs-CZ"/>
        </w:rPr>
        <w:t xml:space="preserve"> </w:t>
      </w:r>
      <w:r w:rsidRPr="00A416ED" w:rsidR="00A416ED">
        <w:rPr>
          <w:sz w:val="24"/>
          <w:lang w:val="cs-CZ"/>
        </w:rPr>
        <w:tab/>
      </w:r>
      <w:r w:rsidRPr="00A416ED">
        <w:rPr>
          <w:sz w:val="24"/>
          <w:lang w:val="cs-CZ"/>
        </w:rPr>
        <w:t xml:space="preserve">Rozsudek Tribunálu ze dne 30. dubna 2019, </w:t>
      </w:r>
      <w:r w:rsidRPr="008C4241">
        <w:rPr>
          <w:sz w:val="24"/>
          <w:lang w:val="cs-CZ"/>
        </w:rPr>
        <w:t>Briois</w:t>
      </w:r>
      <w:r w:rsidRPr="008C4241">
        <w:rPr>
          <w:sz w:val="24"/>
          <w:lang w:val="cs-CZ"/>
        </w:rPr>
        <w:t xml:space="preserve"> v. Evropský parlament</w:t>
      </w:r>
      <w:r w:rsidRPr="00A416ED">
        <w:rPr>
          <w:i/>
          <w:iCs/>
          <w:sz w:val="24"/>
          <w:lang w:val="cs-CZ"/>
        </w:rPr>
        <w:t>,</w:t>
      </w:r>
      <w:r w:rsidRPr="00A416ED">
        <w:rPr>
          <w:sz w:val="24"/>
          <w:lang w:val="cs-CZ"/>
        </w:rPr>
        <w:t xml:space="preserve">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16ED" w14:paraId="50C9AF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16ED" w14:paraId="28ED31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16ED" w14:paraId="3F1D73E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3026720">
    <w:abstractNumId w:val="9"/>
  </w:num>
  <w:num w:numId="2" w16cid:durableId="549222255">
    <w:abstractNumId w:val="9"/>
  </w:num>
  <w:num w:numId="3" w16cid:durableId="1406609981">
    <w:abstractNumId w:val="7"/>
  </w:num>
  <w:num w:numId="4" w16cid:durableId="304745411">
    <w:abstractNumId w:val="7"/>
  </w:num>
  <w:num w:numId="5" w16cid:durableId="1433211059">
    <w:abstractNumId w:val="6"/>
  </w:num>
  <w:num w:numId="6" w16cid:durableId="91780491">
    <w:abstractNumId w:val="6"/>
  </w:num>
  <w:num w:numId="7" w16cid:durableId="1765492651">
    <w:abstractNumId w:val="5"/>
  </w:num>
  <w:num w:numId="8" w16cid:durableId="1223713570">
    <w:abstractNumId w:val="5"/>
  </w:num>
  <w:num w:numId="9" w16cid:durableId="1643776083">
    <w:abstractNumId w:val="4"/>
  </w:num>
  <w:num w:numId="10" w16cid:durableId="521482259">
    <w:abstractNumId w:val="4"/>
  </w:num>
  <w:num w:numId="11" w16cid:durableId="1884322822">
    <w:abstractNumId w:val="8"/>
  </w:num>
  <w:num w:numId="12" w16cid:durableId="1479566692">
    <w:abstractNumId w:val="8"/>
  </w:num>
  <w:num w:numId="13" w16cid:durableId="475755208">
    <w:abstractNumId w:val="3"/>
  </w:num>
  <w:num w:numId="14" w16cid:durableId="1484660900">
    <w:abstractNumId w:val="3"/>
  </w:num>
  <w:num w:numId="15" w16cid:durableId="437532295">
    <w:abstractNumId w:val="2"/>
  </w:num>
  <w:num w:numId="16" w16cid:durableId="723985176">
    <w:abstractNumId w:val="2"/>
  </w:num>
  <w:num w:numId="17" w16cid:durableId="935946556">
    <w:abstractNumId w:val="1"/>
  </w:num>
  <w:num w:numId="18" w16cid:durableId="1787652433">
    <w:abstractNumId w:val="1"/>
  </w:num>
  <w:num w:numId="19" w16cid:durableId="1853370840">
    <w:abstractNumId w:val="0"/>
  </w:num>
  <w:num w:numId="20" w16cid:durableId="746536100">
    <w:abstractNumId w:val="0"/>
  </w:num>
  <w:num w:numId="21" w16cid:durableId="351424248">
    <w:abstractNumId w:val="9"/>
  </w:num>
  <w:num w:numId="22" w16cid:durableId="36634628">
    <w:abstractNumId w:val="7"/>
  </w:num>
  <w:num w:numId="23" w16cid:durableId="216356840">
    <w:abstractNumId w:val="6"/>
  </w:num>
  <w:num w:numId="24" w16cid:durableId="1989749802">
    <w:abstractNumId w:val="5"/>
  </w:num>
  <w:num w:numId="25" w16cid:durableId="35743886">
    <w:abstractNumId w:val="4"/>
  </w:num>
  <w:num w:numId="26" w16cid:durableId="717704440">
    <w:abstractNumId w:val="8"/>
  </w:num>
  <w:num w:numId="27" w16cid:durableId="325938757">
    <w:abstractNumId w:val="3"/>
  </w:num>
  <w:num w:numId="28" w16cid:durableId="1040592278">
    <w:abstractNumId w:val="2"/>
  </w:num>
  <w:num w:numId="29" w16cid:durableId="1077290930">
    <w:abstractNumId w:val="1"/>
  </w:num>
  <w:num w:numId="30" w16cid:durableId="1701856809">
    <w:abstractNumId w:val="0"/>
  </w:num>
  <w:num w:numId="31" w16cid:durableId="1685325999">
    <w:abstractNumId w:val="9"/>
  </w:num>
  <w:num w:numId="32" w16cid:durableId="1464225441">
    <w:abstractNumId w:val="7"/>
  </w:num>
  <w:num w:numId="33" w16cid:durableId="773330399">
    <w:abstractNumId w:val="6"/>
  </w:num>
  <w:num w:numId="34" w16cid:durableId="1504931915">
    <w:abstractNumId w:val="5"/>
  </w:num>
  <w:num w:numId="35" w16cid:durableId="503473659">
    <w:abstractNumId w:val="4"/>
  </w:num>
  <w:num w:numId="36" w16cid:durableId="1376540737">
    <w:abstractNumId w:val="8"/>
  </w:num>
  <w:num w:numId="37" w16cid:durableId="371534885">
    <w:abstractNumId w:val="3"/>
  </w:num>
  <w:num w:numId="38" w16cid:durableId="1495800336">
    <w:abstractNumId w:val="2"/>
  </w:num>
  <w:num w:numId="39" w16cid:durableId="1954632790">
    <w:abstractNumId w:val="1"/>
  </w:num>
  <w:num w:numId="40" w16cid:durableId="948853704">
    <w:abstractNumId w:val="0"/>
  </w:num>
  <w:num w:numId="41" w16cid:durableId="764611267">
    <w:abstractNumId w:val="10"/>
  </w:num>
  <w:num w:numId="42" w16cid:durableId="1251625552">
    <w:abstractNumId w:val="10"/>
  </w:num>
  <w:num w:numId="43" w16cid:durableId="1884171753">
    <w:abstractNumId w:val="10"/>
  </w:num>
  <w:num w:numId="44" w16cid:durableId="1863740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65"/>
    <w:rsid w:val="00002272"/>
    <w:rsid w:val="00030C14"/>
    <w:rsid w:val="00064002"/>
    <w:rsid w:val="000677B9"/>
    <w:rsid w:val="000815D4"/>
    <w:rsid w:val="000831BA"/>
    <w:rsid w:val="00096EAE"/>
    <w:rsid w:val="000A42CC"/>
    <w:rsid w:val="000E7DD9"/>
    <w:rsid w:val="0010095E"/>
    <w:rsid w:val="00125B37"/>
    <w:rsid w:val="00187494"/>
    <w:rsid w:val="001F32AE"/>
    <w:rsid w:val="002767FF"/>
    <w:rsid w:val="002B18FE"/>
    <w:rsid w:val="002B5493"/>
    <w:rsid w:val="00343214"/>
    <w:rsid w:val="00361C00"/>
    <w:rsid w:val="00392EBB"/>
    <w:rsid w:val="00395FA1"/>
    <w:rsid w:val="003E15D4"/>
    <w:rsid w:val="00411CCE"/>
    <w:rsid w:val="0041666E"/>
    <w:rsid w:val="00421060"/>
    <w:rsid w:val="00471C19"/>
    <w:rsid w:val="004867E3"/>
    <w:rsid w:val="00494A28"/>
    <w:rsid w:val="004C0004"/>
    <w:rsid w:val="004C0359"/>
    <w:rsid w:val="004C5D52"/>
    <w:rsid w:val="0050519A"/>
    <w:rsid w:val="005072A1"/>
    <w:rsid w:val="00514517"/>
    <w:rsid w:val="00545827"/>
    <w:rsid w:val="00560270"/>
    <w:rsid w:val="00577465"/>
    <w:rsid w:val="005A457F"/>
    <w:rsid w:val="005C2568"/>
    <w:rsid w:val="005C7FA8"/>
    <w:rsid w:val="005F1B17"/>
    <w:rsid w:val="006037C0"/>
    <w:rsid w:val="006631B6"/>
    <w:rsid w:val="00680577"/>
    <w:rsid w:val="006F74FA"/>
    <w:rsid w:val="007035E0"/>
    <w:rsid w:val="00725968"/>
    <w:rsid w:val="00731ADD"/>
    <w:rsid w:val="00734777"/>
    <w:rsid w:val="00747932"/>
    <w:rsid w:val="00751A4A"/>
    <w:rsid w:val="00756632"/>
    <w:rsid w:val="00762C74"/>
    <w:rsid w:val="00786EC0"/>
    <w:rsid w:val="007D1690"/>
    <w:rsid w:val="007E22AD"/>
    <w:rsid w:val="007E5A18"/>
    <w:rsid w:val="00817416"/>
    <w:rsid w:val="00842779"/>
    <w:rsid w:val="00865F67"/>
    <w:rsid w:val="00881A7B"/>
    <w:rsid w:val="008839F2"/>
    <w:rsid w:val="008840E5"/>
    <w:rsid w:val="00887B3E"/>
    <w:rsid w:val="008A45AE"/>
    <w:rsid w:val="008C2AC6"/>
    <w:rsid w:val="008C4241"/>
    <w:rsid w:val="00930C23"/>
    <w:rsid w:val="0093193B"/>
    <w:rsid w:val="009509D8"/>
    <w:rsid w:val="00950B64"/>
    <w:rsid w:val="00981893"/>
    <w:rsid w:val="00A1687D"/>
    <w:rsid w:val="00A416E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945"/>
    <w:rsid w:val="00C7686C"/>
    <w:rsid w:val="00C90D98"/>
    <w:rsid w:val="00C941CB"/>
    <w:rsid w:val="00CC2357"/>
    <w:rsid w:val="00CF071A"/>
    <w:rsid w:val="00D058B8"/>
    <w:rsid w:val="00D226E1"/>
    <w:rsid w:val="00D56C11"/>
    <w:rsid w:val="00D834A0"/>
    <w:rsid w:val="00D872DF"/>
    <w:rsid w:val="00D91E21"/>
    <w:rsid w:val="00DA7FCD"/>
    <w:rsid w:val="00E365E1"/>
    <w:rsid w:val="00E820A4"/>
    <w:rsid w:val="00E85C2D"/>
    <w:rsid w:val="00EB006A"/>
    <w:rsid w:val="00EB4772"/>
    <w:rsid w:val="00ED169E"/>
    <w:rsid w:val="00ED4235"/>
    <w:rsid w:val="00EF435E"/>
    <w:rsid w:val="00F04346"/>
    <w:rsid w:val="00F075DC"/>
    <w:rsid w:val="00F149E9"/>
    <w:rsid w:val="00F5134D"/>
    <w:rsid w:val="00F74202"/>
    <w:rsid w:val="00F87713"/>
    <w:rsid w:val="00FB4360"/>
    <w:rsid w:val="00FD0C70"/>
  </w:rsids>
  <w:docVars>
    <w:docVar w:name="dvdocse" w:val="A10-0152/2026"/>
    <w:docVar w:name="dvlangue" w:val="CS"/>
    <w:docVar w:name="dvnumam" w:val="0"/>
    <w:docVar w:name="dvpe" w:val="782.198"/>
    <w:docVar w:name="dvrapporteur" w:val="Zpravodaj: "/>
    <w:docVar w:name="dvtitre" w:val="Rozhodnutí Evropského parlamentu ze dne.... 2026 o žádosti, aby byl Daniel Attard zbaven imunity(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2736F0"/>
  <w15:chartTrackingRefBased/>
  <w15:docId w15:val="{00E63BFC-AF84-4A83-B2B9-CD97E5D4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25968"/>
    <w:pPr>
      <w:spacing w:after="240"/>
      <w:ind w:left="567" w:hanging="567"/>
    </w:pPr>
  </w:style>
  <w:style w:type="paragraph" w:customStyle="1" w:styleId="EPComma">
    <w:name w:val="EPComma"/>
    <w:basedOn w:val="Normal"/>
    <w:rsid w:val="00725968"/>
    <w:pPr>
      <w:spacing w:before="480" w:after="240"/>
    </w:pPr>
  </w:style>
  <w:style w:type="paragraph" w:styleId="Revision">
    <w:name w:val="Revision"/>
    <w:hidden/>
    <w:uiPriority w:val="99"/>
    <w:semiHidden/>
    <w:rsid w:val="005C7FA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6421</Characters>
  <Application>Microsoft Office Word</Application>
  <DocSecurity>0</DocSecurity>
  <Lines>145</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2026-07-15T14:28:00Z</dcterms:created>
  <dcterms:modified xsi:type="dcterms:W3CDTF">2026-07-15T14:28:00Z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A10-0152/2026</vt:lpwstr>
  </property>
  <property fmtid="{D5CDD505-2E9C-101B-9397-08002B2CF9AE}" pid="4" name="&lt;Type&gt;">
    <vt:lpwstr>RR</vt:lpwstr>
  </property>
</Properties>
</file>