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7D3906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87F44" w:rsidP="0010095E" w14:paraId="46A02451" w14:textId="77777777">
            <w:pPr>
              <w:pStyle w:val="EPName"/>
            </w:pPr>
            <w:r w:rsidRPr="00687F44">
              <w:t xml:space="preserve">Parlamento </w:t>
            </w:r>
            <w:r w:rsidRPr="00687F44">
              <w:t>Europeu</w:t>
            </w:r>
          </w:p>
          <w:p w:rsidR="00751A4A" w:rsidRPr="00687F44" w:rsidP="005F1B17" w14:paraId="089E1B7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7F44">
              <w:t>2024</w:t>
            </w:r>
            <w:r w:rsidRPr="00687F44" w:rsidR="00817416">
              <w:t>-202</w:t>
            </w:r>
            <w:r w:rsidRPr="00687F4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87F44" w:rsidP="0010095E" w14:paraId="34901DCA" w14:textId="77777777">
            <w:pPr>
              <w:pStyle w:val="EPLogo"/>
            </w:pPr>
            <w:r w:rsidRPr="00687F4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87F44" w:rsidP="004C5D52" w14:paraId="2A574D82" w14:textId="77777777">
      <w:pPr>
        <w:pStyle w:val="LineTop"/>
      </w:pPr>
    </w:p>
    <w:p w:rsidR="00680577" w:rsidRPr="00687F44" w:rsidP="00680577" w14:paraId="72452D65" w14:textId="77777777">
      <w:pPr>
        <w:pStyle w:val="EPBodyTA1"/>
      </w:pPr>
      <w:r w:rsidRPr="00687F44">
        <w:t>TEXTOS APROVADOS</w:t>
      </w:r>
    </w:p>
    <w:p w:rsidR="00D058B8" w:rsidRPr="00687F44" w:rsidP="00D058B8" w14:paraId="62EB6C3B" w14:textId="77777777">
      <w:pPr>
        <w:pStyle w:val="LineBottom"/>
      </w:pPr>
    </w:p>
    <w:p w:rsidR="008D7F10" w:rsidRPr="00687F44" w:rsidP="008D7F10" w14:paraId="7CA40D0A" w14:textId="6C63A2D2">
      <w:pPr>
        <w:pStyle w:val="ATHeading1"/>
      </w:pPr>
      <w:bookmarkStart w:id="0" w:name="TANumber"/>
      <w:r w:rsidRPr="00687F44">
        <w:t>P10_TA(2026)0</w:t>
      </w:r>
      <w:bookmarkEnd w:id="0"/>
      <w:r w:rsidR="0096492C">
        <w:t>192</w:t>
      </w:r>
    </w:p>
    <w:p w:rsidR="008D7F10" w:rsidRPr="00687F44" w:rsidP="008D7F10" w14:paraId="3C953145" w14:textId="25DDFD42">
      <w:pPr>
        <w:pStyle w:val="ATHeading2"/>
      </w:pPr>
      <w:bookmarkStart w:id="1" w:name="title"/>
      <w:r>
        <w:t>P</w:t>
      </w:r>
      <w:r w:rsidRPr="00687F44">
        <w:t xml:space="preserve">edido </w:t>
      </w:r>
      <w:r w:rsidRPr="00687F44">
        <w:t xml:space="preserve">de levantamento da imunidade de Daniel </w:t>
      </w:r>
      <w:r w:rsidRPr="00687F44">
        <w:t>Attard</w:t>
      </w:r>
      <w:r w:rsidRPr="00687F44">
        <w:t xml:space="preserve"> </w:t>
      </w:r>
      <w:bookmarkEnd w:id="1"/>
    </w:p>
    <w:p w:rsidR="008D7F10" w:rsidRPr="00687F44" w:rsidP="008D7F10" w14:paraId="428FE8A0" w14:textId="77777777">
      <w:pPr>
        <w:rPr>
          <w:i/>
          <w:vanish/>
        </w:rPr>
      </w:pPr>
      <w:r>
        <w:rPr>
          <w:i/>
        </w:rPr>
        <w:fldChar w:fldCharType="begin"/>
      </w:r>
      <w:r w:rsidRPr="00687F44">
        <w:rPr>
          <w:i/>
        </w:rPr>
        <w:instrText xml:space="preserve"> TC"(</w:instrText>
      </w:r>
      <w:bookmarkStart w:id="2" w:name="DocNumber"/>
      <w:r w:rsidRPr="00687F44">
        <w:rPr>
          <w:i/>
        </w:rPr>
        <w:instrText>A10-0152/2026</w:instrText>
      </w:r>
      <w:bookmarkEnd w:id="2"/>
      <w:r w:rsidRPr="00687F44">
        <w:rPr>
          <w:i/>
        </w:rPr>
        <w:instrText xml:space="preserve"> - Relator: </w:instrText>
      </w:r>
      <w:r w:rsidRPr="00687F44">
        <w:rPr>
          <w:i/>
        </w:rPr>
        <w:instrText>Dominik</w:instrText>
      </w:r>
      <w:r w:rsidRPr="00687F44">
        <w:rPr>
          <w:i/>
        </w:rPr>
        <w:instrText xml:space="preserve"> </w:instrText>
      </w:r>
      <w:r w:rsidRPr="00687F44">
        <w:rPr>
          <w:i/>
        </w:rPr>
        <w:instrText>Tarczyński</w:instrText>
      </w:r>
      <w:r w:rsidRPr="00687F4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8D7F10" w:rsidRPr="00687F44" w:rsidP="008D7F10" w14:paraId="25DC23AF" w14:textId="77777777">
      <w:pPr>
        <w:rPr>
          <w:vanish/>
        </w:rPr>
      </w:pPr>
      <w:bookmarkStart w:id="3" w:name="Commission"/>
      <w:r w:rsidRPr="00687F44">
        <w:rPr>
          <w:vanish/>
        </w:rPr>
        <w:t>Comissão dos Assuntos Jurídicos</w:t>
      </w:r>
      <w:bookmarkEnd w:id="3"/>
    </w:p>
    <w:p w:rsidR="008D7F10" w:rsidRPr="00687F44" w:rsidP="008D7F10" w14:paraId="0951B716" w14:textId="77777777">
      <w:pPr>
        <w:rPr>
          <w:vanish/>
        </w:rPr>
      </w:pPr>
      <w:bookmarkStart w:id="4" w:name="PE"/>
      <w:r w:rsidRPr="00687F44">
        <w:rPr>
          <w:vanish/>
        </w:rPr>
        <w:t>PE782.198</w:t>
      </w:r>
      <w:bookmarkEnd w:id="4"/>
    </w:p>
    <w:p w:rsidR="008D7F10" w:rsidRPr="00687F44" w:rsidP="008D7F10" w14:paraId="7D9C044E" w14:textId="11079EA5">
      <w:pPr>
        <w:pStyle w:val="ATHeading3"/>
      </w:pPr>
      <w:bookmarkStart w:id="5" w:name="Sujet"/>
      <w:r w:rsidRPr="00687F44">
        <w:t xml:space="preserve">Decisão do Parlamento Europeu, de </w:t>
      </w:r>
      <w:r w:rsidR="00687F44">
        <w:t>16</w:t>
      </w:r>
      <w:r w:rsidRPr="00687F44">
        <w:t xml:space="preserve"> de </w:t>
      </w:r>
      <w:r w:rsidR="00687F44">
        <w:t>junho</w:t>
      </w:r>
      <w:r w:rsidRPr="00687F44">
        <w:t xml:space="preserve"> de 2026, sobre o pedido de levantamento da imunidade de Daniel </w:t>
      </w:r>
      <w:r w:rsidRPr="00687F44">
        <w:t>Attard</w:t>
      </w:r>
      <w:bookmarkEnd w:id="5"/>
      <w:r w:rsidRPr="00687F44">
        <w:t xml:space="preserve"> </w:t>
      </w:r>
      <w:bookmarkStart w:id="6" w:name="References"/>
      <w:r w:rsidRPr="00687F44">
        <w:t>(2025/2097(IMM))</w:t>
      </w:r>
      <w:bookmarkEnd w:id="6"/>
    </w:p>
    <w:p w:rsidR="00ED0561" w:rsidRPr="00687F44" w:rsidP="00ED0561" w14:paraId="7B02002F" w14:textId="77777777">
      <w:pPr>
        <w:pStyle w:val="EPComma"/>
      </w:pPr>
      <w:bookmarkStart w:id="7" w:name="TextBodyBegin"/>
      <w:bookmarkEnd w:id="7"/>
      <w:r w:rsidRPr="00687F44">
        <w:rPr>
          <w:i/>
          <w:iCs/>
        </w:rPr>
        <w:t>O Parlamento Europeu,</w:t>
      </w:r>
    </w:p>
    <w:p w:rsidR="00ED0561" w:rsidRPr="00687F44" w:rsidP="00ED0561" w14:paraId="16CE0EE0" w14:textId="71E5D4FA">
      <w:pPr>
        <w:pStyle w:val="NormalHanging12a"/>
      </w:pPr>
      <w:r w:rsidRPr="00687F44">
        <w:t>–</w:t>
      </w:r>
      <w:r w:rsidRPr="00687F44">
        <w:tab/>
        <w:t xml:space="preserve">Tendo em conta o pedido de levantamento da imunidade de Daniel </w:t>
      </w:r>
      <w:r w:rsidRPr="00687F44">
        <w:t>Attard</w:t>
      </w:r>
      <w:r w:rsidRPr="00687F44">
        <w:t xml:space="preserve">, recebido por carta do Serviço Público Federal belga dos Negócios Estrangeiros, do Comércio Externo e da Cooperação para o Desenvolvimento, com data de 6 de maio de 2025, que transmite um pedido do Ministério Público Federal belga, com data de 16 de abril de 2025, no âmbito de uma ação penal a instaurar contra Daniel </w:t>
      </w:r>
      <w:r w:rsidRPr="00687F44">
        <w:t>Attard</w:t>
      </w:r>
      <w:r w:rsidRPr="00687F44">
        <w:t xml:space="preserve">, </w:t>
      </w:r>
      <w:r w:rsidR="007D6E96">
        <w:t xml:space="preserve">tendo o mesmo sido </w:t>
      </w:r>
      <w:r w:rsidR="00A5056C">
        <w:t>anunciado</w:t>
      </w:r>
      <w:r w:rsidRPr="00687F44" w:rsidR="00A5056C">
        <w:t xml:space="preserve"> </w:t>
      </w:r>
      <w:r w:rsidR="00F8053D">
        <w:t>no</w:t>
      </w:r>
      <w:r w:rsidRPr="00687F44">
        <w:t xml:space="preserve"> Parlamento em 21 de maio de 2025,</w:t>
      </w:r>
    </w:p>
    <w:p w:rsidR="00ED0561" w:rsidRPr="00687F44" w:rsidP="00ED0561" w14:paraId="7A1D6E54" w14:textId="51435018">
      <w:pPr>
        <w:pStyle w:val="NormalHanging12a"/>
        <w:rPr>
          <w:bCs/>
        </w:rPr>
      </w:pPr>
      <w:r w:rsidRPr="00687F44">
        <w:t>–</w:t>
      </w:r>
      <w:r w:rsidRPr="00687F44">
        <w:tab/>
      </w:r>
      <w:bookmarkStart w:id="8" w:name="_Hlk229401852"/>
      <w:bookmarkStart w:id="9" w:name="_Hlk225077637"/>
      <w:r w:rsidRPr="00687F44">
        <w:t xml:space="preserve">Tendo em conta as informações suplementares </w:t>
      </w:r>
      <w:r w:rsidR="007D6E96">
        <w:t>prestadas</w:t>
      </w:r>
      <w:r w:rsidRPr="00687F44" w:rsidR="007D6E96">
        <w:t xml:space="preserve"> </w:t>
      </w:r>
      <w:r w:rsidRPr="00687F44">
        <w:t xml:space="preserve">pelo Procurador Federal e pelo Juiz de Instrução </w:t>
      </w:r>
      <w:r w:rsidR="00B655AE">
        <w:t xml:space="preserve">durante </w:t>
      </w:r>
      <w:r w:rsidRPr="00687F44">
        <w:t>uma troca de pontos de vista em 15 de julho de 2025, bem como a resposta dada em 18 de setembro de 2025</w:t>
      </w:r>
      <w:r w:rsidR="00B655AE">
        <w:t xml:space="preserve"> </w:t>
      </w:r>
      <w:r w:rsidRPr="00687F44" w:rsidR="00B655AE">
        <w:t>pelo Procurador Federal</w:t>
      </w:r>
      <w:r w:rsidRPr="00687F44">
        <w:t xml:space="preserve"> na sequência de um novo pedido escrito de informações; tendo em conta que um pedido de levantamento da imunidade de um deputado </w:t>
      </w:r>
      <w:bookmarkStart w:id="10" w:name="_Hlk225077824"/>
      <w:r w:rsidRPr="00687F44">
        <w:t>deve cumprir determinadas</w:t>
      </w:r>
      <w:bookmarkEnd w:id="10"/>
      <w:r w:rsidRPr="00687F44">
        <w:t xml:space="preserve"> normas, em particular, ser formulado de forma clara, nomeadamente no que diz respeito ao </w:t>
      </w:r>
      <w:r w:rsidR="007D6E96">
        <w:t xml:space="preserve">regime </w:t>
      </w:r>
      <w:r w:rsidRPr="00687F44">
        <w:t xml:space="preserve">jurídico em que </w:t>
      </w:r>
      <w:r w:rsidR="007D6E96">
        <w:t>tal</w:t>
      </w:r>
      <w:r w:rsidRPr="00687F44" w:rsidR="007D6E96">
        <w:t xml:space="preserve"> </w:t>
      </w:r>
      <w:r w:rsidRPr="00687F44">
        <w:t xml:space="preserve">pedido se baseia, e deve </w:t>
      </w:r>
      <w:r w:rsidR="007D6E96">
        <w:t xml:space="preserve">apresentar </w:t>
      </w:r>
      <w:r w:rsidRPr="00687F44">
        <w:t>elementos e informações claros e suficientes para que o Parlamento possa examin</w:t>
      </w:r>
      <w:r w:rsidR="007D6E96">
        <w:t>á-lo</w:t>
      </w:r>
      <w:r w:rsidRPr="00687F44">
        <w:t xml:space="preserve">, a fim de chegar a uma conclusão e pôr termo a esse exame o mais rapidamente possível, tendo </w:t>
      </w:r>
      <w:r w:rsidR="007D6E96">
        <w:t>também</w:t>
      </w:r>
      <w:r w:rsidRPr="00687F44" w:rsidR="007D6E96">
        <w:t xml:space="preserve"> </w:t>
      </w:r>
      <w:r w:rsidRPr="00687F44">
        <w:t>em conta a relativa complexidade do caso,</w:t>
      </w:r>
      <w:bookmarkEnd w:id="8"/>
    </w:p>
    <w:bookmarkEnd w:id="9"/>
    <w:p w:rsidR="00ED0561" w:rsidRPr="00687F44" w:rsidP="00ED0561" w14:paraId="561E8D3E" w14:textId="77777777">
      <w:pPr>
        <w:pStyle w:val="NormalHanging12a"/>
      </w:pPr>
      <w:r w:rsidRPr="00687F44">
        <w:t>–</w:t>
      </w:r>
      <w:r w:rsidRPr="00687F44">
        <w:tab/>
        <w:t xml:space="preserve">Tendo ouvido Daniel </w:t>
      </w:r>
      <w:r w:rsidRPr="00687F44">
        <w:t>Attard</w:t>
      </w:r>
      <w:r w:rsidRPr="00687F44">
        <w:t>, em 3 de dezembro de 2025, e tendo em conta os documentos por ele apresentados, nos termos do artigo 9.º, n.º 6, do seu Regimento,</w:t>
      </w:r>
    </w:p>
    <w:p w:rsidR="00ED0561" w:rsidRPr="00687F44" w:rsidP="00ED0561" w14:paraId="6D1D5FC2" w14:textId="1FADEEA5">
      <w:pPr>
        <w:pStyle w:val="NormalHanging12a"/>
        <w:rPr>
          <w:b/>
          <w:bCs/>
        </w:rPr>
      </w:pPr>
      <w:r w:rsidRPr="00687F44">
        <w:t>–</w:t>
      </w:r>
      <w:r w:rsidRPr="00687F44">
        <w:tab/>
        <w:t xml:space="preserve">Tendo em conta a carta do Procurador Federal, de 5 de março de 2026, que retifica alegações erradas contra Daniel </w:t>
      </w:r>
      <w:r w:rsidRPr="00687F44">
        <w:t>Attard</w:t>
      </w:r>
      <w:r w:rsidRPr="00687F44">
        <w:t xml:space="preserve"> inicialmente incluídas na resposta apresentada em 18 de setembro de 2025,</w:t>
      </w:r>
    </w:p>
    <w:p w:rsidR="00ED0561" w:rsidRPr="00687F44" w:rsidP="00ED0561" w14:paraId="1AEF8652" w14:textId="77777777">
      <w:pPr>
        <w:pStyle w:val="NormalHanging12a"/>
      </w:pPr>
      <w:r w:rsidRPr="00687F44">
        <w:t>–</w:t>
      </w:r>
      <w:r w:rsidRPr="00687F44">
        <w:tab/>
      </w:r>
      <w:bookmarkStart w:id="11" w:name="_Hlk229401894"/>
      <w:r w:rsidRPr="00687F44"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:rsidR="00ED0561" w:rsidRPr="00687F44" w:rsidP="00ED0561" w14:paraId="7200C08B" w14:textId="77777777">
      <w:pPr>
        <w:pStyle w:val="NormalHanging12a"/>
      </w:pPr>
      <w:r w:rsidRPr="00687F44">
        <w:t>–</w:t>
      </w:r>
      <w:r w:rsidRPr="00687F44">
        <w:tab/>
        <w:t>Tendo em conta os acórdãos proferidos pelo Tribunal de Justiça da União Europeia em 21 de outubro de 2008, 19 de março de 2010, 6 de setembro de 2011, 17 de janeiro de 2013 e 19 de dezembro de 2019</w:t>
      </w:r>
      <w:r>
        <w:rPr>
          <w:vertAlign w:val="superscript"/>
        </w:rPr>
        <w:footnoteReference w:id="2"/>
      </w:r>
      <w:r w:rsidRPr="00687F44">
        <w:t>,</w:t>
      </w:r>
    </w:p>
    <w:p w:rsidR="00ED0561" w:rsidRPr="00687F44" w:rsidP="00ED0561" w14:paraId="21E77CA6" w14:textId="77777777">
      <w:pPr>
        <w:pStyle w:val="NormalHanging12a"/>
      </w:pPr>
      <w:r w:rsidRPr="00687F44">
        <w:t>–</w:t>
      </w:r>
      <w:r w:rsidRPr="00687F44">
        <w:tab/>
        <w:t>Tendo em conta o artigo 5.º, n.º 2, o artigo 6.º, n.º 1, e o artigo 9.º do seu Regimento,</w:t>
      </w:r>
    </w:p>
    <w:p w:rsidR="00ED0561" w:rsidRPr="00687F44" w:rsidP="00ED0561" w14:paraId="48A5B25D" w14:textId="77777777">
      <w:pPr>
        <w:pStyle w:val="NormalHanging12a"/>
      </w:pPr>
      <w:r w:rsidRPr="00687F44">
        <w:t>–</w:t>
      </w:r>
      <w:r w:rsidRPr="00687F44">
        <w:tab/>
        <w:t>Tendo em conta o relatório da Comissão dos Assuntos Jurídicos (A10</w:t>
      </w:r>
      <w:r w:rsidRPr="00687F44">
        <w:noBreakHyphen/>
        <w:t>0152/2026)</w:t>
      </w:r>
      <w:bookmarkEnd w:id="11"/>
      <w:r w:rsidRPr="00687F44">
        <w:t>,</w:t>
      </w:r>
    </w:p>
    <w:p w:rsidR="00ED0561" w:rsidRPr="00687F44" w:rsidP="00ED0561" w14:paraId="17B86D42" w14:textId="5107B6BD">
      <w:pPr>
        <w:pStyle w:val="NormalHanging12a"/>
      </w:pPr>
      <w:r w:rsidRPr="00687F44">
        <w:t>A.</w:t>
      </w:r>
      <w:r w:rsidRPr="00687F44">
        <w:tab/>
      </w:r>
      <w:bookmarkStart w:id="12" w:name="_Hlk223949138"/>
      <w:r w:rsidRPr="00687F44">
        <w:t xml:space="preserve">Considerando que, </w:t>
      </w:r>
      <w:r w:rsidRPr="00B655AE" w:rsidR="00B655AE">
        <w:t>em 6 de maio de 2025, o Serviço Público Federal dos Negócios Estrangeiros, do Comércio Externo e da Cooperação para o Desenvolvimento transmitiu um pedido do Procurador Federal, com data d</w:t>
      </w:r>
      <w:r w:rsidRPr="00687F44">
        <w:t xml:space="preserve">e </w:t>
      </w:r>
      <w:bookmarkStart w:id="13" w:name="_Hlk210982066"/>
      <w:r w:rsidRPr="00687F44">
        <w:t>16 de abril de 2025</w:t>
      </w:r>
      <w:bookmarkEnd w:id="13"/>
      <w:r w:rsidRPr="00687F44">
        <w:t xml:space="preserve">, </w:t>
      </w:r>
      <w:r w:rsidR="00B655AE">
        <w:t>para o</w:t>
      </w:r>
      <w:r w:rsidRPr="00687F44">
        <w:t xml:space="preserve"> levantamento da imunidade de Daniel </w:t>
      </w:r>
      <w:r w:rsidRPr="00687F44">
        <w:t>Attard</w:t>
      </w:r>
      <w:r w:rsidRPr="00687F44">
        <w:t>, deputado ao Parlamento Europeu eleito em Malta, no âmbito de uma ação penal a ser instaurada contra o mesmo;</w:t>
      </w:r>
      <w:bookmarkEnd w:id="12"/>
    </w:p>
    <w:p w:rsidR="00ED0561" w:rsidRPr="00687F44" w:rsidP="00ED0561" w14:paraId="19443DCB" w14:textId="1E567759">
      <w:pPr>
        <w:pStyle w:val="NormalHanging12a"/>
      </w:pPr>
      <w:r w:rsidRPr="00687F44">
        <w:t>B.</w:t>
      </w:r>
      <w:r w:rsidRPr="00687F44">
        <w:tab/>
      </w:r>
      <w:bookmarkStart w:id="14" w:name="_Hlk228968475"/>
      <w:bookmarkStart w:id="15" w:name="_Hlk223949179"/>
      <w:r w:rsidRPr="00687F44">
        <w:t xml:space="preserve">Considerando que uma investigação alargada relativa à empresa </w:t>
      </w:r>
      <w:r w:rsidRPr="00687F44">
        <w:t>Huawei</w:t>
      </w:r>
      <w:r w:rsidRPr="00687F44">
        <w:t xml:space="preserve"> produziu alegadamente </w:t>
      </w:r>
      <w:r w:rsidR="007D6E96">
        <w:t xml:space="preserve">indícios relevantes </w:t>
      </w:r>
      <w:r w:rsidRPr="00687F44">
        <w:t xml:space="preserve">da existência de uma organização criminosa cujo </w:t>
      </w:r>
      <w:r w:rsidR="007D6E96">
        <w:t>propósito</w:t>
      </w:r>
      <w:r w:rsidRPr="00687F44" w:rsidR="007D6E96">
        <w:t xml:space="preserve"> </w:t>
      </w:r>
      <w:r w:rsidR="007D6E96">
        <w:t>seria</w:t>
      </w:r>
      <w:r w:rsidRPr="00687F44" w:rsidR="007D6E96">
        <w:t xml:space="preserve"> </w:t>
      </w:r>
      <w:r w:rsidRPr="00687F44">
        <w:t>alegadamente influenciar as decisões das instituições da U</w:t>
      </w:r>
      <w:r w:rsidR="00B655AE">
        <w:t>nião</w:t>
      </w:r>
      <w:r w:rsidRPr="00687F44">
        <w:t xml:space="preserve"> através da participação em atos de corrupção de deputados ao Parlamento Europeu</w:t>
      </w:r>
      <w:r w:rsidR="00687F44">
        <w:t>; considerando que</w:t>
      </w:r>
      <w:r w:rsidRPr="00687F44">
        <w:t xml:space="preserve"> esta investigação parece ter revelado vários atos de alegada corrupção que se presume terem sido cometidos regularmente entre 2021 e 2024</w:t>
      </w:r>
      <w:r w:rsidR="00687F44">
        <w:t>; considerando que</w:t>
      </w:r>
      <w:r w:rsidRPr="00687F44">
        <w:t xml:space="preserve"> o esquema de corrupção alegadamente assumiu várias formas, incluindo o convite de deputados ao Parlamento Europeu para eventos apoiados pela </w:t>
      </w:r>
      <w:r w:rsidRPr="00687F44">
        <w:t>Huawei</w:t>
      </w:r>
      <w:r w:rsidRPr="00687F44">
        <w:t xml:space="preserve">, alegadamente em troca da tomada de posições políticas a favor desta empresa, e </w:t>
      </w:r>
      <w:r w:rsidR="007D6E96">
        <w:t>presentes</w:t>
      </w:r>
      <w:r w:rsidRPr="00687F44" w:rsidR="007D6E96">
        <w:t xml:space="preserve"> excessiv</w:t>
      </w:r>
      <w:r w:rsidR="007D6E96">
        <w:t>o</w:t>
      </w:r>
      <w:r w:rsidRPr="00687F44" w:rsidR="007D6E96">
        <w:t>s</w:t>
      </w:r>
      <w:r w:rsidRPr="00687F44">
        <w:t>, como despesas de alimentação e de viagem ou convites regulares para jogos de futebol fora do âmbito do Parlamento Europeu</w:t>
      </w:r>
      <w:bookmarkEnd w:id="14"/>
      <w:r w:rsidRPr="00687F44">
        <w:t>;</w:t>
      </w:r>
      <w:bookmarkEnd w:id="15"/>
    </w:p>
    <w:p w:rsidR="00ED0561" w:rsidRPr="00687F44" w:rsidP="00ED0561" w14:paraId="6A034CCA" w14:textId="3D4F5615">
      <w:pPr>
        <w:pStyle w:val="NormalHanging12a"/>
      </w:pPr>
      <w:bookmarkStart w:id="16" w:name="_Hlk223949214"/>
      <w:r w:rsidRPr="00687F44">
        <w:t>C.</w:t>
      </w:r>
      <w:r w:rsidRPr="00687F44">
        <w:tab/>
        <w:t xml:space="preserve">Considerando que, </w:t>
      </w:r>
      <w:r w:rsidR="007D6E96">
        <w:t>nos termos d</w:t>
      </w:r>
      <w:r w:rsidRPr="00687F44">
        <w:t xml:space="preserve">o pedido de levantamento da imunidade, em 25 de setembro de 2024, Daniel </w:t>
      </w:r>
      <w:r w:rsidRPr="00687F44">
        <w:t>Attard</w:t>
      </w:r>
      <w:r w:rsidRPr="00687F44">
        <w:t xml:space="preserve"> participou num jogo de futebol num estádio em Bruxelas, juntamente com o seu assistente parlamentar acreditado, um representante da </w:t>
      </w:r>
      <w:r w:rsidRPr="00687F44">
        <w:t>Huawei</w:t>
      </w:r>
      <w:r w:rsidRPr="00687F44">
        <w:t xml:space="preserve"> e outras duas pessoas</w:t>
      </w:r>
      <w:r w:rsidR="00687F44">
        <w:t>; considerando que</w:t>
      </w:r>
      <w:r w:rsidRPr="00687F44">
        <w:t xml:space="preserve">, de acordo com o pedido, </w:t>
      </w:r>
      <w:bookmarkStart w:id="17" w:name="_Hlk229395476"/>
      <w:r w:rsidRPr="00687F44">
        <w:t xml:space="preserve">estavam presentes num camarote reservado pela </w:t>
      </w:r>
      <w:r w:rsidRPr="00687F44">
        <w:t>Huawei</w:t>
      </w:r>
      <w:r w:rsidRPr="00687F44">
        <w:t xml:space="preserve"> a um custo de 45 000 EUR por temporada, alegadamente através de uma empresa intermediária</w:t>
      </w:r>
      <w:r w:rsidR="00AF479D">
        <w:t>, alegadamente</w:t>
      </w:r>
      <w:r w:rsidRPr="00687F44">
        <w:t xml:space="preserve"> com o objetivo de facilitar o contacto com determinados deputados ao Parlamento Europeu</w:t>
      </w:r>
      <w:r w:rsidR="00687F44">
        <w:t>; considerando que</w:t>
      </w:r>
      <w:r w:rsidRPr="00687F44">
        <w:t xml:space="preserve"> a assunção dos gastos incorridos ao assistir ao jogo de futebol</w:t>
      </w:r>
      <w:bookmarkEnd w:id="17"/>
      <w:r w:rsidRPr="00687F44">
        <w:t xml:space="preserve"> — cujo montante exato era desconhecido da autoridade que solicita o levantamento da imunidade — não parece ter sido declarada por Daniel </w:t>
      </w:r>
      <w:r w:rsidRPr="00687F44">
        <w:t>Attard</w:t>
      </w:r>
      <w:r w:rsidRPr="00687F44">
        <w:t xml:space="preserve"> ao Parlamento Europeu;</w:t>
      </w:r>
      <w:bookmarkEnd w:id="16"/>
    </w:p>
    <w:p w:rsidR="00ED0561" w:rsidRPr="00687F44" w:rsidP="00ED0561" w14:paraId="1BA5DC7E" w14:textId="459B6E32">
      <w:pPr>
        <w:pStyle w:val="NormalHanging12a"/>
      </w:pPr>
      <w:bookmarkStart w:id="18" w:name="_Hlk223949297"/>
      <w:r w:rsidRPr="00687F44">
        <w:t>D.</w:t>
      </w:r>
      <w:r w:rsidRPr="00687F44">
        <w:tab/>
        <w:t xml:space="preserve">Considerando que </w:t>
      </w:r>
      <w:r w:rsidR="00AF479D">
        <w:t>só depois de o</w:t>
      </w:r>
      <w:r w:rsidRPr="00687F44">
        <w:t xml:space="preserve"> </w:t>
      </w:r>
      <w:r w:rsidRPr="00687F44" w:rsidR="00AF479D">
        <w:t>Procurador Federal</w:t>
      </w:r>
      <w:r w:rsidR="00AF479D">
        <w:t xml:space="preserve"> ter </w:t>
      </w:r>
      <w:r w:rsidR="0094644E">
        <w:t>disponibilizado</w:t>
      </w:r>
      <w:r w:rsidR="00AF479D">
        <w:t xml:space="preserve"> </w:t>
      </w:r>
      <w:r w:rsidRPr="00687F44">
        <w:t>informações suplementares em resposta ao pedido escrito de informações suplementares</w:t>
      </w:r>
      <w:r w:rsidR="0094644E">
        <w:t xml:space="preserve"> é</w:t>
      </w:r>
      <w:r w:rsidRPr="00687F44">
        <w:t xml:space="preserve"> </w:t>
      </w:r>
      <w:bookmarkStart w:id="19" w:name="_Hlk228968566"/>
      <w:r w:rsidRPr="00687F44">
        <w:t xml:space="preserve">que </w:t>
      </w:r>
      <w:r w:rsidR="0094644E">
        <w:t xml:space="preserve">foi </w:t>
      </w:r>
      <w:r w:rsidRPr="00687F44">
        <w:t>indic</w:t>
      </w:r>
      <w:r w:rsidR="0094644E">
        <w:t>ad</w:t>
      </w:r>
      <w:r w:rsidRPr="00687F44">
        <w:t xml:space="preserve">o que as alegadas ações </w:t>
      </w:r>
      <w:bookmarkEnd w:id="19"/>
      <w:r w:rsidRPr="00687F44">
        <w:t xml:space="preserve">de Daniel </w:t>
      </w:r>
      <w:r w:rsidRPr="00687F44">
        <w:t>Attard</w:t>
      </w:r>
      <w:r w:rsidRPr="00687F44">
        <w:t xml:space="preserve"> poderiam ter constituído corrupção pública passiva, uma infração penal ao abrigo do artigo 246.º, n.º 1, do Código Penal belga;</w:t>
      </w:r>
    </w:p>
    <w:p w:rsidR="00ED0561" w:rsidRPr="00687F44" w:rsidP="00ED0561" w14:paraId="450891F5" w14:textId="531212C2">
      <w:pPr>
        <w:pStyle w:val="NormalHanging12a"/>
      </w:pPr>
      <w:r w:rsidRPr="00687F44">
        <w:t>E.</w:t>
      </w:r>
      <w:r w:rsidRPr="00687F44">
        <w:tab/>
        <w:t xml:space="preserve">Considerando que Daniel </w:t>
      </w:r>
      <w:r w:rsidRPr="00687F44">
        <w:t>Attard</w:t>
      </w:r>
      <w:r w:rsidRPr="00687F44">
        <w:t xml:space="preserve"> foi eleito para o Parlamento Europeu nas eleições europeias de junho de 2024 e que</w:t>
      </w:r>
      <w:r w:rsidR="0094644E">
        <w:t>, por conseguinte,</w:t>
      </w:r>
      <w:r w:rsidRPr="00687F44">
        <w:t xml:space="preserve"> era deputado ao Parlamento Europeu no momento das alegadas infrações;</w:t>
      </w:r>
    </w:p>
    <w:p w:rsidR="00ED0561" w:rsidRPr="00687F44" w:rsidP="00ED0561" w14:paraId="74D44914" w14:textId="76DF5D83">
      <w:pPr>
        <w:pStyle w:val="NormalHanging12a"/>
      </w:pPr>
      <w:r w:rsidRPr="00687F44">
        <w:t>F.</w:t>
      </w:r>
      <w:r w:rsidRPr="00687F44">
        <w:tab/>
        <w:t xml:space="preserve">Considerando, por um lado, que o Parlamento não pode ser equiparado a um tribunal e que, por outro, o deputado, no </w:t>
      </w:r>
      <w:r w:rsidR="00573A60">
        <w:t>âmbito</w:t>
      </w:r>
      <w:r w:rsidRPr="00687F44" w:rsidR="00573A60">
        <w:t xml:space="preserve"> </w:t>
      </w:r>
      <w:r w:rsidRPr="00687F44">
        <w:t>de um processo de levantamento da imunidade, não pode ser considerado «arguido»</w:t>
      </w:r>
      <w:r>
        <w:rPr>
          <w:vertAlign w:val="superscript"/>
        </w:rPr>
        <w:footnoteReference w:id="3"/>
      </w:r>
      <w:r w:rsidRPr="00687F44">
        <w:t>;</w:t>
      </w:r>
    </w:p>
    <w:p w:rsidR="00ED0561" w:rsidRPr="00687F44" w:rsidP="00ED0561" w14:paraId="0F0485BF" w14:textId="77777777">
      <w:pPr>
        <w:pStyle w:val="NormalHanging12a"/>
      </w:pPr>
      <w:r w:rsidRPr="00687F44">
        <w:t>G.</w:t>
      </w:r>
      <w:r w:rsidRPr="00687F44">
        <w:tab/>
        <w:t>Considerando que o objetivo da imunidade parlamentar prevista no Protocolo n.º 7 relativo aos Privilégios e Imunidades da União Europeia consiste em proteger o Parlamento e os seus deputados contra processos judiciais relacionados com atividades exercidas no desempenho das suas funções parlamentares e que não podem ser separadas dessas funções;</w:t>
      </w:r>
    </w:p>
    <w:p w:rsidR="00ED0561" w:rsidRPr="00687F44" w:rsidP="00ED0561" w14:paraId="3B8B9F11" w14:textId="72135343">
      <w:pPr>
        <w:pStyle w:val="NormalHanging12a"/>
      </w:pPr>
      <w:r w:rsidRPr="00687F44">
        <w:t xml:space="preserve">H. </w:t>
      </w:r>
      <w:r w:rsidRPr="00687F44">
        <w:tab/>
        <w:t xml:space="preserve">Considerando que, nos termos do artigo 5.º, n.º 2, do seu Regimento, a imunidade parlamentar não é um privilégio pessoal dos deputados, mas sim uma garantia da independência do Parlamento Europeu como um todo e dos seus </w:t>
      </w:r>
      <w:r w:rsidR="00573A60">
        <w:t>membros</w:t>
      </w:r>
      <w:r w:rsidRPr="00687F44">
        <w:t>;</w:t>
      </w:r>
    </w:p>
    <w:p w:rsidR="00ED0561" w:rsidRPr="00687F44" w:rsidP="00ED0561" w14:paraId="76622F3B" w14:textId="27FCD3A9">
      <w:pPr>
        <w:pStyle w:val="NormalHanging12a"/>
      </w:pPr>
      <w:r w:rsidRPr="00687F44">
        <w:t>I.</w:t>
      </w:r>
      <w:r w:rsidRPr="00687F44">
        <w:tab/>
        <w:t xml:space="preserve">Considerando que o Protocolo n.º 7 relativo aos Privilégios e Imunidades da União Europeia, no seu artigo 8.º, prevê que os </w:t>
      </w:r>
      <w:r w:rsidR="00573A60">
        <w:t>membros</w:t>
      </w:r>
      <w:r w:rsidRPr="00687F44" w:rsidR="00573A60">
        <w:t xml:space="preserve"> </w:t>
      </w:r>
      <w:r w:rsidR="00573A60">
        <w:t>d</w:t>
      </w:r>
      <w:r w:rsidRPr="00687F44">
        <w:t>o Parlamento Europeu não podem ser procurados, detidos ou perseguidos pelas opiniões ou votos emitidos no exercício das suas funções</w:t>
      </w:r>
      <w:r w:rsidR="00687F44">
        <w:t>; considerando que</w:t>
      </w:r>
      <w:r w:rsidRPr="00687F44">
        <w:t xml:space="preserve"> a alegada infração não diz respeito a opiniões ou votos emitidos por Daniel </w:t>
      </w:r>
      <w:r w:rsidRPr="00687F44">
        <w:t>Attard</w:t>
      </w:r>
      <w:r w:rsidRPr="00687F44">
        <w:t xml:space="preserve"> no exercício das suas funções, na aceção do artigo 8.º do referido Protocolo;</w:t>
      </w:r>
    </w:p>
    <w:p w:rsidR="00ED0561" w:rsidRPr="00687F44" w:rsidP="00ED0561" w14:paraId="2FBAE564" w14:textId="193BFDE4">
      <w:pPr>
        <w:pStyle w:val="NormalHanging12a"/>
      </w:pPr>
      <w:r w:rsidRPr="00687F44">
        <w:t>J.</w:t>
      </w:r>
      <w:r w:rsidRPr="00687F44">
        <w:tab/>
        <w:t xml:space="preserve">Considerando que o artigo 9.º, n.º 1, alínea b), do Protocolo n.º 7 relativo aos Privilégios e Imunidades da União Europeia prevê que, </w:t>
      </w:r>
      <w:r w:rsidRPr="00573A60" w:rsidR="00573A60">
        <w:t>enquanto durarem as sessões do Parlamento Europeu,</w:t>
      </w:r>
      <w:r w:rsidR="00573A60">
        <w:t xml:space="preserve"> </w:t>
      </w:r>
      <w:r w:rsidRPr="00687F44">
        <w:t xml:space="preserve">os </w:t>
      </w:r>
      <w:r w:rsidR="00573A60">
        <w:t>seus membros</w:t>
      </w:r>
      <w:r w:rsidRPr="00687F44">
        <w:t xml:space="preserve"> beneficiam, no território de qualquer outro Estado</w:t>
      </w:r>
      <w:r w:rsidRPr="00687F44">
        <w:noBreakHyphen/>
        <w:t>Membro à exceção do seu, da não sujeição a qualquer medida de detenção e a qualquer procedimento judicial;</w:t>
      </w:r>
    </w:p>
    <w:p w:rsidR="00ED0561" w:rsidRPr="00687F44" w:rsidP="00ED0561" w14:paraId="2FFF0A04" w14:textId="0E8F9A0B">
      <w:pPr>
        <w:pStyle w:val="NormalHanging12a"/>
      </w:pPr>
      <w:r w:rsidRPr="00687F44">
        <w:t>K.</w:t>
      </w:r>
      <w:r w:rsidRPr="00687F44">
        <w:tab/>
        <w:t xml:space="preserve">Considerando que qualquer conclusão relativa à imunidade de Daniel </w:t>
      </w:r>
      <w:r w:rsidRPr="00687F44">
        <w:t>Attard</w:t>
      </w:r>
      <w:r w:rsidRPr="00687F44">
        <w:t xml:space="preserve"> deve </w:t>
      </w:r>
      <w:r w:rsidR="00C93865">
        <w:t xml:space="preserve">fazer-se </w:t>
      </w:r>
      <w:r w:rsidRPr="00687F44">
        <w:t xml:space="preserve">com base no pedido de levantamento da imunidade e nas informações e explicações </w:t>
      </w:r>
      <w:r w:rsidR="00C93865">
        <w:t xml:space="preserve">apresentadas </w:t>
      </w:r>
      <w:r w:rsidRPr="00687F44">
        <w:t xml:space="preserve">neste caso, incluindo as respostas dadas pelo Procurador Federal belga, tanto durante a troca de pontos de vista como nas informações suplementares </w:t>
      </w:r>
      <w:r w:rsidR="00C93865">
        <w:t>apresentadas</w:t>
      </w:r>
      <w:r w:rsidRPr="00687F44" w:rsidR="00C93865">
        <w:t xml:space="preserve"> </w:t>
      </w:r>
      <w:r w:rsidRPr="00687F44">
        <w:t>por escrito</w:t>
      </w:r>
      <w:r w:rsidR="00687F44">
        <w:t>; considerando que</w:t>
      </w:r>
      <w:r w:rsidRPr="00687F44">
        <w:t xml:space="preserve"> existe uma escassez flagrante de elementos concretos no pedido de levantamento da imunidade</w:t>
      </w:r>
      <w:r w:rsidR="00687F44">
        <w:t>; considerando que</w:t>
      </w:r>
      <w:r w:rsidRPr="00687F44">
        <w:t xml:space="preserve"> as subsequentes trocas de pontos de vista orais e escritas com o Procurador Federal não dissiparam a considerável incerteza quanto aos vários elementos contidos no pedido de levantamento da imunidade de Daniel </w:t>
      </w:r>
      <w:r w:rsidRPr="00687F44">
        <w:t>Attard</w:t>
      </w:r>
      <w:r w:rsidR="00687F44">
        <w:t>; considerando que</w:t>
      </w:r>
      <w:r w:rsidRPr="00687F44">
        <w:t xml:space="preserve"> as alegações comunicadas pela primeira vez na resposta de 18 de setembro de 2025 se revelaram baseadas numa identidade errada, </w:t>
      </w:r>
      <w:r w:rsidR="00C93865">
        <w:t xml:space="preserve">conforme </w:t>
      </w:r>
      <w:r w:rsidRPr="00687F44">
        <w:t>revelado na carta de 5 de março de 2026, o que exacerbou ainda mais as sérias dúvidas em torno da argumentação subjacente ao pedido inicial;</w:t>
      </w:r>
    </w:p>
    <w:p w:rsidR="00ED0561" w:rsidRPr="00687F44" w:rsidP="00ED0561" w14:paraId="66300960" w14:textId="36154195">
      <w:pPr>
        <w:pStyle w:val="NormalHanging12a"/>
      </w:pPr>
      <w:r w:rsidRPr="00687F44">
        <w:t>L.</w:t>
      </w:r>
      <w:r w:rsidRPr="00687F44">
        <w:tab/>
        <w:t xml:space="preserve">Considerando que, com base no que precede, o conjunto das informações apresentadas não permitiu ao Parlamento chegar com confiança a uma decisão suficientemente informada de levantamento da imunidade de Daniel </w:t>
      </w:r>
      <w:r w:rsidRPr="00687F44">
        <w:t>Attard</w:t>
      </w:r>
      <w:r w:rsidR="00687F44">
        <w:t>; considerando que</w:t>
      </w:r>
      <w:r w:rsidRPr="00687F44">
        <w:t xml:space="preserve">, além disso, a grande incerteza quanto aos diferentes elementos do presente processo poderia, </w:t>
      </w:r>
      <w:r w:rsidRPr="00687F44">
        <w:t xml:space="preserve">pela sua natureza, indicar a existência de </w:t>
      </w:r>
      <w:r w:rsidRPr="00687F44">
        <w:rPr>
          <w:i/>
        </w:rPr>
        <w:t>fumus</w:t>
      </w:r>
      <w:r w:rsidRPr="00687F44">
        <w:rPr>
          <w:i/>
        </w:rPr>
        <w:t xml:space="preserve"> </w:t>
      </w:r>
      <w:r w:rsidRPr="00687F44">
        <w:rPr>
          <w:i/>
        </w:rPr>
        <w:t>persecutionis</w:t>
      </w:r>
      <w:r w:rsidRPr="00687F44">
        <w:t>;</w:t>
      </w:r>
    </w:p>
    <w:bookmarkEnd w:id="18"/>
    <w:p w:rsidR="00ED0561" w:rsidRPr="00687F44" w:rsidP="00ED0561" w14:paraId="5BE4A47B" w14:textId="77777777">
      <w:pPr>
        <w:pStyle w:val="NormalHanging12a"/>
      </w:pPr>
      <w:r w:rsidRPr="00687F44">
        <w:t>1.</w:t>
      </w:r>
      <w:r w:rsidRPr="00687F44">
        <w:tab/>
      </w:r>
      <w:bookmarkStart w:id="20" w:name="_Hlk223949317"/>
      <w:r w:rsidRPr="00687F44">
        <w:t xml:space="preserve">Decide não levantar a imunidade </w:t>
      </w:r>
      <w:bookmarkEnd w:id="20"/>
      <w:r w:rsidRPr="00687F44">
        <w:t xml:space="preserve">de Daniel </w:t>
      </w:r>
      <w:r w:rsidRPr="00687F44">
        <w:t>Attard</w:t>
      </w:r>
      <w:r w:rsidRPr="00687F44">
        <w:t>;</w:t>
      </w:r>
    </w:p>
    <w:p w:rsidR="00E365E1" w:rsidRPr="00687F44" w:rsidP="00670B27" w14:paraId="15BC8305" w14:textId="47013FC9">
      <w:pPr>
        <w:pStyle w:val="NormalHanging12a"/>
      </w:pPr>
      <w:r w:rsidRPr="00687F44">
        <w:t>2.</w:t>
      </w:r>
      <w:r w:rsidRPr="00687F44">
        <w:tab/>
        <w:t xml:space="preserve">Encarrega a sua Presidente de transmitir de imediato a presente decisão, bem como o relatório da sua comissão responsável, às autoridades competentes do Reino da Bélgica e a Daniel </w:t>
      </w:r>
      <w:r w:rsidRPr="00687F44">
        <w:t>Attard</w:t>
      </w:r>
      <w:r w:rsidRPr="00687F44">
        <w:t>.</w:t>
      </w:r>
    </w:p>
    <w:sectPr w:rsidSect="00670B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0B27" w14:paraId="39A1859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0B27" w14:paraId="57FA6D7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0B27" w14:paraId="11EFFEF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D7F10" w:rsidRPr="00670B27" w14:paraId="275C076E" w14:textId="77777777">
      <w:r w:rsidRPr="00670B27">
        <w:separator/>
      </w:r>
    </w:p>
  </w:footnote>
  <w:footnote w:type="continuationSeparator" w:id="1">
    <w:p w:rsidR="008D7F10" w:rsidRPr="00670B27" w14:paraId="5FC156F2" w14:textId="77777777">
      <w:r w:rsidRPr="00670B27">
        <w:continuationSeparator/>
      </w:r>
    </w:p>
  </w:footnote>
  <w:footnote w:id="2">
    <w:p w:rsidR="00ED0561" w:rsidRPr="00670B27" w:rsidP="00670B27" w14:paraId="6A2B6DD3" w14:textId="45F8EE9D">
      <w:pPr>
        <w:pStyle w:val="FootnoteText"/>
        <w:ind w:left="567" w:hanging="567"/>
        <w:rPr>
          <w:sz w:val="24"/>
          <w:lang w:val="pt-PT"/>
        </w:rPr>
      </w:pPr>
      <w:r w:rsidRPr="00670B27">
        <w:rPr>
          <w:rStyle w:val="FootnoteReference"/>
          <w:sz w:val="24"/>
          <w:lang w:val="pt-PT"/>
        </w:rPr>
        <w:footnoteRef/>
      </w:r>
      <w:r w:rsidRPr="00670B27" w:rsidR="00670B27">
        <w:rPr>
          <w:sz w:val="24"/>
          <w:lang w:val="pt-PT"/>
        </w:rPr>
        <w:t xml:space="preserve"> </w:t>
      </w:r>
      <w:r w:rsidRPr="00670B27" w:rsidR="00670B27">
        <w:rPr>
          <w:sz w:val="24"/>
          <w:lang w:val="pt-PT"/>
        </w:rPr>
        <w:tab/>
      </w:r>
      <w:r w:rsidRPr="00670B27">
        <w:rPr>
          <w:sz w:val="24"/>
          <w:lang w:val="pt-PT"/>
        </w:rPr>
        <w:t>Acórdão do Tribunal de Justiça de 21 de outubro de 2008, Marra/De Gregorio e Clemente, C</w:t>
      </w:r>
      <w:r w:rsidRPr="00670B27">
        <w:rPr>
          <w:sz w:val="24"/>
          <w:lang w:val="pt-PT"/>
        </w:rPr>
        <w:noBreakHyphen/>
        <w:t>200/07 e C</w:t>
      </w:r>
      <w:r w:rsidRPr="00670B27">
        <w:rPr>
          <w:sz w:val="24"/>
          <w:lang w:val="pt-PT"/>
        </w:rPr>
        <w:noBreakHyphen/>
        <w:t>201/07, ECLI:EU:C:2008:579; Acórdão do Tribunal Geral de 19 de março de 2010, Gollnisch/Parlamento Europeu, T</w:t>
      </w:r>
      <w:r w:rsidRPr="00670B27">
        <w:rPr>
          <w:sz w:val="24"/>
          <w:lang w:val="pt-PT"/>
        </w:rPr>
        <w:noBreakHyphen/>
        <w:t>42/06, ECLI:EU:T:2010:102; Acórdão do Tribunal de Justiça de 6 de setembro de 2011, Patriciello, C</w:t>
      </w:r>
      <w:r w:rsidRPr="00670B27">
        <w:rPr>
          <w:sz w:val="24"/>
          <w:lang w:val="pt-PT"/>
        </w:rPr>
        <w:noBreakHyphen/>
        <w:t>163/10, ECLI: EU:C:2011:543; Acórdão do Tribunal Geral de 17 de janeiro de 2013, Gollnisch/Parlamento Europeu, T</w:t>
      </w:r>
      <w:r w:rsidRPr="00670B27">
        <w:rPr>
          <w:sz w:val="24"/>
          <w:lang w:val="pt-PT"/>
        </w:rPr>
        <w:noBreakHyphen/>
        <w:t>346/11 e T</w:t>
      </w:r>
      <w:r w:rsidRPr="00670B27">
        <w:rPr>
          <w:sz w:val="24"/>
          <w:lang w:val="pt-PT"/>
        </w:rPr>
        <w:noBreakHyphen/>
        <w:t>347/11, ECLI:EU:T:2013:23; Acórdão do Tribunal de Justiça de 19 de dezembro de 2019, Junqueras Vies, C</w:t>
      </w:r>
      <w:r w:rsidRPr="00670B27">
        <w:rPr>
          <w:sz w:val="24"/>
          <w:lang w:val="pt-PT"/>
        </w:rPr>
        <w:noBreakHyphen/>
        <w:t>502/19, ECLI:EU:C:2019:1115.</w:t>
      </w:r>
    </w:p>
  </w:footnote>
  <w:footnote w:id="3">
    <w:p w:rsidR="00ED0561" w:rsidRPr="00670B27" w:rsidP="00670B27" w14:paraId="1F211A56" w14:textId="2A71A2A8">
      <w:pPr>
        <w:pStyle w:val="FootnoteText"/>
        <w:ind w:left="567" w:hanging="567"/>
        <w:rPr>
          <w:sz w:val="24"/>
          <w:lang w:val="pt-PT"/>
        </w:rPr>
      </w:pPr>
      <w:r w:rsidRPr="00670B27">
        <w:rPr>
          <w:rStyle w:val="FootnoteReference"/>
          <w:sz w:val="24"/>
          <w:lang w:val="pt-PT"/>
        </w:rPr>
        <w:footnoteRef/>
      </w:r>
      <w:r w:rsidRPr="00670B27" w:rsidR="00670B27">
        <w:rPr>
          <w:sz w:val="24"/>
          <w:lang w:val="pt-PT"/>
        </w:rPr>
        <w:t xml:space="preserve"> </w:t>
      </w:r>
      <w:r w:rsidRPr="00670B27" w:rsidR="00670B27">
        <w:rPr>
          <w:sz w:val="24"/>
          <w:lang w:val="pt-PT"/>
        </w:rPr>
        <w:tab/>
      </w:r>
      <w:r w:rsidRPr="00670B27">
        <w:rPr>
          <w:sz w:val="24"/>
          <w:lang w:val="pt-PT"/>
        </w:rPr>
        <w:t>Acórdão do Tribunal Geral de 30 de abril de 2019, Briois/Parlamento Europeu, T</w:t>
      </w:r>
      <w:r w:rsidRPr="00670B27">
        <w:rPr>
          <w:sz w:val="24"/>
          <w:lang w:val="pt-PT"/>
        </w:rPr>
        <w:noBreakHyphen/>
        <w:t>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0B27" w14:paraId="2B0B01D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0B27" w14:paraId="4E55BDB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0B27" w14:paraId="3C0E071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9855962">
    <w:abstractNumId w:val="9"/>
  </w:num>
  <w:num w:numId="2" w16cid:durableId="748236174">
    <w:abstractNumId w:val="9"/>
  </w:num>
  <w:num w:numId="3" w16cid:durableId="1879588959">
    <w:abstractNumId w:val="7"/>
  </w:num>
  <w:num w:numId="4" w16cid:durableId="190454373">
    <w:abstractNumId w:val="7"/>
  </w:num>
  <w:num w:numId="5" w16cid:durableId="398863512">
    <w:abstractNumId w:val="6"/>
  </w:num>
  <w:num w:numId="6" w16cid:durableId="2100758445">
    <w:abstractNumId w:val="6"/>
  </w:num>
  <w:num w:numId="7" w16cid:durableId="734742290">
    <w:abstractNumId w:val="5"/>
  </w:num>
  <w:num w:numId="8" w16cid:durableId="140392888">
    <w:abstractNumId w:val="5"/>
  </w:num>
  <w:num w:numId="9" w16cid:durableId="438524271">
    <w:abstractNumId w:val="4"/>
  </w:num>
  <w:num w:numId="10" w16cid:durableId="2054500025">
    <w:abstractNumId w:val="4"/>
  </w:num>
  <w:num w:numId="11" w16cid:durableId="505363677">
    <w:abstractNumId w:val="8"/>
  </w:num>
  <w:num w:numId="12" w16cid:durableId="2052149644">
    <w:abstractNumId w:val="8"/>
  </w:num>
  <w:num w:numId="13" w16cid:durableId="87847880">
    <w:abstractNumId w:val="3"/>
  </w:num>
  <w:num w:numId="14" w16cid:durableId="884953422">
    <w:abstractNumId w:val="3"/>
  </w:num>
  <w:num w:numId="15" w16cid:durableId="1573806965">
    <w:abstractNumId w:val="2"/>
  </w:num>
  <w:num w:numId="16" w16cid:durableId="1206332856">
    <w:abstractNumId w:val="2"/>
  </w:num>
  <w:num w:numId="17" w16cid:durableId="177620836">
    <w:abstractNumId w:val="1"/>
  </w:num>
  <w:num w:numId="18" w16cid:durableId="325868817">
    <w:abstractNumId w:val="1"/>
  </w:num>
  <w:num w:numId="19" w16cid:durableId="534274736">
    <w:abstractNumId w:val="0"/>
  </w:num>
  <w:num w:numId="20" w16cid:durableId="2137064196">
    <w:abstractNumId w:val="0"/>
  </w:num>
  <w:num w:numId="21" w16cid:durableId="1139375650">
    <w:abstractNumId w:val="9"/>
  </w:num>
  <w:num w:numId="22" w16cid:durableId="629364337">
    <w:abstractNumId w:val="7"/>
  </w:num>
  <w:num w:numId="23" w16cid:durableId="925655890">
    <w:abstractNumId w:val="6"/>
  </w:num>
  <w:num w:numId="24" w16cid:durableId="365953106">
    <w:abstractNumId w:val="5"/>
  </w:num>
  <w:num w:numId="25" w16cid:durableId="1503353088">
    <w:abstractNumId w:val="4"/>
  </w:num>
  <w:num w:numId="26" w16cid:durableId="1883248730">
    <w:abstractNumId w:val="8"/>
  </w:num>
  <w:num w:numId="27" w16cid:durableId="294019676">
    <w:abstractNumId w:val="3"/>
  </w:num>
  <w:num w:numId="28" w16cid:durableId="159008306">
    <w:abstractNumId w:val="2"/>
  </w:num>
  <w:num w:numId="29" w16cid:durableId="442462630">
    <w:abstractNumId w:val="1"/>
  </w:num>
  <w:num w:numId="30" w16cid:durableId="1008143552">
    <w:abstractNumId w:val="0"/>
  </w:num>
  <w:num w:numId="31" w16cid:durableId="910584598">
    <w:abstractNumId w:val="9"/>
  </w:num>
  <w:num w:numId="32" w16cid:durableId="1700349707">
    <w:abstractNumId w:val="7"/>
  </w:num>
  <w:num w:numId="33" w16cid:durableId="1419709815">
    <w:abstractNumId w:val="6"/>
  </w:num>
  <w:num w:numId="34" w16cid:durableId="142553825">
    <w:abstractNumId w:val="5"/>
  </w:num>
  <w:num w:numId="35" w16cid:durableId="1033533432">
    <w:abstractNumId w:val="4"/>
  </w:num>
  <w:num w:numId="36" w16cid:durableId="1404791755">
    <w:abstractNumId w:val="8"/>
  </w:num>
  <w:num w:numId="37" w16cid:durableId="1146777904">
    <w:abstractNumId w:val="3"/>
  </w:num>
  <w:num w:numId="38" w16cid:durableId="23488058">
    <w:abstractNumId w:val="2"/>
  </w:num>
  <w:num w:numId="39" w16cid:durableId="893545537">
    <w:abstractNumId w:val="1"/>
  </w:num>
  <w:num w:numId="40" w16cid:durableId="2082830344">
    <w:abstractNumId w:val="0"/>
  </w:num>
  <w:num w:numId="41" w16cid:durableId="256594038">
    <w:abstractNumId w:val="10"/>
  </w:num>
  <w:num w:numId="42" w16cid:durableId="1715886331">
    <w:abstractNumId w:val="10"/>
  </w:num>
  <w:num w:numId="43" w16cid:durableId="350961929">
    <w:abstractNumId w:val="10"/>
  </w:num>
  <w:num w:numId="44" w16cid:durableId="11350262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F1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7EA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A60"/>
    <w:rsid w:val="005C2568"/>
    <w:rsid w:val="005F1B17"/>
    <w:rsid w:val="006037C0"/>
    <w:rsid w:val="006631B6"/>
    <w:rsid w:val="00670B27"/>
    <w:rsid w:val="00680577"/>
    <w:rsid w:val="00687F44"/>
    <w:rsid w:val="006968C5"/>
    <w:rsid w:val="006F74FA"/>
    <w:rsid w:val="00731ADD"/>
    <w:rsid w:val="00734777"/>
    <w:rsid w:val="00747932"/>
    <w:rsid w:val="00751A4A"/>
    <w:rsid w:val="00756632"/>
    <w:rsid w:val="00762C74"/>
    <w:rsid w:val="007826A4"/>
    <w:rsid w:val="00786EC0"/>
    <w:rsid w:val="007D1690"/>
    <w:rsid w:val="007D6E96"/>
    <w:rsid w:val="007E22AD"/>
    <w:rsid w:val="00817416"/>
    <w:rsid w:val="00842779"/>
    <w:rsid w:val="00865F67"/>
    <w:rsid w:val="00881A7B"/>
    <w:rsid w:val="008840E5"/>
    <w:rsid w:val="00887B3E"/>
    <w:rsid w:val="008C2AC6"/>
    <w:rsid w:val="008D7F10"/>
    <w:rsid w:val="00930C23"/>
    <w:rsid w:val="0093193B"/>
    <w:rsid w:val="0094644E"/>
    <w:rsid w:val="009509D8"/>
    <w:rsid w:val="00950B64"/>
    <w:rsid w:val="0096492C"/>
    <w:rsid w:val="00981893"/>
    <w:rsid w:val="00A1687D"/>
    <w:rsid w:val="00A43E52"/>
    <w:rsid w:val="00A4678D"/>
    <w:rsid w:val="00A5056C"/>
    <w:rsid w:val="00A778C7"/>
    <w:rsid w:val="00AB441E"/>
    <w:rsid w:val="00AB6293"/>
    <w:rsid w:val="00AB6B81"/>
    <w:rsid w:val="00AE0928"/>
    <w:rsid w:val="00AF3B82"/>
    <w:rsid w:val="00AF479D"/>
    <w:rsid w:val="00B12E95"/>
    <w:rsid w:val="00B22876"/>
    <w:rsid w:val="00B558F0"/>
    <w:rsid w:val="00B655AE"/>
    <w:rsid w:val="00BD48FE"/>
    <w:rsid w:val="00BD7BD8"/>
    <w:rsid w:val="00BE6ADC"/>
    <w:rsid w:val="00C05BFE"/>
    <w:rsid w:val="00C23CD4"/>
    <w:rsid w:val="00C61C0C"/>
    <w:rsid w:val="00C9386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9CB"/>
    <w:rsid w:val="00E365E1"/>
    <w:rsid w:val="00E820A4"/>
    <w:rsid w:val="00EB006A"/>
    <w:rsid w:val="00EB4772"/>
    <w:rsid w:val="00ED0561"/>
    <w:rsid w:val="00ED169E"/>
    <w:rsid w:val="00ED4235"/>
    <w:rsid w:val="00F04346"/>
    <w:rsid w:val="00F075DC"/>
    <w:rsid w:val="00F149E9"/>
    <w:rsid w:val="00F5134D"/>
    <w:rsid w:val="00F74202"/>
    <w:rsid w:val="00F8053D"/>
    <w:rsid w:val="00F87713"/>
    <w:rsid w:val="00FB4360"/>
    <w:rsid w:val="00FD0C70"/>
  </w:rsids>
  <w:docVars>
    <w:docVar w:name="dvdocse" w:val="A10-0152/2026"/>
    <w:docVar w:name="dvlangue" w:val="PT"/>
    <w:docVar w:name="dvnumam" w:val="0"/>
    <w:docVar w:name="dvpe" w:val="782.198"/>
    <w:docVar w:name="dvrapporteur" w:val="Relator: "/>
    <w:docVar w:name="dvtitre" w:val="Decisão do Parlamento Europeu, de ... de ... de 2026,&#13;_x000a_ sobre o pedido de levantamento da imunidade de Daniel Attard(2025/2097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D5779F3"/>
  <w15:chartTrackingRefBased/>
  <w15:docId w15:val="{C1C66D8D-E839-42D9-B1E4-DCF8E0B2C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D0561"/>
    <w:pPr>
      <w:spacing w:after="240"/>
      <w:ind w:left="567" w:hanging="567"/>
    </w:pPr>
  </w:style>
  <w:style w:type="paragraph" w:customStyle="1" w:styleId="EPComma">
    <w:name w:val="EPComma"/>
    <w:basedOn w:val="Normal"/>
    <w:rsid w:val="00ED0561"/>
    <w:pPr>
      <w:spacing w:before="480" w:after="240"/>
    </w:pPr>
  </w:style>
  <w:style w:type="paragraph" w:styleId="Revision">
    <w:name w:val="Revision"/>
    <w:hidden/>
    <w:uiPriority w:val="99"/>
    <w:semiHidden/>
    <w:rsid w:val="00687F44"/>
    <w:rPr>
      <w:sz w:val="24"/>
      <w:lang w:val="pt-PT"/>
    </w:rPr>
  </w:style>
  <w:style w:type="character" w:styleId="CommentReference">
    <w:name w:val="annotation reference"/>
    <w:basedOn w:val="DefaultParagraphFont"/>
    <w:rsid w:val="007826A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26A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826A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826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26A4"/>
    <w:rPr>
      <w:b/>
      <w:bCs/>
      <w:lang w:val="pt-PT"/>
    </w:rPr>
  </w:style>
  <w:style w:type="character" w:styleId="Hyperlink">
    <w:name w:val="Hyperlink"/>
    <w:basedOn w:val="DefaultParagraphFont"/>
    <w:rsid w:val="007826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6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1328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2026-06-16T11:27:00Z</dcterms:created>
  <dcterms:modified xsi:type="dcterms:W3CDTF">2026-06-16T11:27:00Z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A10-0152/2026</vt:lpwstr>
  </property>
  <property fmtid="{D5CDD505-2E9C-101B-9397-08002B2CF9AE}" pid="4" name="&lt;Type&gt;">
    <vt:lpwstr>RR</vt:lpwstr>
  </property>
</Properties>
</file>