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15CE02" w14:textId="77777777" w:rsidTr="0010095E">
        <w:tblPrEx>
          <w:tblW w:w="9072" w:type="dxa"/>
          <w:tblLook w:val="01E0"/>
        </w:tblPrEx>
        <w:trPr>
          <w:trHeight w:hRule="exact" w:val="1418"/>
        </w:trPr>
        <w:tc>
          <w:tcPr>
            <w:tcW w:w="6804" w:type="dxa"/>
            <w:shd w:val="clear" w:color="auto" w:fill="auto"/>
            <w:vAlign w:val="center"/>
          </w:tcPr>
          <w:p w:rsidR="00751A4A" w:rsidRPr="00CD60D1" w:rsidP="0010095E" w14:paraId="04547E6C" w14:textId="09670335">
            <w:pPr>
              <w:pStyle w:val="EPName"/>
            </w:pPr>
            <w:r w:rsidRPr="00CD60D1">
              <w:t>Европейски</w:t>
            </w:r>
            <w:r w:rsidRPr="00CD60D1" w:rsidR="00CD385F">
              <w:t xml:space="preserve"> парламент</w:t>
            </w:r>
          </w:p>
          <w:p w:rsidR="00751A4A" w:rsidRPr="00CD60D1" w:rsidP="005F1B17" w14:paraId="3882A471" w14:textId="77777777">
            <w:pPr>
              <w:pStyle w:val="EPTerm"/>
              <w:rPr>
                <w:rStyle w:val="HideTWBExt"/>
                <w:noProof w:val="0"/>
                <w:vanish w:val="0"/>
                <w:color w:val="auto"/>
              </w:rPr>
            </w:pPr>
            <w:r w:rsidRPr="00CD60D1">
              <w:t>2024</w:t>
            </w:r>
            <w:r w:rsidRPr="00CD60D1" w:rsidR="00817416">
              <w:t>-202</w:t>
            </w:r>
            <w:r w:rsidRPr="00CD60D1">
              <w:t>9</w:t>
            </w:r>
          </w:p>
        </w:tc>
        <w:tc>
          <w:tcPr>
            <w:tcW w:w="2268" w:type="dxa"/>
            <w:shd w:val="clear" w:color="auto" w:fill="auto"/>
          </w:tcPr>
          <w:p w:rsidR="00751A4A" w:rsidRPr="00CD60D1" w:rsidP="0010095E" w14:paraId="06EB472A" w14:textId="77777777">
            <w:pPr>
              <w:pStyle w:val="EPLogo"/>
            </w:pPr>
            <w:r w:rsidRPr="00CD60D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60D1" w:rsidP="004C5D52" w14:paraId="5E8CDB98" w14:textId="77777777">
      <w:pPr>
        <w:pStyle w:val="LineTop"/>
      </w:pPr>
    </w:p>
    <w:p w:rsidR="00680577" w:rsidRPr="00CD60D1" w:rsidP="00680577" w14:paraId="5CD15140" w14:textId="161A5A49">
      <w:pPr>
        <w:pStyle w:val="EPBodyTA1"/>
      </w:pPr>
      <w:r w:rsidRPr="00CD60D1">
        <w:t>ПРИЕТИ ТЕКСТОВЕ</w:t>
      </w:r>
    </w:p>
    <w:p w:rsidR="00D058B8" w:rsidRPr="00CD60D1" w:rsidP="00D058B8" w14:paraId="6526E7D4" w14:textId="77777777">
      <w:pPr>
        <w:pStyle w:val="LineBottom"/>
      </w:pPr>
    </w:p>
    <w:p w:rsidR="00CD385F" w:rsidRPr="00CD60D1" w:rsidP="00CD385F" w14:paraId="4AA06F2B" w14:textId="656E40A6">
      <w:pPr>
        <w:pStyle w:val="ATHeading1"/>
      </w:pPr>
      <w:bookmarkStart w:id="0" w:name="TANumber"/>
      <w:r w:rsidRPr="00CD60D1">
        <w:t>P10_TA(2026)0</w:t>
      </w:r>
      <w:r w:rsidR="00CC4AEE">
        <w:t>193</w:t>
      </w:r>
      <w:bookmarkEnd w:id="0"/>
    </w:p>
    <w:p w:rsidR="00CD385F" w:rsidRPr="00CD60D1" w:rsidP="00CD385F" w14:paraId="1C985B49" w14:textId="5D76BDCD">
      <w:pPr>
        <w:pStyle w:val="ATHeading2"/>
      </w:pPr>
      <w:bookmarkStart w:id="1" w:name="title"/>
      <w:r w:rsidRPr="00CD60D1">
        <w:t>Искане за снемане на имунитета на Салваторе Де </w:t>
      </w:r>
      <w:r w:rsidRPr="00CD60D1">
        <w:t>Мео</w:t>
      </w:r>
      <w:bookmarkEnd w:id="1"/>
    </w:p>
    <w:p w:rsidR="00CD385F" w:rsidRPr="00CD60D1" w:rsidP="00CD385F" w14:paraId="51346C1D" w14:textId="77777777">
      <w:pPr>
        <w:rPr>
          <w:i/>
          <w:vanish/>
        </w:rPr>
      </w:pPr>
      <w:r>
        <w:rPr>
          <w:i/>
        </w:rPr>
        <w:fldChar w:fldCharType="begin"/>
      </w:r>
      <w:r w:rsidRPr="00CD60D1">
        <w:rPr>
          <w:i/>
        </w:rPr>
        <w:instrText xml:space="preserve"> TC"(</w:instrText>
      </w:r>
      <w:bookmarkStart w:id="2" w:name="DocNumber"/>
      <w:r w:rsidRPr="00CD60D1">
        <w:rPr>
          <w:i/>
        </w:rPr>
        <w:instrText>A10-0153/2026</w:instrText>
      </w:r>
      <w:bookmarkEnd w:id="2"/>
      <w:r w:rsidRPr="00CD60D1">
        <w:rPr>
          <w:i/>
        </w:rPr>
        <w:instrText xml:space="preserve"> - Докладчик: Илхан Кючюк)"\l3 \n&gt; \* MERGEFORMAT </w:instrText>
      </w:r>
      <w:r>
        <w:rPr>
          <w:i/>
        </w:rPr>
        <w:fldChar w:fldCharType="end"/>
      </w:r>
    </w:p>
    <w:p w:rsidR="00CD385F" w:rsidRPr="00CD60D1" w:rsidP="00CD385F" w14:paraId="63FA588C" w14:textId="77777777">
      <w:pPr>
        <w:rPr>
          <w:vanish/>
        </w:rPr>
      </w:pPr>
      <w:bookmarkStart w:id="3" w:name="Commission"/>
      <w:r w:rsidRPr="00CD60D1">
        <w:rPr>
          <w:vanish/>
        </w:rPr>
        <w:t>Комисия по правни въпроси</w:t>
      </w:r>
      <w:bookmarkEnd w:id="3"/>
    </w:p>
    <w:p w:rsidR="00CD385F" w:rsidRPr="00CD60D1" w:rsidP="00CD385F" w14:paraId="0F229ADF" w14:textId="77777777">
      <w:pPr>
        <w:rPr>
          <w:vanish/>
        </w:rPr>
      </w:pPr>
      <w:bookmarkStart w:id="4" w:name="PE"/>
      <w:r w:rsidRPr="00CD60D1">
        <w:rPr>
          <w:vanish/>
        </w:rPr>
        <w:t>PE782.199</w:t>
      </w:r>
      <w:bookmarkEnd w:id="4"/>
    </w:p>
    <w:p w:rsidR="00CD385F" w:rsidRPr="00CD60D1" w:rsidP="00DE68E2" w14:paraId="216CD4E4" w14:textId="631FD77F">
      <w:pPr>
        <w:pStyle w:val="ATHeading3"/>
      </w:pPr>
      <w:bookmarkStart w:id="5" w:name="Sujet"/>
      <w:r w:rsidRPr="00CD60D1">
        <w:t xml:space="preserve">Решение на Европейския парламент от </w:t>
      </w:r>
      <w:r w:rsidR="00FC0834">
        <w:t>16</w:t>
      </w:r>
      <w:r w:rsidR="00DE68E2">
        <w:t xml:space="preserve"> юни</w:t>
      </w:r>
      <w:r w:rsidRPr="00CD60D1" w:rsidR="00DE68E2">
        <w:t xml:space="preserve"> </w:t>
      </w:r>
      <w:r w:rsidRPr="00CD60D1">
        <w:t>2026 г. относно искането за снемане на имунитета на Салваторе Де </w:t>
      </w:r>
      <w:r w:rsidRPr="00CD60D1">
        <w:t>Мео</w:t>
      </w:r>
      <w:bookmarkEnd w:id="5"/>
      <w:r w:rsidRPr="00CD60D1">
        <w:t xml:space="preserve"> </w:t>
      </w:r>
      <w:bookmarkStart w:id="6" w:name="References"/>
      <w:r w:rsidRPr="00CD60D1">
        <w:t>(2025/2098(IMM))</w:t>
      </w:r>
      <w:bookmarkEnd w:id="6"/>
    </w:p>
    <w:p w:rsidR="00937965" w:rsidRPr="00CD60D1" w:rsidP="00937965" w14:paraId="4B420217" w14:textId="77777777">
      <w:pPr>
        <w:pStyle w:val="EPComma"/>
      </w:pPr>
      <w:bookmarkStart w:id="7" w:name="TextBodyBegin"/>
      <w:bookmarkEnd w:id="7"/>
      <w:r w:rsidRPr="00CD60D1">
        <w:rPr>
          <w:i/>
          <w:iCs/>
        </w:rPr>
        <w:t>Европейският парламент,</w:t>
      </w:r>
    </w:p>
    <w:p w:rsidR="00937965" w:rsidRPr="00CD60D1" w:rsidP="00937965" w14:paraId="3E56FA82" w14:textId="46B6674D">
      <w:pPr>
        <w:pStyle w:val="NormalHanging12a"/>
      </w:pPr>
      <w:r w:rsidRPr="00CD60D1">
        <w:t>–</w:t>
      </w:r>
      <w:r w:rsidRPr="00CD60D1">
        <w:tab/>
        <w:t>като взе предвид искането за снемане на имунитета на Салваторе Де </w:t>
      </w:r>
      <w:r w:rsidRPr="00CD60D1">
        <w:t>Мео</w:t>
      </w:r>
      <w:r w:rsidRPr="00CD60D1">
        <w:t xml:space="preserve">, получено с писмо от 6 май 2025 г. от белгийската федерална публична служба </w:t>
      </w:r>
      <w:r w:rsidR="00FC0834">
        <w:t>за в</w:t>
      </w:r>
      <w:r w:rsidRPr="00CD60D1">
        <w:t>ъншни работи, външна търговия и сътрудничество за развитие, с което се препраща искане от 16 април 2025 г., подадено от белгийската федерална прокуратура във връзка с наказателно производство, което предстои да бъде образувано срещу Салваторе Де </w:t>
      </w:r>
      <w:r w:rsidRPr="00CD60D1">
        <w:t>Мео</w:t>
      </w:r>
      <w:r w:rsidRPr="00CD60D1">
        <w:t>, и обявено на пленарно заседание на 21 май 2025 г.,</w:t>
      </w:r>
    </w:p>
    <w:p w:rsidR="00937965" w:rsidRPr="00CD60D1" w:rsidP="00937965" w14:paraId="29D51203" w14:textId="1A0D1276">
      <w:pPr>
        <w:pStyle w:val="NormalHanging12a"/>
        <w:rPr>
          <w:bCs/>
        </w:rPr>
      </w:pPr>
      <w:r w:rsidRPr="00CD60D1">
        <w:t>–</w:t>
      </w:r>
      <w:r w:rsidRPr="00CD60D1">
        <w:tab/>
      </w:r>
      <w:bookmarkStart w:id="8" w:name="_Hlk225077637"/>
      <w:r w:rsidRPr="00CD60D1">
        <w:t>като взе предвид допълнителната информация, предоставена от федералн</w:t>
      </w:r>
      <w:r w:rsidR="00FC0834">
        <w:t>ия</w:t>
      </w:r>
      <w:r w:rsidRPr="00CD60D1">
        <w:t xml:space="preserve"> прокурор и разследващия съдия по време на размяна на мнения на 15 юли 2025 г., и отговора, предоставен на 18 септември 2025 г. </w:t>
      </w:r>
      <w:r w:rsidRPr="00CD60D1" w:rsidR="00FC0834">
        <w:t>от федералн</w:t>
      </w:r>
      <w:r w:rsidR="00FC0834">
        <w:t>ия</w:t>
      </w:r>
      <w:r w:rsidRPr="00CD60D1" w:rsidR="00FC0834">
        <w:t xml:space="preserve"> прокурор </w:t>
      </w:r>
      <w:r w:rsidRPr="00CD60D1">
        <w:t xml:space="preserve">след допълнително писмено искане за информация, като взе предвид факта, че искането за снемане на имунитета на член на ЕП </w:t>
      </w:r>
      <w:bookmarkStart w:id="9" w:name="_Hlk225077824"/>
      <w:r w:rsidRPr="00CD60D1">
        <w:t>трябва да отговаря на определени</w:t>
      </w:r>
      <w:bookmarkEnd w:id="9"/>
      <w:r w:rsidRPr="00CD60D1">
        <w:t xml:space="preserve"> стандарти, и по-специално, то трябва да бъде формулирано ясно, включително по отношение на нормативната уредба, на която се основава искането, и трябва да предоставя ясни и достатъчни елементи и информация, за да може Парламентът да разгледа искането, за да стигне до заключение и да приключи разглеждането възможно най-бързо, като също така се има предвид относителната сложност на случая,</w:t>
      </w:r>
    </w:p>
    <w:bookmarkEnd w:id="8"/>
    <w:p w:rsidR="00937965" w:rsidRPr="00CD60D1" w:rsidP="00937965" w14:paraId="6E20CD30" w14:textId="77777777">
      <w:pPr>
        <w:pStyle w:val="NormalHanging12a"/>
      </w:pPr>
      <w:r w:rsidRPr="00CD60D1">
        <w:t>–</w:t>
      </w:r>
      <w:r w:rsidRPr="00CD60D1">
        <w:tab/>
        <w:t>като изслуша Салваторе Де </w:t>
      </w:r>
      <w:r w:rsidRPr="00CD60D1">
        <w:t>Мео</w:t>
      </w:r>
      <w:r w:rsidRPr="00CD60D1">
        <w:t xml:space="preserve"> на 3 декември 2025 г., съгласно член 9, параграф 6 от своя Правилник за дейността,</w:t>
      </w:r>
    </w:p>
    <w:p w:rsidR="00937965" w:rsidRPr="00CD60D1" w:rsidP="00937965" w14:paraId="7B6C8AF1" w14:textId="77777777">
      <w:pPr>
        <w:pStyle w:val="NormalHanging12a"/>
      </w:pPr>
      <w:r w:rsidRPr="00CD60D1">
        <w:t>–</w:t>
      </w:r>
      <w:r w:rsidRPr="00CD60D1">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rsidR="00937965" w:rsidRPr="00CD60D1" w:rsidP="00937965" w14:paraId="0E1B3DF5" w14:textId="77777777">
      <w:pPr>
        <w:pStyle w:val="NormalHanging12a"/>
      </w:pPr>
      <w:r w:rsidRPr="00CD60D1">
        <w:t>–</w:t>
      </w:r>
      <w:r w:rsidRPr="00CD60D1">
        <w:tab/>
        <w:t xml:space="preserve">като взе предвид решенията на Съда на Европейския съюз от 21 октомври 2008 г., </w:t>
      </w:r>
      <w:r w:rsidRPr="00CD60D1">
        <w:t>19 март 2010 г., 6 септември 2011 г., 17 януари 2013 г. и 19 декември 2019 г.</w:t>
      </w:r>
      <w:r>
        <w:rPr>
          <w:vertAlign w:val="superscript"/>
        </w:rPr>
        <w:footnoteReference w:id="2"/>
      </w:r>
      <w:r w:rsidRPr="00CD60D1">
        <w:t>,</w:t>
      </w:r>
    </w:p>
    <w:p w:rsidR="00937965" w:rsidRPr="00CD60D1" w:rsidP="00937965" w14:paraId="4624A3F7" w14:textId="77777777">
      <w:pPr>
        <w:pStyle w:val="NormalHanging12a"/>
      </w:pPr>
      <w:r w:rsidRPr="00CD60D1">
        <w:t>–</w:t>
      </w:r>
      <w:r w:rsidRPr="00CD60D1">
        <w:tab/>
        <w:t>като взе предвид член 5, параграф 2, член 6, параграф 1 и член 9 от своя Правилник за дейността,</w:t>
      </w:r>
    </w:p>
    <w:p w:rsidR="00937965" w:rsidRPr="00CD60D1" w:rsidP="00937965" w14:paraId="06B30AE8" w14:textId="77777777">
      <w:pPr>
        <w:pStyle w:val="NormalHanging12a"/>
      </w:pPr>
      <w:r w:rsidRPr="00CD60D1">
        <w:t>–</w:t>
      </w:r>
      <w:r w:rsidRPr="00CD60D1">
        <w:tab/>
        <w:t>като взе предвид доклада на комисията по правни въпроси (A10-0153/2026),</w:t>
      </w:r>
    </w:p>
    <w:p w:rsidR="00937965" w:rsidRPr="00CD60D1" w:rsidP="00937965" w14:paraId="1DB62765" w14:textId="13E9F611">
      <w:pPr>
        <w:pStyle w:val="NormalHanging12a"/>
      </w:pPr>
      <w:r w:rsidRPr="00CD60D1">
        <w:t>А.</w:t>
      </w:r>
      <w:r w:rsidRPr="00CD60D1">
        <w:tab/>
      </w:r>
      <w:bookmarkStart w:id="10" w:name="_Hlk223949138"/>
      <w:r w:rsidRPr="00CD60D1">
        <w:t xml:space="preserve">като има предвид, че на </w:t>
      </w:r>
      <w:bookmarkStart w:id="11" w:name="_Hlk210982066"/>
      <w:r w:rsidR="00FC0834">
        <w:t xml:space="preserve">6 май 2025 г. </w:t>
      </w:r>
      <w:r w:rsidRPr="00CD60D1" w:rsidR="00FC0834">
        <w:t>федерална</w:t>
      </w:r>
      <w:r w:rsidR="00BA549D">
        <w:t>та</w:t>
      </w:r>
      <w:r w:rsidRPr="00CD60D1" w:rsidR="00FC0834">
        <w:t xml:space="preserve"> публична служба </w:t>
      </w:r>
      <w:r w:rsidR="00FC0834">
        <w:t>за в</w:t>
      </w:r>
      <w:r w:rsidRPr="00CD60D1" w:rsidR="00FC0834">
        <w:t>ъншни работи, външна търговия и сътрудничество за развитие</w:t>
      </w:r>
      <w:r w:rsidR="00FC0834">
        <w:t xml:space="preserve"> </w:t>
      </w:r>
      <w:r w:rsidRPr="00FC0834" w:rsidR="00FC0834">
        <w:t xml:space="preserve">предаде искане от </w:t>
      </w:r>
      <w:bookmarkEnd w:id="11"/>
      <w:r w:rsidRPr="00CD60D1">
        <w:t xml:space="preserve">федералния прокурор </w:t>
      </w:r>
      <w:r w:rsidR="00FC0834">
        <w:t xml:space="preserve">с дата </w:t>
      </w:r>
      <w:r w:rsidRPr="00CD60D1" w:rsidR="00FC0834">
        <w:t xml:space="preserve">16 април 2025 г. </w:t>
      </w:r>
      <w:r w:rsidR="00FC0834">
        <w:t>за</w:t>
      </w:r>
      <w:r w:rsidRPr="00CD60D1" w:rsidR="00FC0834">
        <w:t xml:space="preserve"> </w:t>
      </w:r>
      <w:r w:rsidRPr="00CD60D1">
        <w:t>снемане на имунитета на Салваторе Де </w:t>
      </w:r>
      <w:r w:rsidRPr="00CD60D1">
        <w:t>Мео</w:t>
      </w:r>
      <w:r w:rsidRPr="00CD60D1">
        <w:t>, член на Европейския парламент, избран в Италия, във връзка с наказателно производство, което предстои да бъде образувано срещу него;</w:t>
      </w:r>
      <w:bookmarkEnd w:id="10"/>
    </w:p>
    <w:p w:rsidR="00937965" w:rsidRPr="00CD60D1" w:rsidP="00937965" w14:paraId="7012219C" w14:textId="20767D31">
      <w:pPr>
        <w:pStyle w:val="NormalHanging12a"/>
      </w:pPr>
      <w:r w:rsidRPr="00CD60D1">
        <w:t>Б.</w:t>
      </w:r>
      <w:r w:rsidRPr="00CD60D1">
        <w:tab/>
      </w:r>
      <w:bookmarkStart w:id="12" w:name="_Hlk228968475"/>
      <w:r w:rsidRPr="00CD60D1">
        <w:t>като има предвид, че се твърди, че широкообхватно разследване относно дружеството „</w:t>
      </w:r>
      <w:r w:rsidRPr="00CD60D1">
        <w:t>Хуауей</w:t>
      </w:r>
      <w:r w:rsidRPr="00CD60D1">
        <w:t>“ (Huawei) е предоставило сериозни доказателства за съществуването на престъпна организация, за която се твърди, че е имала за цел да повлияе на решенията на институциите на С</w:t>
      </w:r>
      <w:r w:rsidR="00FC0834">
        <w:t>ъюза</w:t>
      </w:r>
      <w:r w:rsidRPr="00CD60D1">
        <w:t xml:space="preserve"> чрез участие на членове на Европейския парламент в корупция; като има предвид, че това разследване изглежда е разкрило няколко действия, за които се твърди, че са корупционни, и се предполага, че са извършвани редовно през периода от 2021 г. до 2024 г.; като има предвид твърденията, че корупционната схема е приемала различни форми, включително отправянето на покана до членове на Европейския парламент за участие в събития, подкрепяни от „</w:t>
      </w:r>
      <w:r w:rsidRPr="00CD60D1">
        <w:t>Хуауей</w:t>
      </w:r>
      <w:r w:rsidRPr="00CD60D1">
        <w:t>“, предполага се в замяна на заемане на политически позиции в полза на въпросното дружество, и прекомерни подаръци като храна и пътни разноски или редовни покани за футболни мачове извън рамките на Европейския парламент</w:t>
      </w:r>
      <w:bookmarkEnd w:id="12"/>
      <w:r w:rsidRPr="00CD60D1">
        <w:t>;</w:t>
      </w:r>
    </w:p>
    <w:p w:rsidR="00937965" w:rsidRPr="00CD60D1" w:rsidP="00937965" w14:paraId="02A0484D" w14:textId="33FC26FE">
      <w:pPr>
        <w:pStyle w:val="NormalHanging12a"/>
      </w:pPr>
      <w:bookmarkStart w:id="13" w:name="_Hlk223949214"/>
      <w:r w:rsidRPr="00CD60D1">
        <w:t>В.</w:t>
      </w:r>
      <w:r w:rsidRPr="00CD60D1">
        <w:tab/>
        <w:t>като има предвид, че според искането за снемане на имунитета Салваторе Де </w:t>
      </w:r>
      <w:r w:rsidRPr="00CD60D1">
        <w:t>Мео</w:t>
      </w:r>
      <w:r w:rsidRPr="00CD60D1">
        <w:t xml:space="preserve"> е бил поканен на вечеря, която се състояла на 25 юни 2024 г. в ресторант в Брюксел и </w:t>
      </w:r>
      <w:r w:rsidR="00FC0834">
        <w:t>се твърди, че</w:t>
      </w:r>
      <w:r w:rsidRPr="00CD60D1" w:rsidR="00FC0834">
        <w:t xml:space="preserve"> </w:t>
      </w:r>
      <w:r w:rsidRPr="00CD60D1">
        <w:t>е била организирана от представител на „</w:t>
      </w:r>
      <w:r w:rsidRPr="00CD60D1">
        <w:t>Хуауей</w:t>
      </w:r>
      <w:r w:rsidRPr="00CD60D1">
        <w:t>“ и платена от посоченото дружество, а Салваторе Де </w:t>
      </w:r>
      <w:r w:rsidRPr="00CD60D1">
        <w:t>Мео</w:t>
      </w:r>
      <w:r w:rsidRPr="00CD60D1">
        <w:t xml:space="preserve"> е присъствал на вечерята заедно със седем други лица; като има предвид, че </w:t>
      </w:r>
      <w:r w:rsidR="00FC0834">
        <w:t xml:space="preserve">се твърди, че </w:t>
      </w:r>
      <w:r w:rsidRPr="00CD60D1">
        <w:t>по време на вечерята са били обсъдени различни проекти във връзка с визията „Едно здраве“ и „</w:t>
      </w:r>
      <w:r w:rsidRPr="00CD60D1">
        <w:t>Хуауей</w:t>
      </w:r>
      <w:r w:rsidRPr="00CD60D1">
        <w:t>“; като има предвид, че изглежда Салваторе Де </w:t>
      </w:r>
      <w:r w:rsidRPr="00CD60D1">
        <w:t>Мео</w:t>
      </w:r>
      <w:r w:rsidRPr="00CD60D1">
        <w:t xml:space="preserve"> не е декларирал пред Европейския парламент, че е приел плащането на разходите за вечерята, чийто точен размер не е известен на органа, поискал снемането на имунитета;</w:t>
      </w:r>
      <w:bookmarkEnd w:id="13"/>
      <w:r w:rsidRPr="00CD60D1">
        <w:t xml:space="preserve"> като има предвид, че според допълнителната информация, предоставена от федералн</w:t>
      </w:r>
      <w:r w:rsidR="00FC0834">
        <w:t>ия</w:t>
      </w:r>
      <w:r w:rsidRPr="00CD60D1">
        <w:t xml:space="preserve"> прокурор, се предполага, че Салваторе Де </w:t>
      </w:r>
      <w:r w:rsidRPr="00CD60D1">
        <w:t>Мео</w:t>
      </w:r>
      <w:r w:rsidRPr="00CD60D1">
        <w:t xml:space="preserve"> също така е получил подарък по време на </w:t>
      </w:r>
      <w:r w:rsidR="00FC0834">
        <w:t xml:space="preserve">тази </w:t>
      </w:r>
      <w:r w:rsidRPr="00CD60D1">
        <w:t>вечеря; като има предвид, че според същата допълнителна информация се предполага, че „</w:t>
      </w:r>
      <w:r w:rsidRPr="00CD60D1">
        <w:t>Хуауей</w:t>
      </w:r>
      <w:r w:rsidRPr="00CD60D1">
        <w:t>“ е инвестирал средства в избирателния район на Салваторе Де </w:t>
      </w:r>
      <w:r w:rsidRPr="00CD60D1">
        <w:t>Мео</w:t>
      </w:r>
      <w:r w:rsidRPr="00CD60D1">
        <w:t xml:space="preserve"> в замяна на това той публично да заеме положителни позиции в полза на технологичните решения, продавани от „</w:t>
      </w:r>
      <w:r w:rsidRPr="00CD60D1">
        <w:t>Хуауей</w:t>
      </w:r>
      <w:r w:rsidRPr="00CD60D1">
        <w:t xml:space="preserve">“; като има предвид, че също така според допълнителната информация, предоставена от </w:t>
      </w:r>
      <w:r w:rsidRPr="00CD60D1">
        <w:t>федералн</w:t>
      </w:r>
      <w:r w:rsidR="0039109D">
        <w:t>ия</w:t>
      </w:r>
      <w:r w:rsidRPr="00CD60D1">
        <w:t xml:space="preserve"> прокурор, Салваторе Де </w:t>
      </w:r>
      <w:r w:rsidRPr="00CD60D1">
        <w:t>Мео</w:t>
      </w:r>
      <w:r w:rsidRPr="00CD60D1">
        <w:t xml:space="preserve"> се появява в рекламен видеоклип за „</w:t>
      </w:r>
      <w:r w:rsidRPr="00CD60D1">
        <w:t>Хуауей</w:t>
      </w:r>
      <w:r w:rsidRPr="00CD60D1">
        <w:t>“, в който той хвали качествата на решенията, продавани от това дружество, в рамките на европейския проект  „Интелигентни селища“ (SMART VILLAGES);</w:t>
      </w:r>
    </w:p>
    <w:p w:rsidR="00937965" w:rsidRPr="00CD60D1" w:rsidP="00937965" w14:paraId="5A02515E" w14:textId="53BE3426">
      <w:pPr>
        <w:pStyle w:val="NormalHanging12a"/>
      </w:pPr>
      <w:bookmarkStart w:id="14" w:name="_Hlk223949297"/>
      <w:r w:rsidRPr="00CD60D1">
        <w:t>Г.</w:t>
      </w:r>
      <w:r w:rsidRPr="00CD60D1">
        <w:tab/>
      </w:r>
      <w:bookmarkStart w:id="15" w:name="_Hlk229557559"/>
      <w:r w:rsidRPr="00CD60D1">
        <w:t xml:space="preserve">като има предвид, че едва </w:t>
      </w:r>
      <w:r w:rsidR="00FC0834">
        <w:t xml:space="preserve">след като </w:t>
      </w:r>
      <w:r w:rsidRPr="00A215B6" w:rsidR="00FC0834">
        <w:t>федералн</w:t>
      </w:r>
      <w:r w:rsidR="00FC0834">
        <w:t>ият</w:t>
      </w:r>
      <w:r w:rsidRPr="00A215B6" w:rsidR="00FC0834">
        <w:t xml:space="preserve"> прокурор </w:t>
      </w:r>
      <w:r w:rsidR="00FC0834">
        <w:t>предоста</w:t>
      </w:r>
      <w:r w:rsidRPr="00A215B6" w:rsidR="00FC0834">
        <w:t>в</w:t>
      </w:r>
      <w:r w:rsidR="00FC0834">
        <w:t>и</w:t>
      </w:r>
      <w:r w:rsidRPr="00A215B6" w:rsidR="00FC0834">
        <w:t xml:space="preserve"> </w:t>
      </w:r>
      <w:r w:rsidRPr="00CD60D1">
        <w:t>допълнителна информация в отговор на писмено искане за допълнителна информация, се посочва, че действията, за които се твърди, че извършил</w:t>
      </w:r>
      <w:bookmarkEnd w:id="15"/>
      <w:r w:rsidRPr="00CD60D1">
        <w:t xml:space="preserve"> Салваторе Де </w:t>
      </w:r>
      <w:r w:rsidRPr="00CD60D1">
        <w:t>Мео</w:t>
      </w:r>
      <w:r w:rsidRPr="00CD60D1">
        <w:t>, може да съставляват пасивен подкуп на служебно лице — престъпление по член 246, параграф 1 от белгийския Наказателен кодекс;</w:t>
      </w:r>
    </w:p>
    <w:p w:rsidR="00937965" w:rsidRPr="00CD60D1" w:rsidP="00937965" w14:paraId="25F8611D" w14:textId="43AFADEB">
      <w:pPr>
        <w:pStyle w:val="NormalHanging12a"/>
      </w:pPr>
      <w:r w:rsidRPr="00CD60D1">
        <w:t>Д.</w:t>
      </w:r>
      <w:r w:rsidRPr="00CD60D1">
        <w:tab/>
        <w:t xml:space="preserve">като има предвид, че Салваторе Де </w:t>
      </w:r>
      <w:r w:rsidRPr="00CD60D1">
        <w:t>Мео</w:t>
      </w:r>
      <w:r w:rsidRPr="00CD60D1">
        <w:t xml:space="preserve"> е избран за член на Европейския парламент на изборите за Европейски парламент през юни 2024 г. и че </w:t>
      </w:r>
      <w:r w:rsidR="00FC0834">
        <w:t xml:space="preserve">следователно </w:t>
      </w:r>
      <w:r w:rsidRPr="00CD60D1">
        <w:t>по време на престъплението, което той е извършил според твърденията, той е бил член на Европейския парламент;</w:t>
      </w:r>
    </w:p>
    <w:p w:rsidR="00937965" w:rsidRPr="00CD60D1" w:rsidP="00937965" w14:paraId="44B25779" w14:textId="05F5933A">
      <w:pPr>
        <w:pStyle w:val="NormalHanging12a"/>
      </w:pPr>
      <w:r w:rsidRPr="00CD60D1">
        <w:t>Е.</w:t>
      </w:r>
      <w:r w:rsidRPr="00CD60D1">
        <w:tab/>
        <w:t>като има предвид, че Парламентът не може да се счита за съд и че съответният член на ЕП не може да се счита в контекста на процедура за снемане на имунитет за „обвиняем“</w:t>
      </w:r>
      <w:r>
        <w:rPr>
          <w:vertAlign w:val="superscript"/>
        </w:rPr>
        <w:footnoteReference w:id="3"/>
      </w:r>
      <w:r w:rsidRPr="00CD60D1">
        <w:t>;</w:t>
      </w:r>
    </w:p>
    <w:p w:rsidR="00937965" w:rsidRPr="00CD60D1" w:rsidP="00937965" w14:paraId="08D290CE" w14:textId="77777777">
      <w:pPr>
        <w:pStyle w:val="NormalHanging12a"/>
      </w:pPr>
      <w:r w:rsidRPr="00CD60D1">
        <w:t>Ж.</w:t>
      </w:r>
      <w:r w:rsidRPr="00CD60D1">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rsidR="00937965" w:rsidRPr="00CD60D1" w:rsidP="00937965" w14:paraId="1109EC21" w14:textId="455C410F">
      <w:pPr>
        <w:pStyle w:val="NormalHanging12a"/>
      </w:pPr>
      <w:r w:rsidRPr="00CD60D1">
        <w:t>З.</w:t>
      </w:r>
      <w:r w:rsidRPr="00CD60D1">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00FC0834">
        <w:t xml:space="preserve">отделния </w:t>
      </w:r>
      <w:r w:rsidRPr="00CD60D1">
        <w:t xml:space="preserve">член на ЕП, а </w:t>
      </w:r>
      <w:r w:rsidR="00FC0834">
        <w:t xml:space="preserve">представлява </w:t>
      </w:r>
      <w:r w:rsidRPr="00CD60D1">
        <w:t xml:space="preserve">гаранция за независимостта на </w:t>
      </w:r>
      <w:r w:rsidR="00FC0834">
        <w:t>П</w:t>
      </w:r>
      <w:r w:rsidRPr="00CD60D1">
        <w:t>арламент</w:t>
      </w:r>
      <w:r w:rsidR="00FC0834">
        <w:t>а</w:t>
      </w:r>
      <w:r w:rsidRPr="00CD60D1">
        <w:t xml:space="preserve"> като цяло и на неговите членове;</w:t>
      </w:r>
    </w:p>
    <w:p w:rsidR="00937965" w:rsidRPr="00CD60D1" w:rsidP="00937965" w14:paraId="44B477CB" w14:textId="77777777">
      <w:pPr>
        <w:pStyle w:val="NormalHanging12a"/>
      </w:pPr>
      <w:r w:rsidRPr="00CD60D1">
        <w:t>И.</w:t>
      </w:r>
      <w:r w:rsidRPr="00CD60D1">
        <w:tab/>
        <w:t>като има предвид, че член 8 от Протокол № 7 за привилегиите и имунитетите на Европейския съюз предвижда, че „членовете на Европейския парламент не могат да бъдат подлагани под каквато и да било форма на претърсване, задържане или съдебно производство във връзка с изразените от тях мнения или подадените от тях гласове при изпълнението на задълженията им“; като има предвид, че престъплението, което е извършено според твърденията, не се отнася до изразено мнение или подаден глас от Салваторе Де </w:t>
      </w:r>
      <w:r w:rsidRPr="00CD60D1">
        <w:t>Мео</w:t>
      </w:r>
      <w:r w:rsidRPr="00CD60D1">
        <w:t xml:space="preserve"> при изпълнението на неговите задължения по смисъла на член 8 от посочения протокол;</w:t>
      </w:r>
    </w:p>
    <w:p w:rsidR="00937965" w:rsidRPr="00CD60D1" w:rsidP="00937965" w14:paraId="5A647D5D" w14:textId="3CA212F8">
      <w:pPr>
        <w:pStyle w:val="NormalHanging12a"/>
      </w:pPr>
      <w:r w:rsidRPr="00CD60D1">
        <w:t>Й.</w:t>
      </w:r>
      <w:r w:rsidRPr="00CD60D1">
        <w:tab/>
        <w:t xml:space="preserve">като има предвид, че член 9, първа алинея, буква б) от Протокол № 7 за привилегиите и имунитетите на Европейския съюз предвижда, че </w:t>
      </w:r>
      <w:r w:rsidRPr="001C30E0" w:rsidR="00FC0834">
        <w:t xml:space="preserve">по време на сесиите на Европейския парламент неговите </w:t>
      </w:r>
      <w:r w:rsidRPr="00CD60D1">
        <w:t>членове притежават на територията на всяка друга държава членка освен тази, в която са избрани, имунитет от всякаква форма на задържане или съдебно производство;</w:t>
      </w:r>
    </w:p>
    <w:p w:rsidR="00937965" w:rsidRPr="00CD60D1" w:rsidP="00937965" w14:paraId="5C2A31B9" w14:textId="5B4698E6">
      <w:pPr>
        <w:pStyle w:val="NormalHanging12a"/>
      </w:pPr>
      <w:r w:rsidRPr="00CD60D1">
        <w:t>К.</w:t>
      </w:r>
      <w:r w:rsidRPr="00CD60D1">
        <w:tab/>
        <w:t>като има предвид, че всяко заключение относно имунитета на Салваторе Де </w:t>
      </w:r>
      <w:r w:rsidRPr="00CD60D1">
        <w:t>Мео</w:t>
      </w:r>
      <w:r w:rsidRPr="00CD60D1">
        <w:t xml:space="preserve"> трябва да бъде направено въз основа на искането за снемане на имунитета и въз </w:t>
      </w:r>
      <w:r w:rsidRPr="00CD60D1">
        <w:t>основа на информацията и обясненията, представени по разглеждания случай, включително отговорите, дадени от федералн</w:t>
      </w:r>
      <w:r w:rsidR="00FC0834">
        <w:t>ия</w:t>
      </w:r>
      <w:r w:rsidRPr="00CD60D1">
        <w:t xml:space="preserve"> прокурор – както по време на размяната на мнения, така и в допълнителната информация, предоставена в писмен вид; като има предвид, че е налице очевиден недостиг на конкретни елементи в искането за снемане на имунитета; като има предвид, че последвалата устна и писмена размяна на информация с федералн</w:t>
      </w:r>
      <w:r w:rsidR="00FC0834">
        <w:t>ия</w:t>
      </w:r>
      <w:r w:rsidRPr="00CD60D1">
        <w:t xml:space="preserve"> прокурор, макар да предостави информация относно някои допълнителни случаи на подозрения за предполагаеми нарушения, все още не беше достатъчна, за да се разсее значителната несигурност по отношение на искането за снемане на имунитета на Салваторе Де </w:t>
      </w:r>
      <w:r w:rsidRPr="00CD60D1">
        <w:t>Мео</w:t>
      </w:r>
      <w:r w:rsidRPr="00CD60D1">
        <w:t>;</w:t>
      </w:r>
    </w:p>
    <w:p w:rsidR="00937965" w:rsidRPr="00CD60D1" w:rsidP="00937965" w14:paraId="59C27759" w14:textId="77777777">
      <w:pPr>
        <w:pStyle w:val="NormalHanging12a"/>
      </w:pPr>
      <w:r w:rsidRPr="00CD60D1">
        <w:t>Л.</w:t>
      </w:r>
      <w:r w:rsidRPr="00CD60D1">
        <w:tab/>
        <w:t>като има предвид, че въз основа на гореизложеното съвкупността от представената информация не позволи на Парламента да формулира с увереност достатъчно информирано решение за снемане на имунитета на Салваторе Де </w:t>
      </w:r>
      <w:r w:rsidRPr="00CD60D1">
        <w:t>Мео</w:t>
      </w:r>
      <w:r w:rsidRPr="00CD60D1">
        <w:t xml:space="preserve">; като има предвид, че значителната несигурност по отношение на различните елементи по този случай освен това може да е от такова естество, че да показва наличието на </w:t>
      </w:r>
      <w:r w:rsidRPr="00CD60D1">
        <w:rPr>
          <w:i/>
        </w:rPr>
        <w:t>fumus</w:t>
      </w:r>
      <w:r w:rsidRPr="00CD60D1">
        <w:rPr>
          <w:i/>
        </w:rPr>
        <w:t xml:space="preserve"> </w:t>
      </w:r>
      <w:r w:rsidRPr="00CD60D1">
        <w:rPr>
          <w:i/>
        </w:rPr>
        <w:t>persecutionis</w:t>
      </w:r>
      <w:r w:rsidRPr="00CD60D1">
        <w:t>;</w:t>
      </w:r>
    </w:p>
    <w:bookmarkEnd w:id="14"/>
    <w:p w:rsidR="00937965" w:rsidRPr="00CD60D1" w:rsidP="00937965" w14:paraId="146975D0" w14:textId="77777777">
      <w:pPr>
        <w:pStyle w:val="NormalHanging12a"/>
      </w:pPr>
      <w:r w:rsidRPr="00CD60D1">
        <w:t>1.</w:t>
      </w:r>
      <w:r w:rsidRPr="00CD60D1">
        <w:tab/>
        <w:t>решава да не снеме имунитета на Салваторе Де </w:t>
      </w:r>
      <w:r w:rsidRPr="00CD60D1">
        <w:t>Мео</w:t>
      </w:r>
      <w:r w:rsidRPr="00CD60D1">
        <w:t>;</w:t>
      </w:r>
    </w:p>
    <w:p w:rsidR="00CD60D1" w:rsidRPr="00CD60D1" w:rsidP="00CD60D1" w14:paraId="2CD9764B" w14:textId="16E7ADD8">
      <w:pPr>
        <w:pStyle w:val="NormalHanging12a"/>
      </w:pPr>
      <w:r w:rsidRPr="00CD60D1">
        <w:t>2.</w:t>
      </w:r>
      <w:r w:rsidRPr="00CD60D1">
        <w:tab/>
        <w:t>възлага на своя председател незабавно да предаде настоящото решение и доклада на своята компетентна комисия съответно на компетентни</w:t>
      </w:r>
      <w:r w:rsidR="00406ECC">
        <w:t>я</w:t>
      </w:r>
      <w:r w:rsidRPr="00CD60D1">
        <w:t xml:space="preserve"> орган на Кралство Белгия и на Салваторе Де </w:t>
      </w:r>
      <w:r w:rsidRPr="00CD60D1">
        <w:t>Мео</w:t>
      </w:r>
      <w:r w:rsidRPr="00CD60D1">
        <w:t>.</w:t>
      </w:r>
    </w:p>
    <w:p w:rsidR="00E365E1" w:rsidRPr="00CD60D1" w:rsidP="00CD385F" w14:paraId="35C41C95" w14:textId="15EF4835"/>
    <w:sectPr w:rsidSect="00CD60D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60D1" w14:paraId="0A84D6E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60D1" w14:paraId="7D40C28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60D1" w14:paraId="6CD2E90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D385F" w:rsidRPr="00CD60D1" w14:paraId="500C14C0" w14:textId="77777777">
      <w:r w:rsidRPr="00CD60D1">
        <w:separator/>
      </w:r>
    </w:p>
  </w:footnote>
  <w:footnote w:type="continuationSeparator" w:id="1">
    <w:p w:rsidR="00CD385F" w:rsidRPr="00CD60D1" w14:paraId="5691EFBC" w14:textId="77777777">
      <w:r w:rsidRPr="00CD60D1">
        <w:continuationSeparator/>
      </w:r>
    </w:p>
  </w:footnote>
  <w:footnote w:id="2">
    <w:p w:rsidR="00937965" w:rsidRPr="00CD60D1" w:rsidP="00CD60D1" w14:paraId="518F3040" w14:textId="0293B120">
      <w:pPr>
        <w:pStyle w:val="FootnoteText"/>
        <w:ind w:left="567" w:hanging="567"/>
        <w:rPr>
          <w:sz w:val="24"/>
          <w:lang w:val="bg-BG"/>
        </w:rPr>
      </w:pPr>
      <w:r w:rsidRPr="00CD60D1">
        <w:rPr>
          <w:rStyle w:val="FootnoteReference"/>
          <w:sz w:val="24"/>
          <w:lang w:val="bg-BG"/>
        </w:rPr>
        <w:footnoteRef/>
      </w:r>
      <w:r w:rsidRPr="00CD60D1" w:rsidR="00CD60D1">
        <w:rPr>
          <w:sz w:val="24"/>
          <w:lang w:val="bg-BG"/>
        </w:rPr>
        <w:t xml:space="preserve"> </w:t>
      </w:r>
      <w:r w:rsidRPr="00CD60D1" w:rsidR="00CD60D1">
        <w:rPr>
          <w:sz w:val="24"/>
          <w:lang w:val="bg-BG"/>
        </w:rPr>
        <w:tab/>
      </w:r>
      <w:r w:rsidRPr="00CD60D1">
        <w:rPr>
          <w:sz w:val="24"/>
          <w:lang w:val="bg-BG"/>
        </w:rPr>
        <w:t xml:space="preserve">Решение на Съда на ЕС от 21 октомври 2008 г., </w:t>
      </w:r>
      <w:r w:rsidRPr="00CD60D1">
        <w:rPr>
          <w:i/>
          <w:iCs/>
          <w:sz w:val="24"/>
          <w:lang w:val="bg-BG"/>
        </w:rPr>
        <w:t>Marra</w:t>
      </w:r>
      <w:r w:rsidRPr="00CD60D1">
        <w:rPr>
          <w:i/>
          <w:iCs/>
          <w:sz w:val="24"/>
          <w:lang w:val="bg-BG"/>
        </w:rPr>
        <w:t xml:space="preserve">/De </w:t>
      </w:r>
      <w:r w:rsidRPr="00CD60D1">
        <w:rPr>
          <w:i/>
          <w:iCs/>
          <w:sz w:val="24"/>
          <w:lang w:val="bg-BG"/>
        </w:rPr>
        <w:t>Gregorio</w:t>
      </w:r>
      <w:r w:rsidRPr="00CD60D1">
        <w:rPr>
          <w:i/>
          <w:iCs/>
          <w:sz w:val="24"/>
          <w:lang w:val="bg-BG"/>
        </w:rPr>
        <w:t xml:space="preserve"> и </w:t>
      </w:r>
      <w:r w:rsidRPr="00CD60D1">
        <w:rPr>
          <w:i/>
          <w:iCs/>
          <w:sz w:val="24"/>
          <w:lang w:val="bg-BG"/>
        </w:rPr>
        <w:t>Clemente</w:t>
      </w:r>
      <w:r w:rsidRPr="00CD60D1">
        <w:rPr>
          <w:sz w:val="24"/>
          <w:lang w:val="bg-BG"/>
        </w:rPr>
        <w:t xml:space="preserve">, C-200/07 и C-201/07, ECLI:EU:C:2008:579; решение на Общия съд от 19 март 2010 г., </w:t>
      </w:r>
      <w:r w:rsidRPr="00CD60D1">
        <w:rPr>
          <w:i/>
          <w:iCs/>
          <w:sz w:val="24"/>
          <w:lang w:val="bg-BG"/>
        </w:rPr>
        <w:t>Gollnisch</w:t>
      </w:r>
      <w:r w:rsidRPr="00CD60D1">
        <w:rPr>
          <w:i/>
          <w:iCs/>
          <w:sz w:val="24"/>
          <w:lang w:val="bg-BG"/>
        </w:rPr>
        <w:t>/Парламент</w:t>
      </w:r>
      <w:r w:rsidRPr="00CD60D1">
        <w:rPr>
          <w:sz w:val="24"/>
          <w:lang w:val="bg-BG"/>
        </w:rPr>
        <w:t xml:space="preserve">, T-42/06, ECLI:EU:T:2010:102; решение на Съда от 6 септември 2011 г., </w:t>
      </w:r>
      <w:r w:rsidRPr="00CD60D1">
        <w:rPr>
          <w:i/>
          <w:iCs/>
          <w:sz w:val="24"/>
          <w:lang w:val="bg-BG"/>
        </w:rPr>
        <w:t>Patriciello</w:t>
      </w:r>
      <w:r w:rsidRPr="00CD60D1">
        <w:rPr>
          <w:sz w:val="24"/>
          <w:lang w:val="bg-BG"/>
        </w:rPr>
        <w:t xml:space="preserve">, C 163/10, ECLI: ЕС:C:2011:543; решение на Общия съд от 17 януари 2013 г., </w:t>
      </w:r>
      <w:r w:rsidRPr="00CD60D1">
        <w:rPr>
          <w:i/>
          <w:iCs/>
          <w:sz w:val="24"/>
          <w:lang w:val="bg-BG"/>
        </w:rPr>
        <w:t>Gollnisch</w:t>
      </w:r>
      <w:r w:rsidRPr="00CD60D1">
        <w:rPr>
          <w:i/>
          <w:iCs/>
          <w:sz w:val="24"/>
          <w:lang w:val="bg-BG"/>
        </w:rPr>
        <w:t>/Парламент</w:t>
      </w:r>
      <w:r w:rsidRPr="00CD60D1">
        <w:rPr>
          <w:sz w:val="24"/>
          <w:lang w:val="bg-BG"/>
        </w:rPr>
        <w:t xml:space="preserve">, T-346/11 и T-347/11, ECLI:EU:T:2013:23; решение на Съда от 19 декември 2019 г., </w:t>
      </w:r>
      <w:r w:rsidRPr="00CD60D1">
        <w:rPr>
          <w:i/>
          <w:iCs/>
          <w:sz w:val="24"/>
          <w:lang w:val="bg-BG"/>
        </w:rPr>
        <w:t>Junqueras</w:t>
      </w:r>
      <w:r w:rsidRPr="00CD60D1">
        <w:rPr>
          <w:i/>
          <w:iCs/>
          <w:sz w:val="24"/>
          <w:lang w:val="bg-BG"/>
        </w:rPr>
        <w:t xml:space="preserve"> </w:t>
      </w:r>
      <w:r w:rsidRPr="00CD60D1">
        <w:rPr>
          <w:i/>
          <w:iCs/>
          <w:sz w:val="24"/>
          <w:lang w:val="bg-BG"/>
        </w:rPr>
        <w:t>Vies</w:t>
      </w:r>
      <w:r w:rsidRPr="00CD60D1">
        <w:rPr>
          <w:sz w:val="24"/>
          <w:lang w:val="bg-BG"/>
        </w:rPr>
        <w:t>, C-502/19, ECLI:EU:C:2019:1115.</w:t>
      </w:r>
    </w:p>
  </w:footnote>
  <w:footnote w:id="3">
    <w:p w:rsidR="00937965" w:rsidRPr="00CD60D1" w:rsidP="00CD60D1" w14:paraId="7D3AF803" w14:textId="2958C291">
      <w:pPr>
        <w:pStyle w:val="FootnoteText"/>
        <w:ind w:left="567" w:hanging="567"/>
        <w:rPr>
          <w:sz w:val="24"/>
          <w:lang w:val="bg-BG"/>
        </w:rPr>
      </w:pPr>
      <w:r w:rsidRPr="00CD60D1">
        <w:rPr>
          <w:rStyle w:val="FootnoteReference"/>
          <w:sz w:val="24"/>
          <w:lang w:val="bg-BG"/>
        </w:rPr>
        <w:footnoteRef/>
      </w:r>
      <w:r w:rsidRPr="00CD60D1" w:rsidR="00CD60D1">
        <w:rPr>
          <w:sz w:val="24"/>
          <w:lang w:val="bg-BG"/>
        </w:rPr>
        <w:t xml:space="preserve"> </w:t>
      </w:r>
      <w:r w:rsidRPr="00CD60D1" w:rsidR="00CD60D1">
        <w:rPr>
          <w:sz w:val="24"/>
          <w:lang w:val="bg-BG"/>
        </w:rPr>
        <w:tab/>
      </w:r>
      <w:r w:rsidRPr="00CD60D1">
        <w:rPr>
          <w:sz w:val="24"/>
          <w:lang w:val="bg-BG"/>
        </w:rPr>
        <w:t xml:space="preserve">Решение на Общия съд от 30 април 2019 г., </w:t>
      </w:r>
      <w:r w:rsidRPr="00CD60D1">
        <w:rPr>
          <w:i/>
          <w:iCs/>
          <w:sz w:val="24"/>
          <w:lang w:val="bg-BG"/>
        </w:rPr>
        <w:t>Briois</w:t>
      </w:r>
      <w:r w:rsidRPr="00CD60D1">
        <w:rPr>
          <w:i/>
          <w:iCs/>
          <w:sz w:val="24"/>
          <w:lang w:val="bg-BG"/>
        </w:rPr>
        <w:t>/Парламент</w:t>
      </w:r>
      <w:r w:rsidRPr="00CD60D1">
        <w:rPr>
          <w:sz w:val="24"/>
          <w:lang w:val="bg-BG"/>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60D1" w14:paraId="616E8B4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60D1" w14:paraId="5CC9206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D60D1" w14:paraId="3BE2A61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9137083">
    <w:abstractNumId w:val="9"/>
  </w:num>
  <w:num w:numId="2" w16cid:durableId="103699830">
    <w:abstractNumId w:val="9"/>
  </w:num>
  <w:num w:numId="3" w16cid:durableId="236978751">
    <w:abstractNumId w:val="7"/>
  </w:num>
  <w:num w:numId="4" w16cid:durableId="382024874">
    <w:abstractNumId w:val="7"/>
  </w:num>
  <w:num w:numId="5" w16cid:durableId="2077850160">
    <w:abstractNumId w:val="6"/>
  </w:num>
  <w:num w:numId="6" w16cid:durableId="1474181882">
    <w:abstractNumId w:val="6"/>
  </w:num>
  <w:num w:numId="7" w16cid:durableId="2077118262">
    <w:abstractNumId w:val="5"/>
  </w:num>
  <w:num w:numId="8" w16cid:durableId="2113357416">
    <w:abstractNumId w:val="5"/>
  </w:num>
  <w:num w:numId="9" w16cid:durableId="571043535">
    <w:abstractNumId w:val="4"/>
  </w:num>
  <w:num w:numId="10" w16cid:durableId="878055080">
    <w:abstractNumId w:val="4"/>
  </w:num>
  <w:num w:numId="11" w16cid:durableId="1356081178">
    <w:abstractNumId w:val="8"/>
  </w:num>
  <w:num w:numId="12" w16cid:durableId="72969869">
    <w:abstractNumId w:val="8"/>
  </w:num>
  <w:num w:numId="13" w16cid:durableId="778184462">
    <w:abstractNumId w:val="3"/>
  </w:num>
  <w:num w:numId="14" w16cid:durableId="2129272171">
    <w:abstractNumId w:val="3"/>
  </w:num>
  <w:num w:numId="15" w16cid:durableId="1061713485">
    <w:abstractNumId w:val="2"/>
  </w:num>
  <w:num w:numId="16" w16cid:durableId="108359671">
    <w:abstractNumId w:val="2"/>
  </w:num>
  <w:num w:numId="17" w16cid:durableId="400830036">
    <w:abstractNumId w:val="1"/>
  </w:num>
  <w:num w:numId="18" w16cid:durableId="442304283">
    <w:abstractNumId w:val="1"/>
  </w:num>
  <w:num w:numId="19" w16cid:durableId="1796175717">
    <w:abstractNumId w:val="0"/>
  </w:num>
  <w:num w:numId="20" w16cid:durableId="2032492576">
    <w:abstractNumId w:val="0"/>
  </w:num>
  <w:num w:numId="21" w16cid:durableId="1700160844">
    <w:abstractNumId w:val="9"/>
  </w:num>
  <w:num w:numId="22" w16cid:durableId="749697349">
    <w:abstractNumId w:val="7"/>
  </w:num>
  <w:num w:numId="23" w16cid:durableId="1422678418">
    <w:abstractNumId w:val="6"/>
  </w:num>
  <w:num w:numId="24" w16cid:durableId="1742437639">
    <w:abstractNumId w:val="5"/>
  </w:num>
  <w:num w:numId="25" w16cid:durableId="920213591">
    <w:abstractNumId w:val="4"/>
  </w:num>
  <w:num w:numId="26" w16cid:durableId="1204714993">
    <w:abstractNumId w:val="8"/>
  </w:num>
  <w:num w:numId="27" w16cid:durableId="410471145">
    <w:abstractNumId w:val="3"/>
  </w:num>
  <w:num w:numId="28" w16cid:durableId="825896960">
    <w:abstractNumId w:val="2"/>
  </w:num>
  <w:num w:numId="29" w16cid:durableId="2073575172">
    <w:abstractNumId w:val="1"/>
  </w:num>
  <w:num w:numId="30" w16cid:durableId="404186829">
    <w:abstractNumId w:val="0"/>
  </w:num>
  <w:num w:numId="31" w16cid:durableId="675770879">
    <w:abstractNumId w:val="9"/>
  </w:num>
  <w:num w:numId="32" w16cid:durableId="1980766586">
    <w:abstractNumId w:val="7"/>
  </w:num>
  <w:num w:numId="33" w16cid:durableId="1809318309">
    <w:abstractNumId w:val="6"/>
  </w:num>
  <w:num w:numId="34" w16cid:durableId="1278637353">
    <w:abstractNumId w:val="5"/>
  </w:num>
  <w:num w:numId="35" w16cid:durableId="914441192">
    <w:abstractNumId w:val="4"/>
  </w:num>
  <w:num w:numId="36" w16cid:durableId="63995582">
    <w:abstractNumId w:val="8"/>
  </w:num>
  <w:num w:numId="37" w16cid:durableId="1549951368">
    <w:abstractNumId w:val="3"/>
  </w:num>
  <w:num w:numId="38" w16cid:durableId="656497666">
    <w:abstractNumId w:val="2"/>
  </w:num>
  <w:num w:numId="39" w16cid:durableId="386301620">
    <w:abstractNumId w:val="1"/>
  </w:num>
  <w:num w:numId="40" w16cid:durableId="1576090626">
    <w:abstractNumId w:val="0"/>
  </w:num>
  <w:num w:numId="41" w16cid:durableId="2004502969">
    <w:abstractNumId w:val="10"/>
  </w:num>
  <w:num w:numId="42" w16cid:durableId="2122188016">
    <w:abstractNumId w:val="10"/>
  </w:num>
  <w:num w:numId="43" w16cid:durableId="708146250">
    <w:abstractNumId w:val="10"/>
  </w:num>
  <w:num w:numId="44" w16cid:durableId="1194463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5F"/>
    <w:rsid w:val="00002272"/>
    <w:rsid w:val="00064002"/>
    <w:rsid w:val="000677B9"/>
    <w:rsid w:val="000831BA"/>
    <w:rsid w:val="000A42CC"/>
    <w:rsid w:val="000E7DD9"/>
    <w:rsid w:val="0010095E"/>
    <w:rsid w:val="00125B37"/>
    <w:rsid w:val="00187494"/>
    <w:rsid w:val="001C30E0"/>
    <w:rsid w:val="001F32AE"/>
    <w:rsid w:val="002767FF"/>
    <w:rsid w:val="002B18FE"/>
    <w:rsid w:val="002B5493"/>
    <w:rsid w:val="00343214"/>
    <w:rsid w:val="00361C00"/>
    <w:rsid w:val="0039109D"/>
    <w:rsid w:val="00395FA1"/>
    <w:rsid w:val="003E15D4"/>
    <w:rsid w:val="004041F7"/>
    <w:rsid w:val="00406ECC"/>
    <w:rsid w:val="00411CCE"/>
    <w:rsid w:val="0041666E"/>
    <w:rsid w:val="00421060"/>
    <w:rsid w:val="00471C19"/>
    <w:rsid w:val="00474379"/>
    <w:rsid w:val="004867E3"/>
    <w:rsid w:val="00494A28"/>
    <w:rsid w:val="004C0004"/>
    <w:rsid w:val="004C5D52"/>
    <w:rsid w:val="004F77F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A2C"/>
    <w:rsid w:val="00810A29"/>
    <w:rsid w:val="00817416"/>
    <w:rsid w:val="00842779"/>
    <w:rsid w:val="00865F67"/>
    <w:rsid w:val="00881A7B"/>
    <w:rsid w:val="008840E5"/>
    <w:rsid w:val="00887B3E"/>
    <w:rsid w:val="00894840"/>
    <w:rsid w:val="008C2AC6"/>
    <w:rsid w:val="00930C23"/>
    <w:rsid w:val="0093193B"/>
    <w:rsid w:val="00937965"/>
    <w:rsid w:val="009509D8"/>
    <w:rsid w:val="00950B64"/>
    <w:rsid w:val="00981893"/>
    <w:rsid w:val="00A1687D"/>
    <w:rsid w:val="00A215B6"/>
    <w:rsid w:val="00A43E52"/>
    <w:rsid w:val="00A4678D"/>
    <w:rsid w:val="00A778C7"/>
    <w:rsid w:val="00AB441E"/>
    <w:rsid w:val="00AB6293"/>
    <w:rsid w:val="00AE0928"/>
    <w:rsid w:val="00AF3B82"/>
    <w:rsid w:val="00B12E95"/>
    <w:rsid w:val="00B22876"/>
    <w:rsid w:val="00B558F0"/>
    <w:rsid w:val="00BA549D"/>
    <w:rsid w:val="00BD48FE"/>
    <w:rsid w:val="00BD7BD8"/>
    <w:rsid w:val="00BE6ADC"/>
    <w:rsid w:val="00C05BFE"/>
    <w:rsid w:val="00C23CD4"/>
    <w:rsid w:val="00C61C0C"/>
    <w:rsid w:val="00C941CB"/>
    <w:rsid w:val="00CC2357"/>
    <w:rsid w:val="00CC4AEE"/>
    <w:rsid w:val="00CD385F"/>
    <w:rsid w:val="00CD60D1"/>
    <w:rsid w:val="00CF071A"/>
    <w:rsid w:val="00D058B8"/>
    <w:rsid w:val="00D14871"/>
    <w:rsid w:val="00D56C11"/>
    <w:rsid w:val="00D834A0"/>
    <w:rsid w:val="00D872DF"/>
    <w:rsid w:val="00D91E21"/>
    <w:rsid w:val="00DA7FCD"/>
    <w:rsid w:val="00DE68E2"/>
    <w:rsid w:val="00E365E1"/>
    <w:rsid w:val="00E820A4"/>
    <w:rsid w:val="00EB006A"/>
    <w:rsid w:val="00EB4772"/>
    <w:rsid w:val="00EB47AB"/>
    <w:rsid w:val="00ED169E"/>
    <w:rsid w:val="00ED4235"/>
    <w:rsid w:val="00F04346"/>
    <w:rsid w:val="00F075DC"/>
    <w:rsid w:val="00F149E9"/>
    <w:rsid w:val="00F5134D"/>
    <w:rsid w:val="00F74202"/>
    <w:rsid w:val="00F87713"/>
    <w:rsid w:val="00FB4360"/>
    <w:rsid w:val="00FC0834"/>
    <w:rsid w:val="00FD0C70"/>
  </w:rsids>
  <w:docVars>
    <w:docVar w:name="dvdocse" w:val="A10-0153/2026"/>
    <w:docVar w:name="dvlangue" w:val="BG"/>
    <w:docVar w:name="dvnumam" w:val="0"/>
    <w:docVar w:name="dvpe" w:val="782.199"/>
    <w:docVar w:name="dvrapporteur" w:val="Докладчик: "/>
    <w:docVar w:name="dvtitre" w:val="Решение на Европейския парламент от ... 2026 г. относно искането за снемане на имунитета на Салваторе Де Мео(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1ACD03"/>
  <w15:chartTrackingRefBased/>
  <w15:docId w15:val="{4DC08A0C-5EFB-475A-ACA6-16FA2E0B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37965"/>
    <w:pPr>
      <w:spacing w:after="240"/>
      <w:ind w:left="567" w:hanging="567"/>
    </w:pPr>
  </w:style>
  <w:style w:type="paragraph" w:customStyle="1" w:styleId="EPComma">
    <w:name w:val="EPComma"/>
    <w:basedOn w:val="Normal"/>
    <w:rsid w:val="00937965"/>
    <w:pPr>
      <w:spacing w:before="480" w:after="240"/>
    </w:pPr>
  </w:style>
  <w:style w:type="paragraph" w:styleId="Revision">
    <w:name w:val="Revision"/>
    <w:hidden/>
    <w:uiPriority w:val="99"/>
    <w:semiHidden/>
    <w:rsid w:val="00DE68E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1372</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2026-06-16T11:32:00Z</dcterms:created>
  <dcterms:modified xsi:type="dcterms:W3CDTF">2026-06-16T11:32:00Z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A10-0153/2026</vt:lpwstr>
  </property>
  <property fmtid="{D5CDD505-2E9C-101B-9397-08002B2CF9AE}" pid="4" name="&lt;Type&gt;">
    <vt:lpwstr>RR</vt:lpwstr>
  </property>
</Properties>
</file>