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20BBE11" w14:textId="77777777" w:rsidTr="0010095E">
        <w:tblPrEx>
          <w:tblW w:w="9072" w:type="dxa"/>
          <w:tblLook w:val="01E0"/>
        </w:tblPrEx>
        <w:trPr>
          <w:trHeight w:hRule="exact" w:val="1418"/>
        </w:trPr>
        <w:tc>
          <w:tcPr>
            <w:tcW w:w="6804" w:type="dxa"/>
            <w:shd w:val="clear" w:color="auto" w:fill="auto"/>
            <w:vAlign w:val="center"/>
          </w:tcPr>
          <w:p w:rsidR="00751A4A" w:rsidRPr="00C92CE0" w:rsidP="0010095E" w14:paraId="1F4FCF97" w14:textId="6DCA5C7C">
            <w:pPr>
              <w:pStyle w:val="EPName"/>
            </w:pPr>
            <w:r w:rsidRPr="00C92CE0">
              <w:t>Europa-Parlamentet</w:t>
            </w:r>
          </w:p>
          <w:p w:rsidR="00751A4A" w:rsidRPr="00C92CE0" w:rsidP="005F1B17" w14:paraId="53DBA3CE" w14:textId="77777777">
            <w:pPr>
              <w:pStyle w:val="EPTerm"/>
              <w:rPr>
                <w:rStyle w:val="HideTWBExt"/>
                <w:noProof w:val="0"/>
                <w:vanish w:val="0"/>
                <w:color w:val="auto"/>
              </w:rPr>
            </w:pPr>
            <w:r w:rsidRPr="00C92CE0">
              <w:t>2024</w:t>
            </w:r>
            <w:r w:rsidRPr="00C92CE0" w:rsidR="00817416">
              <w:t>-202</w:t>
            </w:r>
            <w:r w:rsidRPr="00C92CE0">
              <w:t>9</w:t>
            </w:r>
          </w:p>
        </w:tc>
        <w:tc>
          <w:tcPr>
            <w:tcW w:w="2268" w:type="dxa"/>
            <w:shd w:val="clear" w:color="auto" w:fill="auto"/>
          </w:tcPr>
          <w:p w:rsidR="00751A4A" w:rsidRPr="00C92CE0" w:rsidP="0010095E" w14:paraId="2C27E869" w14:textId="77777777">
            <w:pPr>
              <w:pStyle w:val="EPLogo"/>
            </w:pPr>
            <w:r w:rsidRPr="00C92CE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92CE0" w:rsidP="004C5D52" w14:paraId="6787554F" w14:textId="77777777">
      <w:pPr>
        <w:pStyle w:val="LineTop"/>
      </w:pPr>
    </w:p>
    <w:p w:rsidR="00680577" w:rsidRPr="00C92CE0" w:rsidP="00680577" w14:paraId="4DE0AE4F" w14:textId="60F22339">
      <w:pPr>
        <w:pStyle w:val="EPBodyTA1"/>
      </w:pPr>
      <w:r w:rsidRPr="00C92CE0">
        <w:t>VEDTAGNE TEKSTER</w:t>
      </w:r>
    </w:p>
    <w:p w:rsidR="00D058B8" w:rsidRPr="00C92CE0" w:rsidP="00D058B8" w14:paraId="3F8BFB25" w14:textId="77777777">
      <w:pPr>
        <w:pStyle w:val="LineBottom"/>
      </w:pPr>
    </w:p>
    <w:p w:rsidR="001D415B" w:rsidRPr="00074C2E" w:rsidP="001D415B" w14:paraId="19587714" w14:textId="30CFBEFF">
      <w:pPr>
        <w:pStyle w:val="ATHeading1"/>
      </w:pPr>
      <w:bookmarkStart w:id="0" w:name="TANumber"/>
      <w:r w:rsidRPr="00074C2E">
        <w:t>P10_TA(2026)0</w:t>
      </w:r>
      <w:r w:rsidR="00EF4394">
        <w:t>193</w:t>
      </w:r>
      <w:bookmarkEnd w:id="0"/>
    </w:p>
    <w:p w:rsidR="001D415B" w:rsidRPr="00074C2E" w:rsidP="001D415B" w14:paraId="2B3BB288" w14:textId="77777777">
      <w:pPr>
        <w:pStyle w:val="ATHeading2"/>
      </w:pPr>
      <w:bookmarkStart w:id="1" w:name="title"/>
      <w:r w:rsidRPr="00074C2E">
        <w:t>Anmodning om ophævelse af Salvatore De </w:t>
      </w:r>
      <w:r w:rsidRPr="00074C2E">
        <w:t>Meos</w:t>
      </w:r>
      <w:r w:rsidRPr="00074C2E">
        <w:t xml:space="preserve"> immunitet</w:t>
      </w:r>
      <w:bookmarkEnd w:id="1"/>
    </w:p>
    <w:p w:rsidR="001D415B" w:rsidRPr="00C92CE0" w:rsidP="001D415B" w14:paraId="36638345" w14:textId="77777777">
      <w:pPr>
        <w:rPr>
          <w:i/>
          <w:vanish/>
        </w:rPr>
      </w:pPr>
      <w:r>
        <w:rPr>
          <w:i/>
        </w:rPr>
        <w:fldChar w:fldCharType="begin"/>
      </w:r>
      <w:r w:rsidRPr="00C92CE0">
        <w:rPr>
          <w:i/>
        </w:rPr>
        <w:instrText xml:space="preserve"> TC"(</w:instrText>
      </w:r>
      <w:bookmarkStart w:id="2" w:name="DocNumber"/>
      <w:r w:rsidRPr="00C92CE0">
        <w:rPr>
          <w:i/>
        </w:rPr>
        <w:instrText>A10-0153/2026</w:instrText>
      </w:r>
      <w:bookmarkEnd w:id="2"/>
      <w:r w:rsidRPr="00C92CE0">
        <w:rPr>
          <w:i/>
        </w:rPr>
        <w:instrText xml:space="preserve"> - Ordfører: Ilhan Kyuchyuk)"\l3 \n&gt; \* MERGEFORMAT </w:instrText>
      </w:r>
      <w:r>
        <w:rPr>
          <w:i/>
        </w:rPr>
        <w:fldChar w:fldCharType="end"/>
      </w:r>
    </w:p>
    <w:p w:rsidR="001D415B" w:rsidRPr="00C92CE0" w:rsidP="001D415B" w14:paraId="4799592B" w14:textId="77777777">
      <w:pPr>
        <w:rPr>
          <w:vanish/>
        </w:rPr>
      </w:pPr>
      <w:bookmarkStart w:id="3" w:name="Commission"/>
      <w:r w:rsidRPr="00C92CE0">
        <w:rPr>
          <w:vanish/>
        </w:rPr>
        <w:t>Retsudvalget</w:t>
      </w:r>
      <w:bookmarkEnd w:id="3"/>
    </w:p>
    <w:p w:rsidR="001D415B" w:rsidRPr="00C92CE0" w:rsidP="001D415B" w14:paraId="0DD01E30" w14:textId="77777777">
      <w:pPr>
        <w:rPr>
          <w:vanish/>
        </w:rPr>
      </w:pPr>
      <w:bookmarkStart w:id="4" w:name="PE"/>
      <w:r w:rsidRPr="00C92CE0">
        <w:rPr>
          <w:vanish/>
        </w:rPr>
        <w:t>PE782.199</w:t>
      </w:r>
      <w:bookmarkEnd w:id="4"/>
    </w:p>
    <w:p w:rsidR="001D415B" w:rsidRPr="00074C2E" w:rsidP="001D415B" w14:paraId="48D029B4" w14:textId="45A93C9C">
      <w:pPr>
        <w:pStyle w:val="ATHeading3"/>
      </w:pPr>
      <w:bookmarkStart w:id="5" w:name="Sujet"/>
      <w:r w:rsidRPr="00074C2E">
        <w:t xml:space="preserve">Europa-Parlamentets afgørelse af </w:t>
      </w:r>
      <w:r w:rsidRPr="00074C2E" w:rsidR="003A595D">
        <w:t>16</w:t>
      </w:r>
      <w:r w:rsidRPr="00074C2E">
        <w:t>. juni 2026 om anmodning om ophævelse af Salvatore De </w:t>
      </w:r>
      <w:r w:rsidRPr="00074C2E">
        <w:t>Meos</w:t>
      </w:r>
      <w:r w:rsidRPr="00074C2E">
        <w:t xml:space="preserve"> immunitet</w:t>
      </w:r>
      <w:bookmarkEnd w:id="5"/>
      <w:r w:rsidRPr="00074C2E">
        <w:t xml:space="preserve"> </w:t>
      </w:r>
      <w:bookmarkStart w:id="6" w:name="References"/>
      <w:r w:rsidRPr="00074C2E">
        <w:t>(2025/2098(IMM))</w:t>
      </w:r>
      <w:bookmarkEnd w:id="6"/>
    </w:p>
    <w:p w:rsidR="00AD4625" w:rsidRPr="00C92CE0" w:rsidP="00AD4625" w14:paraId="5CDAAD14" w14:textId="77777777">
      <w:pPr>
        <w:pStyle w:val="EPComma"/>
      </w:pPr>
      <w:bookmarkStart w:id="7" w:name="TextBodyBegin"/>
      <w:bookmarkEnd w:id="7"/>
      <w:r w:rsidRPr="00C92CE0">
        <w:rPr>
          <w:i/>
          <w:iCs/>
        </w:rPr>
        <w:t>Europa-Parlamentet</w:t>
      </w:r>
      <w:r w:rsidRPr="00C92CE0">
        <w:t>,</w:t>
      </w:r>
    </w:p>
    <w:p w:rsidR="00AD4625" w:rsidRPr="00C92CE0" w:rsidP="00AD4625" w14:paraId="4C2EBD32" w14:textId="4356931F">
      <w:pPr>
        <w:pStyle w:val="NormalHanging12a"/>
      </w:pPr>
      <w:r w:rsidRPr="00C92CE0">
        <w:t>–</w:t>
      </w:r>
      <w:r w:rsidRPr="00C92CE0">
        <w:tab/>
        <w:t xml:space="preserve">der henviser til anmodning om ophævelse af Salvatore De </w:t>
      </w:r>
      <w:r w:rsidRPr="00C92CE0">
        <w:t>Meos</w:t>
      </w:r>
      <w:r w:rsidRPr="00C92CE0">
        <w:t xml:space="preserve"> immunitet, der blev modtaget ved skrivelse af 6. maj 2025 fra den belgiske føderale offentlige tjeneste for udenrigsanliggender, udenrigshandel og udviklingssamarbejde, som fremsendte </w:t>
      </w:r>
      <w:r w:rsidRPr="00C92CE0" w:rsidR="003A104C">
        <w:t xml:space="preserve">en </w:t>
      </w:r>
      <w:r w:rsidRPr="00C92CE0">
        <w:t xml:space="preserve">anmodning af 16. april 2025 fra den belgiske føderale anklagemyndighed i forbindelse med en straffesag, der skal indledes imod Salvatore de </w:t>
      </w:r>
      <w:r w:rsidRPr="00C92CE0">
        <w:t>Meo</w:t>
      </w:r>
      <w:r w:rsidRPr="00C92CE0">
        <w:t xml:space="preserve">, og hvorom der blev givet meddelelse </w:t>
      </w:r>
      <w:r w:rsidRPr="00C92CE0" w:rsidR="003A104C">
        <w:t xml:space="preserve">på plenarmødet </w:t>
      </w:r>
      <w:r w:rsidRPr="00C92CE0">
        <w:t>den 21. maj 2025,</w:t>
      </w:r>
    </w:p>
    <w:p w:rsidR="00AD4625" w:rsidRPr="00C92CE0" w:rsidP="00AD4625" w14:paraId="381CF457" w14:textId="6B56DF34">
      <w:pPr>
        <w:pStyle w:val="NormalHanging12a"/>
        <w:rPr>
          <w:bCs/>
        </w:rPr>
      </w:pPr>
      <w:r w:rsidRPr="00C92CE0">
        <w:t>–</w:t>
      </w:r>
      <w:r w:rsidRPr="00C92CE0">
        <w:tab/>
      </w:r>
      <w:bookmarkStart w:id="8" w:name="_Hlk225077637"/>
      <w:r w:rsidRPr="00C92CE0">
        <w:t>der henviser til de supplerende oplysninger, som den føderale anklager og undersøgelsesdommeren fremlagde under en udveksling af synspunkter den 15. juli 2025, og det svar, der blev givet den 18. september 2025</w:t>
      </w:r>
      <w:r w:rsidRPr="00C92CE0" w:rsidR="003A104C">
        <w:t xml:space="preserve"> </w:t>
      </w:r>
      <w:r w:rsidRPr="00C92CE0" w:rsidR="003A595D">
        <w:t>af den føderale anklager</w:t>
      </w:r>
      <w:r w:rsidRPr="00C92CE0">
        <w:t xml:space="preserve"> efter en yderligere skriftlig anmodning om oplysninger; der henviser til, at en anmodning om ophævelse af et medlems immunitet </w:t>
      </w:r>
      <w:bookmarkStart w:id="9" w:name="_Hlk225077824"/>
      <w:r w:rsidRPr="00C92CE0">
        <w:t>skal opfylde visse</w:t>
      </w:r>
      <w:bookmarkEnd w:id="9"/>
      <w:r w:rsidRPr="00C92CE0">
        <w:t xml:space="preserve"> standarder, den skal navnlig være klart formuleret, herunder med hensyn til den retlige ramme, som anmodningen er baseret på, og den skal indeholde klare og tilstrækkelige elementer og oplysninger til, at Parlamentet kan behandle anmodningen med henblik på at nå frem til en konklusion og afslutte denne behandling så hurtigt som muligt, også under hensyntagen til sagens relative kompleksitet,</w:t>
      </w:r>
    </w:p>
    <w:bookmarkEnd w:id="8"/>
    <w:p w:rsidR="00AD4625" w:rsidRPr="00C92CE0" w:rsidP="00AD4625" w14:paraId="49D68AE4" w14:textId="77777777">
      <w:pPr>
        <w:pStyle w:val="NormalHanging12a"/>
      </w:pPr>
      <w:r w:rsidRPr="00C92CE0">
        <w:t>–</w:t>
      </w:r>
      <w:r w:rsidRPr="00C92CE0">
        <w:tab/>
        <w:t>der har hørt Salvatore De </w:t>
      </w:r>
      <w:r w:rsidRPr="00C92CE0">
        <w:t>Meo</w:t>
      </w:r>
      <w:r w:rsidRPr="00C92CE0">
        <w:t xml:space="preserve"> den 3. december 2025, jf. forretningsordenens artikel 9, stk. 6,</w:t>
      </w:r>
    </w:p>
    <w:p w:rsidR="00AD4625" w:rsidRPr="00C92CE0" w:rsidP="00AD4625" w14:paraId="469B2C23" w14:textId="77777777">
      <w:pPr>
        <w:pStyle w:val="NormalHanging12a"/>
      </w:pPr>
      <w:r w:rsidRPr="00C92CE0">
        <w:t>–</w:t>
      </w:r>
      <w:r w:rsidRPr="00C92CE0">
        <w:tab/>
        <w:t>der henviser til artikel 8 og 9 i protokol nr. 7 vedrørende Den Europæiske Unions privilegier og immuniteter samt artikel 6, stk. 2, i akten af 20. september 1976 om almindelige direkte valg af medlemmerne af Europa-Parlamentet,</w:t>
      </w:r>
    </w:p>
    <w:p w:rsidR="00AD4625" w:rsidRPr="00C92CE0" w:rsidP="00AD4625" w14:paraId="49F9165A" w14:textId="5ADFA884">
      <w:pPr>
        <w:pStyle w:val="NormalHanging12a"/>
      </w:pPr>
      <w:r w:rsidRPr="00C92CE0">
        <w:t>–</w:t>
      </w:r>
      <w:r w:rsidRPr="00C92CE0">
        <w:tab/>
        <w:t xml:space="preserve">der henviser til de domme, som </w:t>
      </w:r>
      <w:r w:rsidRPr="00C92CE0" w:rsidR="003A104C">
        <w:t>EU-</w:t>
      </w:r>
      <w:r w:rsidRPr="00C92CE0">
        <w:t>Domstol</w:t>
      </w:r>
      <w:r w:rsidRPr="00C92CE0" w:rsidR="003A104C">
        <w:t>en</w:t>
      </w:r>
      <w:r w:rsidRPr="00C92CE0">
        <w:t xml:space="preserve"> har afsagt den 21. oktober 2008, 19. </w:t>
      </w:r>
      <w:r w:rsidRPr="00C92CE0">
        <w:t>marts 2010, 6. september 2011, 17. januar 2013 og 19. december 2019</w:t>
      </w:r>
      <w:r>
        <w:rPr>
          <w:vertAlign w:val="superscript"/>
        </w:rPr>
        <w:footnoteReference w:id="2"/>
      </w:r>
      <w:r w:rsidRPr="00C92CE0">
        <w:t>,</w:t>
      </w:r>
    </w:p>
    <w:p w:rsidR="00AD4625" w:rsidRPr="00C92CE0" w:rsidP="00AD4625" w14:paraId="73DB5A27" w14:textId="77777777">
      <w:pPr>
        <w:pStyle w:val="NormalHanging12a"/>
      </w:pPr>
      <w:r w:rsidRPr="00C92CE0">
        <w:t>–</w:t>
      </w:r>
      <w:r w:rsidRPr="00C92CE0">
        <w:tab/>
        <w:t>der henviser til forretningsordenens artikel 5, stk. 2, artikel 6, stk. 1, og artikel 9,</w:t>
      </w:r>
    </w:p>
    <w:p w:rsidR="00AD4625" w:rsidRPr="00C92CE0" w:rsidP="00AD4625" w14:paraId="411E73BE" w14:textId="77777777">
      <w:pPr>
        <w:pStyle w:val="NormalHanging12a"/>
      </w:pPr>
      <w:r w:rsidRPr="00C92CE0">
        <w:t>–</w:t>
      </w:r>
      <w:r w:rsidRPr="00C92CE0">
        <w:tab/>
        <w:t>der henviser til betænkning fra Retsudvalget (A10-0153/2026),</w:t>
      </w:r>
    </w:p>
    <w:p w:rsidR="00AD4625" w:rsidRPr="00C92CE0" w:rsidP="00AD4625" w14:paraId="484B1751" w14:textId="69A96901">
      <w:pPr>
        <w:pStyle w:val="NormalHanging12a"/>
      </w:pPr>
      <w:r w:rsidRPr="00C92CE0">
        <w:t>A.</w:t>
      </w:r>
      <w:r w:rsidRPr="00C92CE0">
        <w:tab/>
      </w:r>
      <w:bookmarkStart w:id="10" w:name="_Hlk223949138"/>
      <w:r w:rsidRPr="00C92CE0">
        <w:t xml:space="preserve">der henviser til, at den </w:t>
      </w:r>
      <w:r w:rsidRPr="00C92CE0" w:rsidR="008A156C">
        <w:t>føderale offentlige tjeneste for udenrigsanliggender, udenrigshandel og udviklingssamarbejde den 6. maj 202</w:t>
      </w:r>
      <w:r w:rsidR="006239E1">
        <w:t>5</w:t>
      </w:r>
      <w:r w:rsidRPr="00C92CE0" w:rsidR="008A156C">
        <w:t xml:space="preserve"> fremsendte en anmodning fra den</w:t>
      </w:r>
      <w:r w:rsidRPr="00C92CE0">
        <w:t xml:space="preserve"> føderale anklager </w:t>
      </w:r>
      <w:bookmarkStart w:id="11" w:name="_Hlk210982066"/>
      <w:r w:rsidRPr="00C92CE0" w:rsidR="0075186A">
        <w:t xml:space="preserve">af </w:t>
      </w:r>
      <w:r w:rsidRPr="00C92CE0">
        <w:t>den 16. april 2025</w:t>
      </w:r>
      <w:bookmarkEnd w:id="11"/>
      <w:r w:rsidRPr="00C92CE0">
        <w:t xml:space="preserve"> om ophævelse af immuniteten for Salvatore De </w:t>
      </w:r>
      <w:r w:rsidRPr="00C92CE0">
        <w:t>Meo</w:t>
      </w:r>
      <w:r w:rsidRPr="00C92CE0">
        <w:t>, medlem af Europa-Parlamentet valgt i Italien, i forbindelse med en straffesag, der skal indledes imod ham;</w:t>
      </w:r>
      <w:bookmarkEnd w:id="10"/>
    </w:p>
    <w:p w:rsidR="00AD4625" w:rsidRPr="00C92CE0" w:rsidP="00AD4625" w14:paraId="03CA495C" w14:textId="113ADABE">
      <w:pPr>
        <w:pStyle w:val="NormalHanging12a"/>
      </w:pPr>
      <w:r w:rsidRPr="00C92CE0">
        <w:t>B.</w:t>
      </w:r>
      <w:r w:rsidRPr="00C92CE0">
        <w:tab/>
      </w:r>
      <w:bookmarkStart w:id="12" w:name="_Hlk228968475"/>
      <w:r w:rsidRPr="00C92CE0">
        <w:t xml:space="preserve">der henviser til, at en omfattende efterforskning vedrørende selskabet Huawei angiveligt frembragte alvorlige beviser for eksistensen af en kriminel organisation, hvis formål angiveligt var at påvirke EU-institutionernes beslutninger via korruption blandt medlemmer af Europa-Parlamentet; der henviser til, at denne efterforskning synes at have afsløret flere </w:t>
      </w:r>
      <w:r w:rsidRPr="00C92CE0" w:rsidR="00DF6DDD">
        <w:t xml:space="preserve">påståede </w:t>
      </w:r>
      <w:r w:rsidRPr="00C92CE0">
        <w:t xml:space="preserve">korruptionshandlinger, der formodes at være blevet begået regelmæssigt fra 2021 til 2024; der henviser til, at korruptionsmodellen angiveligt antog forskellige former, herunder indbydelse af medlemmer af Europa-Parlamentet til begivenheder, der </w:t>
      </w:r>
      <w:r w:rsidRPr="00C92CE0" w:rsidR="009B7566">
        <w:t xml:space="preserve">blev </w:t>
      </w:r>
      <w:r w:rsidRPr="00C92CE0">
        <w:t>støtte</w:t>
      </w:r>
      <w:r w:rsidRPr="00C92CE0" w:rsidR="009B7566">
        <w:t>t</w:t>
      </w:r>
      <w:r w:rsidRPr="00C92CE0">
        <w:t xml:space="preserve"> af Huawei, formodentlig til gengæld for at indtage politiske holdninger til fordel for dette selskab, og overdrevne gaver såsom forplejnings- og rejseudgifter eller regelmæssige indbydelser til fodboldkampe uden for Europa-Parlamentets rammer</w:t>
      </w:r>
      <w:bookmarkEnd w:id="12"/>
      <w:r w:rsidRPr="00C92CE0">
        <w:t>;</w:t>
      </w:r>
    </w:p>
    <w:p w:rsidR="00AD4625" w:rsidRPr="00C92CE0" w:rsidP="00AD4625" w14:paraId="026CF41D" w14:textId="24418509">
      <w:pPr>
        <w:pStyle w:val="NormalHanging12a"/>
      </w:pPr>
      <w:bookmarkStart w:id="13" w:name="_Hlk223949214"/>
      <w:r w:rsidRPr="00C92CE0">
        <w:t>C.</w:t>
      </w:r>
      <w:r w:rsidRPr="00C92CE0">
        <w:tab/>
        <w:t xml:space="preserve">der henviser til, at Salvatore De </w:t>
      </w:r>
      <w:r w:rsidRPr="00C92CE0">
        <w:t>Meo</w:t>
      </w:r>
      <w:r w:rsidRPr="00C92CE0">
        <w:t xml:space="preserve"> ifølge anmodningen om ophævelse af immuniteten blev indbudt til en middag, der fandt sted den 25. juni 2024 på en restaurant i Bruxelles og </w:t>
      </w:r>
      <w:r w:rsidRPr="00C92CE0" w:rsidR="002B6040">
        <w:t xml:space="preserve">angiveligt </w:t>
      </w:r>
      <w:r w:rsidRPr="00C92CE0">
        <w:t xml:space="preserve">var arrangeret af en repræsentant for Huawei og betalt af dette selskab, og at Salvatore De </w:t>
      </w:r>
      <w:r w:rsidRPr="00C92CE0">
        <w:t>Meo</w:t>
      </w:r>
      <w:r w:rsidRPr="00C92CE0">
        <w:t xml:space="preserve"> deltog i middagen sammen med syv andre personer; der henviser til, at </w:t>
      </w:r>
      <w:r w:rsidRPr="00C92CE0" w:rsidR="00842F98">
        <w:t xml:space="preserve">deltagerne </w:t>
      </w:r>
      <w:r w:rsidRPr="00C92CE0" w:rsidR="002B6040">
        <w:t xml:space="preserve">angiveligt </w:t>
      </w:r>
      <w:r w:rsidRPr="00C92CE0">
        <w:t xml:space="preserve">drøftede forskellige projekter i tilknytning til One Health Vision og Huawei under middagen; der henviser til, at Salvatore De </w:t>
      </w:r>
      <w:r w:rsidRPr="00C92CE0">
        <w:t>Meo</w:t>
      </w:r>
      <w:r w:rsidRPr="00C92CE0">
        <w:t xml:space="preserve"> ikke synes at have </w:t>
      </w:r>
      <w:r w:rsidRPr="00C92CE0" w:rsidR="002C3D59">
        <w:t xml:space="preserve">underrettet om </w:t>
      </w:r>
      <w:r w:rsidRPr="00C92CE0">
        <w:t xml:space="preserve"> accepten af betalingen af udgifterne til middagen – hvis nøjagtige beløb er ukendt for den myndighed, der har anmodet om ophævelse af immuniteten – til Europa-Parlamentet;</w:t>
      </w:r>
      <w:bookmarkEnd w:id="13"/>
      <w:r w:rsidRPr="00C92CE0">
        <w:t xml:space="preserve"> der henviser til, at Salvatore De </w:t>
      </w:r>
      <w:r w:rsidRPr="00C92CE0">
        <w:t>Meo</w:t>
      </w:r>
      <w:r w:rsidRPr="00C92CE0">
        <w:t xml:space="preserve"> ifølge de supplerende oplysninger fra den føderale anklager angiveligt også modtog en gave under</w:t>
      </w:r>
      <w:r w:rsidRPr="00C92CE0" w:rsidR="002B6040">
        <w:t xml:space="preserve"> denne</w:t>
      </w:r>
      <w:r w:rsidRPr="00C92CE0">
        <w:t xml:space="preserve"> middag; der henviser til, at Huawei ifølge de samme supplerende oplysninger angiveligt investerede midler i Salvatore De </w:t>
      </w:r>
      <w:r w:rsidRPr="00C92CE0">
        <w:t>Meos</w:t>
      </w:r>
      <w:r w:rsidRPr="00C92CE0">
        <w:t xml:space="preserve"> valgkreds til gengæld for, at han offentligt indtog positive holdninger til fordel for de teknologiske løsninger, som Huawei solgte; der henviser til, at Salvatore De </w:t>
      </w:r>
      <w:r w:rsidRPr="00C92CE0">
        <w:t>Meo</w:t>
      </w:r>
      <w:r w:rsidRPr="00C92CE0">
        <w:t xml:space="preserve"> også ifølge de supplerende oplysninger fra den føderale anklager optræder i en reklamevideo for Huawei, hvori han roser fordelene ved de løsninger, som dette selskab solgte som led i det europæiske "SMART VILLAGES" -projekt;</w:t>
      </w:r>
    </w:p>
    <w:p w:rsidR="00AD4625" w:rsidRPr="00C92CE0" w:rsidP="00AD4625" w14:paraId="28DDBE06" w14:textId="7412146D">
      <w:pPr>
        <w:pStyle w:val="NormalHanging12a"/>
      </w:pPr>
      <w:bookmarkStart w:id="14" w:name="_Hlk223949297"/>
      <w:r w:rsidRPr="00C92CE0">
        <w:t>D.</w:t>
      </w:r>
      <w:r w:rsidRPr="00C92CE0">
        <w:tab/>
      </w:r>
      <w:bookmarkStart w:id="15" w:name="_Hlk229557559"/>
      <w:r w:rsidRPr="00C92CE0">
        <w:t xml:space="preserve">der henviser til, at det først var </w:t>
      </w:r>
      <w:r w:rsidRPr="00C92CE0" w:rsidR="002B6040">
        <w:t>da</w:t>
      </w:r>
      <w:r w:rsidRPr="00C92CE0">
        <w:t xml:space="preserve"> den føderale anklager </w:t>
      </w:r>
      <w:bookmarkStart w:id="16" w:name="_Hlk232431469"/>
      <w:r w:rsidRPr="00C92CE0" w:rsidR="002B6040">
        <w:t xml:space="preserve">fremlagde supplerende oplysninger </w:t>
      </w:r>
      <w:bookmarkEnd w:id="16"/>
      <w:r w:rsidRPr="00C92CE0">
        <w:t xml:space="preserve">som svar på en skriftlig anmodning om yderligere oplysninger, at det blev </w:t>
      </w:r>
      <w:r w:rsidRPr="00C92CE0">
        <w:t xml:space="preserve">anført, at Salvatore De </w:t>
      </w:r>
      <w:r w:rsidRPr="00C92CE0">
        <w:t>Meos</w:t>
      </w:r>
      <w:r w:rsidRPr="00C92CE0">
        <w:t xml:space="preserve"> </w:t>
      </w:r>
      <w:r w:rsidRPr="00C92CE0" w:rsidR="0075186A">
        <w:t xml:space="preserve">påståede </w:t>
      </w:r>
      <w:r w:rsidRPr="00C92CE0">
        <w:t>handlinger</w:t>
      </w:r>
      <w:bookmarkEnd w:id="15"/>
      <w:r w:rsidRPr="00C92CE0">
        <w:t xml:space="preserve"> kunne udg</w:t>
      </w:r>
      <w:r w:rsidRPr="00C92CE0" w:rsidR="0075186A">
        <w:t xml:space="preserve">øre </w:t>
      </w:r>
      <w:r w:rsidRPr="00C92CE0">
        <w:t>passiv offentlig bestikkelse, som er en strafbar handling i henhold til artikel 246, stk. 1, i den belgiske straffelov;</w:t>
      </w:r>
    </w:p>
    <w:p w:rsidR="00AD4625" w:rsidRPr="00C92CE0" w:rsidP="00AD4625" w14:paraId="5DCFBC94" w14:textId="1C037C33">
      <w:pPr>
        <w:pStyle w:val="NormalHanging12a"/>
      </w:pPr>
      <w:r w:rsidRPr="00C92CE0">
        <w:t>E.</w:t>
      </w:r>
      <w:r w:rsidRPr="00C92CE0">
        <w:tab/>
        <w:t xml:space="preserve">der henviser til, at Salvatore De </w:t>
      </w:r>
      <w:r w:rsidRPr="00C92CE0">
        <w:t>Meo</w:t>
      </w:r>
      <w:r w:rsidRPr="00C92CE0">
        <w:t xml:space="preserve"> blev genvalgt til Europa-Parlamentet ved valget til Europa-Parlamentet i juni 2024 og </w:t>
      </w:r>
      <w:r w:rsidRPr="00C92CE0" w:rsidR="0075186A">
        <w:t>således</w:t>
      </w:r>
      <w:r w:rsidRPr="00C92CE0">
        <w:t xml:space="preserve"> var medlem af Europa-Parlamentet på tidspunktet for den </w:t>
      </w:r>
      <w:r w:rsidRPr="00C92CE0" w:rsidR="00F34FBB">
        <w:t xml:space="preserve">påståede </w:t>
      </w:r>
      <w:r w:rsidRPr="00C92CE0">
        <w:t>lovovertrædelse;</w:t>
      </w:r>
    </w:p>
    <w:p w:rsidR="00AD4625" w:rsidRPr="00C92CE0" w:rsidP="00AD4625" w14:paraId="058266CA" w14:textId="6E165CDF">
      <w:pPr>
        <w:pStyle w:val="NormalHanging12a"/>
      </w:pPr>
      <w:r w:rsidRPr="00C92CE0">
        <w:t>F.</w:t>
      </w:r>
      <w:r w:rsidRPr="00C92CE0">
        <w:tab/>
        <w:t>der henviser til, at Parlamentet ikke kan sidestilles med en domstol, og at medlemmet i forbindelse med en procedure om ophævelse af immunitet ikke kan betragtes som en anklaget</w:t>
      </w:r>
      <w:r>
        <w:rPr>
          <w:vertAlign w:val="superscript"/>
        </w:rPr>
        <w:footnoteReference w:id="3"/>
      </w:r>
      <w:r w:rsidRPr="00C92CE0">
        <w:t>;</w:t>
      </w:r>
    </w:p>
    <w:p w:rsidR="00AD4625" w:rsidRPr="00C92CE0" w:rsidP="00AD4625" w14:paraId="76AE11DF" w14:textId="77777777">
      <w:pPr>
        <w:pStyle w:val="NormalHanging12a"/>
      </w:pPr>
      <w:r w:rsidRPr="00C92CE0">
        <w:t>G.</w:t>
      </w:r>
      <w:r w:rsidRPr="00C92CE0">
        <w:tab/>
        <w:t>der henviser til, at formålet med den parlamentariske immunitet i protokol nr. 7 vedrørende Den Europæiske Unions privilegier og immuniteter er at beskytte Parlamentet og dets medlemmer mod retsforfølgning i relation til aktiviteter, der udføres under udøvelsen af det parlamentariske hverv, og som ikke kan adskilles fra dette hverv;</w:t>
      </w:r>
    </w:p>
    <w:p w:rsidR="00AD4625" w:rsidRPr="00C92CE0" w:rsidP="00AD4625" w14:paraId="0EF08496" w14:textId="77777777">
      <w:pPr>
        <w:pStyle w:val="NormalHanging12a"/>
      </w:pPr>
      <w:r w:rsidRPr="00C92CE0">
        <w:t>H.</w:t>
      </w:r>
      <w:r w:rsidRPr="00C92CE0">
        <w:tab/>
        <w:t>der henviser til, at parlamentarisk immunitet i henhold til forretningsordenens artikel 5, stk. 2, ikke er et medlems personlige privilegium, men derimod en garanti for Parlamentets uafhængighed som helhed og for dets medlemmers uafhængighed;</w:t>
      </w:r>
    </w:p>
    <w:p w:rsidR="00AD4625" w:rsidRPr="00C92CE0" w:rsidP="00AD4625" w14:paraId="3C1B299C" w14:textId="716E4BD5">
      <w:pPr>
        <w:pStyle w:val="NormalHanging12a"/>
      </w:pPr>
      <w:r w:rsidRPr="00C92CE0">
        <w:t>I.</w:t>
      </w:r>
      <w:r w:rsidRPr="00C92CE0">
        <w:tab/>
        <w:t xml:space="preserve">der henviser til, at Europa-Parlamentets medlemmer i henhold til artikel 8 i protokol nr. 7 vedrørende Den Europæiske Unions privilegier og immuniteter hverken kan eftersøges, tilbageholdes eller retsligt forfølges på grund af meningstilkendegivelser eller stemmeafgivelser under udøvelsen af deres hverv; der henviser til, at den </w:t>
      </w:r>
      <w:r w:rsidRPr="00C92CE0" w:rsidR="00F34FBB">
        <w:t xml:space="preserve">påståede </w:t>
      </w:r>
      <w:r w:rsidRPr="00C92CE0">
        <w:t xml:space="preserve">lovovertrædelse ikke vedrører en meningstilkendegivelse eller en stemmeafgivelse fra Salvatore De </w:t>
      </w:r>
      <w:r w:rsidRPr="00C92CE0">
        <w:t>Meo</w:t>
      </w:r>
      <w:r w:rsidRPr="00C92CE0">
        <w:t xml:space="preserve"> under udøvelsen af hans hverv, jf. nævnte protokol</w:t>
      </w:r>
      <w:r w:rsidRPr="00C92CE0" w:rsidR="00F34FBB">
        <w:t>s artikel 8</w:t>
      </w:r>
      <w:r w:rsidRPr="00C92CE0">
        <w:t>;</w:t>
      </w:r>
    </w:p>
    <w:p w:rsidR="00AD4625" w:rsidRPr="00C92CE0" w:rsidP="00AD4625" w14:paraId="79182B92" w14:textId="3DD7FF8E">
      <w:pPr>
        <w:pStyle w:val="NormalHanging12a"/>
      </w:pPr>
      <w:r w:rsidRPr="00C92CE0">
        <w:t>J.</w:t>
      </w:r>
      <w:r w:rsidRPr="00C92CE0">
        <w:tab/>
        <w:t>der henviser til, at Europa-Parlamentets medlemmer i henhold til artikel 9, stk. 1, litra b), i protokol nr. 7 vedrørende Den Europæiske Unions privilegier og immuniteter</w:t>
      </w:r>
      <w:r w:rsidRPr="00C92CE0" w:rsidR="00F951FB">
        <w:t xml:space="preserve"> </w:t>
      </w:r>
      <w:bookmarkStart w:id="17" w:name="_Hlk232432543"/>
      <w:r w:rsidRPr="00C92CE0" w:rsidR="00F951FB">
        <w:t>under Europa-Parlamentets mødeperioder</w:t>
      </w:r>
      <w:bookmarkEnd w:id="17"/>
      <w:r w:rsidRPr="00C92CE0">
        <w:t xml:space="preserve"> nyder fritagelse for enhver form for tilbageholdelse og retsforfølgning på en anden medlemsstats område;</w:t>
      </w:r>
    </w:p>
    <w:p w:rsidR="00AD4625" w:rsidRPr="00C92CE0" w:rsidP="00AD4625" w14:paraId="2F4C8171" w14:textId="4A42EBB4">
      <w:pPr>
        <w:pStyle w:val="NormalHanging12a"/>
      </w:pPr>
      <w:r w:rsidRPr="00C92CE0">
        <w:t>K.</w:t>
      </w:r>
      <w:r w:rsidRPr="00C92CE0">
        <w:tab/>
        <w:t>der henviser til, at enhver konklusion vedrørende Salvatore De </w:t>
      </w:r>
      <w:r w:rsidRPr="00C92CE0">
        <w:t>Meos</w:t>
      </w:r>
      <w:r w:rsidRPr="00C92CE0">
        <w:t xml:space="preserve"> immunitet skal drages på grundlag af anmodningen om ophævelse af immunitet og på grundlag af de oplysninger og forklaringer, der er givet i denne sag, herunder svarene fra den føderale anklager, både under udvekslingen af synspunkter og i de supplerende skriftlige oplysninger; der henviser til, at der er en åbenlys mangel på konkrete elementer i anmodningen om ophævelse af immuniteten; der henviser til, at de efterfølgende mundtlige og skriftlige udvekslinger med den føderale anklager, selv om de</w:t>
      </w:r>
      <w:r w:rsidRPr="00C92CE0" w:rsidR="007F7B44">
        <w:t>nne</w:t>
      </w:r>
      <w:r w:rsidRPr="00C92CE0">
        <w:t xml:space="preserve"> gav oplysninger om visse yderligere tilfælde af mistanke om </w:t>
      </w:r>
      <w:r w:rsidRPr="00C92CE0" w:rsidR="007F7B44">
        <w:t xml:space="preserve">påståede </w:t>
      </w:r>
      <w:r w:rsidRPr="00C92CE0">
        <w:t>forseelser, stadig ikke var tilstrækkelige til at fjerne den betydelige usikkerhed med hensyn til anmodningen om ophævelse af Salvatore De </w:t>
      </w:r>
      <w:r w:rsidRPr="00C92CE0">
        <w:t>Meos</w:t>
      </w:r>
      <w:r w:rsidRPr="00C92CE0">
        <w:t xml:space="preserve"> immunitet;</w:t>
      </w:r>
    </w:p>
    <w:p w:rsidR="00AD4625" w:rsidRPr="00C92CE0" w:rsidP="00AD4625" w14:paraId="250E9A34" w14:textId="77777777">
      <w:pPr>
        <w:pStyle w:val="NormalHanging12a"/>
      </w:pPr>
      <w:r w:rsidRPr="00C92CE0">
        <w:t>L.</w:t>
      </w:r>
      <w:r w:rsidRPr="00C92CE0">
        <w:tab/>
        <w:t>der henviser til, at summen af de fremlagte oplysninger på grundlag af det ovenstående ikke har gjort det muligt for Parlamentet med sikkerhed at nå frem til en tilstrækkeligt informeret afgørelse om at ophæve Salvatore De </w:t>
      </w:r>
      <w:r w:rsidRPr="00C92CE0">
        <w:t>Meos</w:t>
      </w:r>
      <w:r w:rsidRPr="00C92CE0">
        <w:t xml:space="preserve"> immunitet; der henviser til, at den betydelige usikkerhed med hensyn til de forskellige elementer i denne sag desuden </w:t>
      </w:r>
      <w:r w:rsidRPr="00C92CE0">
        <w:t xml:space="preserve">kan være af en sådan art, at den tyder på, at der foreligger </w:t>
      </w:r>
      <w:r w:rsidRPr="00C92CE0">
        <w:t>fumus</w:t>
      </w:r>
      <w:r w:rsidRPr="00C92CE0">
        <w:t xml:space="preserve"> </w:t>
      </w:r>
      <w:r w:rsidRPr="00C92CE0">
        <w:t>persecutionis</w:t>
      </w:r>
      <w:r w:rsidRPr="00C92CE0">
        <w:t>;</w:t>
      </w:r>
    </w:p>
    <w:bookmarkEnd w:id="14"/>
    <w:p w:rsidR="00AD4625" w:rsidRPr="00C92CE0" w:rsidP="00AD4625" w14:paraId="3C3E81AD" w14:textId="77777777">
      <w:pPr>
        <w:pStyle w:val="NormalHanging12a"/>
      </w:pPr>
      <w:r w:rsidRPr="00C92CE0">
        <w:t>1.</w:t>
      </w:r>
      <w:r w:rsidRPr="00C92CE0">
        <w:tab/>
        <w:t>vedtager ikke at ophæve Salvatore De </w:t>
      </w:r>
      <w:r w:rsidRPr="00C92CE0">
        <w:t>Meos</w:t>
      </w:r>
      <w:r w:rsidRPr="00C92CE0">
        <w:t xml:space="preserve"> immunitet;</w:t>
      </w:r>
    </w:p>
    <w:p w:rsidR="000D63C7" w:rsidRPr="00C92CE0" w:rsidP="000D63C7" w14:paraId="450199F2" w14:textId="66AC810B">
      <w:pPr>
        <w:pStyle w:val="NormalHanging12a"/>
      </w:pPr>
      <w:r w:rsidRPr="00C92CE0">
        <w:t>2.</w:t>
      </w:r>
      <w:r w:rsidRPr="00C92CE0">
        <w:tab/>
        <w:t>pålægger sin formand straks at sende denne afgørelse og det kompetente udvalgs betænkning til Kongeriget Belgiens kompetente myndighed og til Salvatore De </w:t>
      </w:r>
      <w:r w:rsidRPr="00C92CE0">
        <w:t>Meo</w:t>
      </w:r>
      <w:r w:rsidRPr="00C92CE0">
        <w:t>.</w:t>
      </w:r>
    </w:p>
    <w:p w:rsidR="00E365E1" w:rsidRPr="00C92CE0" w:rsidP="001D415B" w14:paraId="57CCA71C" w14:textId="1823713A"/>
    <w:sectPr w:rsidSect="000D63C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63C7" w14:paraId="0A877F8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63C7" w14:paraId="412D072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63C7" w14:paraId="391727E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D415B" w:rsidRPr="000D63C7" w14:paraId="265FB92F" w14:textId="77777777">
      <w:r w:rsidRPr="000D63C7">
        <w:separator/>
      </w:r>
    </w:p>
  </w:footnote>
  <w:footnote w:type="continuationSeparator" w:id="1">
    <w:p w:rsidR="001D415B" w:rsidRPr="000D63C7" w14:paraId="36C8B128" w14:textId="77777777">
      <w:r w:rsidRPr="000D63C7">
        <w:continuationSeparator/>
      </w:r>
    </w:p>
  </w:footnote>
  <w:footnote w:id="2">
    <w:p w:rsidR="00AD4625" w:rsidRPr="000D63C7" w:rsidP="000D63C7" w14:paraId="4A853C46" w14:textId="516F1270">
      <w:pPr>
        <w:pStyle w:val="FootnoteText"/>
        <w:ind w:left="567" w:hanging="567"/>
        <w:rPr>
          <w:sz w:val="24"/>
          <w:lang w:val="da-DK"/>
        </w:rPr>
      </w:pPr>
      <w:r w:rsidRPr="000D63C7">
        <w:rPr>
          <w:rStyle w:val="FootnoteReference"/>
          <w:sz w:val="24"/>
          <w:lang w:val="da-DK"/>
        </w:rPr>
        <w:footnoteRef/>
      </w:r>
      <w:r w:rsidRPr="000D63C7" w:rsidR="000D63C7">
        <w:rPr>
          <w:sz w:val="24"/>
          <w:lang w:val="da-DK"/>
        </w:rPr>
        <w:t xml:space="preserve"> </w:t>
      </w:r>
      <w:r w:rsidRPr="000D63C7" w:rsidR="000D63C7">
        <w:rPr>
          <w:sz w:val="24"/>
          <w:lang w:val="da-DK"/>
        </w:rPr>
        <w:tab/>
      </w:r>
      <w:r w:rsidRPr="000D63C7">
        <w:rPr>
          <w:sz w:val="24"/>
          <w:lang w:val="da-DK"/>
        </w:rPr>
        <w:t xml:space="preserve">Domstolens dom af 21.10.2008, </w:t>
      </w:r>
      <w:r w:rsidRPr="000D63C7">
        <w:rPr>
          <w:sz w:val="24"/>
          <w:lang w:val="da-DK"/>
        </w:rPr>
        <w:t>Marra</w:t>
      </w:r>
      <w:r w:rsidRPr="000D63C7">
        <w:rPr>
          <w:sz w:val="24"/>
          <w:lang w:val="da-DK"/>
        </w:rPr>
        <w:t xml:space="preserve"> mod De </w:t>
      </w:r>
      <w:r w:rsidRPr="000D63C7">
        <w:rPr>
          <w:sz w:val="24"/>
          <w:lang w:val="da-DK"/>
        </w:rPr>
        <w:t>Gregorio</w:t>
      </w:r>
      <w:r w:rsidRPr="000D63C7">
        <w:rPr>
          <w:sz w:val="24"/>
          <w:lang w:val="da-DK"/>
        </w:rPr>
        <w:t xml:space="preserve"> og </w:t>
      </w:r>
      <w:r w:rsidRPr="000D63C7">
        <w:rPr>
          <w:sz w:val="24"/>
          <w:lang w:val="da-DK"/>
        </w:rPr>
        <w:t>Clemente</w:t>
      </w:r>
      <w:r w:rsidRPr="000D63C7">
        <w:rPr>
          <w:sz w:val="24"/>
          <w:lang w:val="da-DK"/>
        </w:rPr>
        <w:t xml:space="preserve">, C-200/07 og C-201/07, ECLI:EU:C:2008:579, Rettens dom af 19.3.2010, </w:t>
      </w:r>
      <w:r w:rsidRPr="000D63C7">
        <w:rPr>
          <w:sz w:val="24"/>
          <w:lang w:val="da-DK"/>
        </w:rPr>
        <w:t>Gollnisch</w:t>
      </w:r>
      <w:r w:rsidRPr="000D63C7">
        <w:rPr>
          <w:sz w:val="24"/>
          <w:lang w:val="da-DK"/>
        </w:rPr>
        <w:t xml:space="preserve"> mod Parlamentet, T-42/06, ECLI:EU:T:2010:102, Domstolens dom af 6.9.2011, Patriciello, C-163/10, ECLI: EU:C:2011:543, Rettens dom af 17.1.2013, Gollnisch mod Parlamentet, T-346/11 og T-347/11, ECLI:EU:T:2013:23, og Domstolens dom af 19.12.2019, Junqueras Vies, C-502/19, ECLI:EU:C:2019:1115.</w:t>
      </w:r>
    </w:p>
  </w:footnote>
  <w:footnote w:id="3">
    <w:p w:rsidR="00AD4625" w:rsidRPr="000D63C7" w:rsidP="000D63C7" w14:paraId="746633AD" w14:textId="3D5B3B95">
      <w:pPr>
        <w:pStyle w:val="FootnoteText"/>
        <w:ind w:left="567" w:hanging="567"/>
        <w:rPr>
          <w:sz w:val="24"/>
          <w:lang w:val="da-DK"/>
        </w:rPr>
      </w:pPr>
      <w:r w:rsidRPr="000D63C7">
        <w:rPr>
          <w:rStyle w:val="FootnoteReference"/>
          <w:sz w:val="24"/>
          <w:lang w:val="da-DK"/>
        </w:rPr>
        <w:footnoteRef/>
      </w:r>
      <w:r w:rsidRPr="000D63C7" w:rsidR="000D63C7">
        <w:rPr>
          <w:sz w:val="24"/>
          <w:lang w:val="da-DK"/>
        </w:rPr>
        <w:t xml:space="preserve"> </w:t>
      </w:r>
      <w:r w:rsidRPr="000D63C7" w:rsidR="000D63C7">
        <w:rPr>
          <w:sz w:val="24"/>
          <w:lang w:val="da-DK"/>
        </w:rPr>
        <w:tab/>
      </w:r>
      <w:r w:rsidRPr="000D63C7">
        <w:rPr>
          <w:sz w:val="24"/>
          <w:lang w:val="da-DK"/>
        </w:rPr>
        <w:t>Rettens dom af 30.4.2019, Briois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63C7" w14:paraId="75FE45A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63C7" w14:paraId="19D614F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63C7" w14:paraId="5C4D55F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3586584">
    <w:abstractNumId w:val="9"/>
  </w:num>
  <w:num w:numId="2" w16cid:durableId="650253369">
    <w:abstractNumId w:val="9"/>
  </w:num>
  <w:num w:numId="3" w16cid:durableId="1732657561">
    <w:abstractNumId w:val="7"/>
  </w:num>
  <w:num w:numId="4" w16cid:durableId="2028094256">
    <w:abstractNumId w:val="7"/>
  </w:num>
  <w:num w:numId="5" w16cid:durableId="2065567356">
    <w:abstractNumId w:val="6"/>
  </w:num>
  <w:num w:numId="6" w16cid:durableId="1213273259">
    <w:abstractNumId w:val="6"/>
  </w:num>
  <w:num w:numId="7" w16cid:durableId="645859953">
    <w:abstractNumId w:val="5"/>
  </w:num>
  <w:num w:numId="8" w16cid:durableId="906645651">
    <w:abstractNumId w:val="5"/>
  </w:num>
  <w:num w:numId="9" w16cid:durableId="1028723012">
    <w:abstractNumId w:val="4"/>
  </w:num>
  <w:num w:numId="10" w16cid:durableId="4593932">
    <w:abstractNumId w:val="4"/>
  </w:num>
  <w:num w:numId="11" w16cid:durableId="264575521">
    <w:abstractNumId w:val="8"/>
  </w:num>
  <w:num w:numId="12" w16cid:durableId="575360283">
    <w:abstractNumId w:val="8"/>
  </w:num>
  <w:num w:numId="13" w16cid:durableId="1473710730">
    <w:abstractNumId w:val="3"/>
  </w:num>
  <w:num w:numId="14" w16cid:durableId="1007631938">
    <w:abstractNumId w:val="3"/>
  </w:num>
  <w:num w:numId="15" w16cid:durableId="2007391807">
    <w:abstractNumId w:val="2"/>
  </w:num>
  <w:num w:numId="16" w16cid:durableId="1031148746">
    <w:abstractNumId w:val="2"/>
  </w:num>
  <w:num w:numId="17" w16cid:durableId="502399461">
    <w:abstractNumId w:val="1"/>
  </w:num>
  <w:num w:numId="18" w16cid:durableId="949363232">
    <w:abstractNumId w:val="1"/>
  </w:num>
  <w:num w:numId="19" w16cid:durableId="1976063044">
    <w:abstractNumId w:val="0"/>
  </w:num>
  <w:num w:numId="20" w16cid:durableId="874078938">
    <w:abstractNumId w:val="0"/>
  </w:num>
  <w:num w:numId="21" w16cid:durableId="1713730165">
    <w:abstractNumId w:val="9"/>
  </w:num>
  <w:num w:numId="22" w16cid:durableId="862474205">
    <w:abstractNumId w:val="7"/>
  </w:num>
  <w:num w:numId="23" w16cid:durableId="1241064021">
    <w:abstractNumId w:val="6"/>
  </w:num>
  <w:num w:numId="24" w16cid:durableId="1616013762">
    <w:abstractNumId w:val="5"/>
  </w:num>
  <w:num w:numId="25" w16cid:durableId="1914578701">
    <w:abstractNumId w:val="4"/>
  </w:num>
  <w:num w:numId="26" w16cid:durableId="119346182">
    <w:abstractNumId w:val="8"/>
  </w:num>
  <w:num w:numId="27" w16cid:durableId="1386177104">
    <w:abstractNumId w:val="3"/>
  </w:num>
  <w:num w:numId="28" w16cid:durableId="1469858042">
    <w:abstractNumId w:val="2"/>
  </w:num>
  <w:num w:numId="29" w16cid:durableId="1061637166">
    <w:abstractNumId w:val="1"/>
  </w:num>
  <w:num w:numId="30" w16cid:durableId="1831484210">
    <w:abstractNumId w:val="0"/>
  </w:num>
  <w:num w:numId="31" w16cid:durableId="2039308238">
    <w:abstractNumId w:val="9"/>
  </w:num>
  <w:num w:numId="32" w16cid:durableId="652418796">
    <w:abstractNumId w:val="7"/>
  </w:num>
  <w:num w:numId="33" w16cid:durableId="1601454370">
    <w:abstractNumId w:val="6"/>
  </w:num>
  <w:num w:numId="34" w16cid:durableId="226380309">
    <w:abstractNumId w:val="5"/>
  </w:num>
  <w:num w:numId="35" w16cid:durableId="1809128193">
    <w:abstractNumId w:val="4"/>
  </w:num>
  <w:num w:numId="36" w16cid:durableId="585845582">
    <w:abstractNumId w:val="8"/>
  </w:num>
  <w:num w:numId="37" w16cid:durableId="1726446445">
    <w:abstractNumId w:val="3"/>
  </w:num>
  <w:num w:numId="38" w16cid:durableId="463498510">
    <w:abstractNumId w:val="2"/>
  </w:num>
  <w:num w:numId="39" w16cid:durableId="1360929888">
    <w:abstractNumId w:val="1"/>
  </w:num>
  <w:num w:numId="40" w16cid:durableId="1166820546">
    <w:abstractNumId w:val="0"/>
  </w:num>
  <w:num w:numId="41" w16cid:durableId="421217718">
    <w:abstractNumId w:val="10"/>
  </w:num>
  <w:num w:numId="42" w16cid:durableId="993728125">
    <w:abstractNumId w:val="10"/>
  </w:num>
  <w:num w:numId="43" w16cid:durableId="1304585063">
    <w:abstractNumId w:val="10"/>
  </w:num>
  <w:num w:numId="44" w16cid:durableId="961618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15B"/>
    <w:rsid w:val="00002272"/>
    <w:rsid w:val="00064002"/>
    <w:rsid w:val="000677B9"/>
    <w:rsid w:val="00074C2E"/>
    <w:rsid w:val="000831BA"/>
    <w:rsid w:val="000A42CC"/>
    <w:rsid w:val="000D63C7"/>
    <w:rsid w:val="000E7DD9"/>
    <w:rsid w:val="0010095E"/>
    <w:rsid w:val="00125B37"/>
    <w:rsid w:val="0013541A"/>
    <w:rsid w:val="00187494"/>
    <w:rsid w:val="001D415B"/>
    <w:rsid w:val="001F32AE"/>
    <w:rsid w:val="00211DAE"/>
    <w:rsid w:val="002767FF"/>
    <w:rsid w:val="002B18FE"/>
    <w:rsid w:val="002B4D0D"/>
    <w:rsid w:val="002B5493"/>
    <w:rsid w:val="002B6040"/>
    <w:rsid w:val="002B6EA5"/>
    <w:rsid w:val="002C3D59"/>
    <w:rsid w:val="00343214"/>
    <w:rsid w:val="00361C00"/>
    <w:rsid w:val="003935E0"/>
    <w:rsid w:val="00395FA1"/>
    <w:rsid w:val="003A104C"/>
    <w:rsid w:val="003A595D"/>
    <w:rsid w:val="003E15D4"/>
    <w:rsid w:val="00411CCE"/>
    <w:rsid w:val="0041666E"/>
    <w:rsid w:val="00421060"/>
    <w:rsid w:val="00471C19"/>
    <w:rsid w:val="004867E3"/>
    <w:rsid w:val="00494A28"/>
    <w:rsid w:val="004C0004"/>
    <w:rsid w:val="004C5D52"/>
    <w:rsid w:val="0050519A"/>
    <w:rsid w:val="005072A1"/>
    <w:rsid w:val="00514517"/>
    <w:rsid w:val="00545827"/>
    <w:rsid w:val="00545F6A"/>
    <w:rsid w:val="00560270"/>
    <w:rsid w:val="005C2568"/>
    <w:rsid w:val="005F1B17"/>
    <w:rsid w:val="006037C0"/>
    <w:rsid w:val="006239E1"/>
    <w:rsid w:val="00634995"/>
    <w:rsid w:val="006631B6"/>
    <w:rsid w:val="00680577"/>
    <w:rsid w:val="00694D99"/>
    <w:rsid w:val="006F74FA"/>
    <w:rsid w:val="00731ADD"/>
    <w:rsid w:val="00734777"/>
    <w:rsid w:val="00747932"/>
    <w:rsid w:val="0075186A"/>
    <w:rsid w:val="00751A4A"/>
    <w:rsid w:val="00756632"/>
    <w:rsid w:val="00762C74"/>
    <w:rsid w:val="00786EC0"/>
    <w:rsid w:val="007D1690"/>
    <w:rsid w:val="007E22AD"/>
    <w:rsid w:val="007F7B44"/>
    <w:rsid w:val="00817416"/>
    <w:rsid w:val="00842779"/>
    <w:rsid w:val="00842F98"/>
    <w:rsid w:val="00865F67"/>
    <w:rsid w:val="00881A7B"/>
    <w:rsid w:val="008840E5"/>
    <w:rsid w:val="00887B3E"/>
    <w:rsid w:val="008A156C"/>
    <w:rsid w:val="008C2AC6"/>
    <w:rsid w:val="00930C23"/>
    <w:rsid w:val="0093193B"/>
    <w:rsid w:val="009509D8"/>
    <w:rsid w:val="00950B64"/>
    <w:rsid w:val="00981893"/>
    <w:rsid w:val="009B7566"/>
    <w:rsid w:val="00A1687D"/>
    <w:rsid w:val="00A43E52"/>
    <w:rsid w:val="00A4678D"/>
    <w:rsid w:val="00A778C7"/>
    <w:rsid w:val="00A8720E"/>
    <w:rsid w:val="00AB441E"/>
    <w:rsid w:val="00AB6293"/>
    <w:rsid w:val="00AD4625"/>
    <w:rsid w:val="00AE0928"/>
    <w:rsid w:val="00AF3B82"/>
    <w:rsid w:val="00B12E95"/>
    <w:rsid w:val="00B22876"/>
    <w:rsid w:val="00B558F0"/>
    <w:rsid w:val="00BD48FE"/>
    <w:rsid w:val="00BD7BD8"/>
    <w:rsid w:val="00BE6ADC"/>
    <w:rsid w:val="00C05BFE"/>
    <w:rsid w:val="00C23CD4"/>
    <w:rsid w:val="00C61C0C"/>
    <w:rsid w:val="00C92CE0"/>
    <w:rsid w:val="00C941CB"/>
    <w:rsid w:val="00CC2357"/>
    <w:rsid w:val="00CF071A"/>
    <w:rsid w:val="00D058B8"/>
    <w:rsid w:val="00D56C11"/>
    <w:rsid w:val="00D834A0"/>
    <w:rsid w:val="00D842C5"/>
    <w:rsid w:val="00D872DF"/>
    <w:rsid w:val="00D91E21"/>
    <w:rsid w:val="00DA7FCD"/>
    <w:rsid w:val="00DF6DDD"/>
    <w:rsid w:val="00E365E1"/>
    <w:rsid w:val="00E820A4"/>
    <w:rsid w:val="00EB006A"/>
    <w:rsid w:val="00EB4772"/>
    <w:rsid w:val="00ED169E"/>
    <w:rsid w:val="00ED4235"/>
    <w:rsid w:val="00EF4394"/>
    <w:rsid w:val="00F04346"/>
    <w:rsid w:val="00F075DC"/>
    <w:rsid w:val="00F149E9"/>
    <w:rsid w:val="00F34FBB"/>
    <w:rsid w:val="00F5134D"/>
    <w:rsid w:val="00F74202"/>
    <w:rsid w:val="00F87713"/>
    <w:rsid w:val="00F951FB"/>
    <w:rsid w:val="00FB4360"/>
    <w:rsid w:val="00FD0C70"/>
  </w:rsids>
  <w:docVars>
    <w:docVar w:name="dvdocse" w:val="A10-0153/2026"/>
    <w:docVar w:name="dvlangue" w:val="DA"/>
    <w:docVar w:name="dvnumam" w:val="0"/>
    <w:docVar w:name="dvpe" w:val="782.199"/>
    <w:docVar w:name="dvrapporteur" w:val="Ordfører: "/>
    <w:docVar w:name="dvtitre" w:val="Europa-Parlamentets afgørelse af xx. juni 2026 om anmodning om ophævelse af Salvatore De Meos immunitet(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BE9A16A"/>
  <w15:chartTrackingRefBased/>
  <w15:docId w15:val="{97D9BE46-BFA3-426F-BDC6-DE00DD952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D4625"/>
    <w:pPr>
      <w:spacing w:after="240"/>
      <w:ind w:left="567" w:hanging="567"/>
    </w:pPr>
  </w:style>
  <w:style w:type="paragraph" w:customStyle="1" w:styleId="EPComma">
    <w:name w:val="EPComma"/>
    <w:basedOn w:val="Normal"/>
    <w:rsid w:val="00AD4625"/>
    <w:pPr>
      <w:spacing w:before="480" w:after="240"/>
    </w:pPr>
  </w:style>
  <w:style w:type="paragraph" w:styleId="Revision">
    <w:name w:val="Revision"/>
    <w:hidden/>
    <w:uiPriority w:val="99"/>
    <w:semiHidden/>
    <w:rsid w:val="003A595D"/>
    <w:rPr>
      <w:sz w:val="24"/>
      <w:lang w:val="da-DK"/>
    </w:rPr>
  </w:style>
  <w:style w:type="character" w:styleId="CommentReference">
    <w:name w:val="annotation reference"/>
    <w:basedOn w:val="DefaultParagraphFont"/>
    <w:rsid w:val="002B6040"/>
    <w:rPr>
      <w:sz w:val="16"/>
      <w:szCs w:val="16"/>
    </w:rPr>
  </w:style>
  <w:style w:type="paragraph" w:styleId="CommentText">
    <w:name w:val="annotation text"/>
    <w:basedOn w:val="Normal"/>
    <w:link w:val="CommentTextChar"/>
    <w:rsid w:val="002B6040"/>
    <w:rPr>
      <w:sz w:val="20"/>
    </w:rPr>
  </w:style>
  <w:style w:type="character" w:customStyle="1" w:styleId="CommentTextChar">
    <w:name w:val="Comment Text Char"/>
    <w:basedOn w:val="DefaultParagraphFont"/>
    <w:link w:val="CommentText"/>
    <w:rsid w:val="002B6040"/>
    <w:rPr>
      <w:lang w:val="da-DK"/>
    </w:rPr>
  </w:style>
  <w:style w:type="paragraph" w:styleId="CommentSubject">
    <w:name w:val="annotation subject"/>
    <w:basedOn w:val="CommentText"/>
    <w:next w:val="CommentText"/>
    <w:link w:val="CommentSubjectChar"/>
    <w:rsid w:val="002B6040"/>
    <w:rPr>
      <w:b/>
      <w:bCs/>
    </w:rPr>
  </w:style>
  <w:style w:type="character" w:customStyle="1" w:styleId="CommentSubjectChar">
    <w:name w:val="Comment Subject Char"/>
    <w:basedOn w:val="CommentTextChar"/>
    <w:link w:val="CommentSubject"/>
    <w:rsid w:val="002B6040"/>
    <w:rPr>
      <w:b/>
      <w:bCs/>
      <w:lang w:val="da-DK"/>
    </w:rPr>
  </w:style>
  <w:style w:type="character" w:styleId="Hyperlink">
    <w:name w:val="Hyperlink"/>
    <w:basedOn w:val="DefaultParagraphFont"/>
    <w:rsid w:val="002B4D0D"/>
    <w:rPr>
      <w:color w:val="0563C1" w:themeColor="hyperlink"/>
      <w:u w:val="single"/>
    </w:rPr>
  </w:style>
  <w:style w:type="character" w:styleId="UnresolvedMention">
    <w:name w:val="Unresolved Mention"/>
    <w:basedOn w:val="DefaultParagraphFont"/>
    <w:uiPriority w:val="99"/>
    <w:semiHidden/>
    <w:unhideWhenUsed/>
    <w:rsid w:val="002B4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1234</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2026-07-14T10:25:00Z</dcterms:created>
  <dcterms:modified xsi:type="dcterms:W3CDTF">2026-07-14T10:25:00Z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P10_TA-PROV(2026)0193_A10-0153_2026_</vt:lpwstr>
  </property>
  <property fmtid="{D5CDD505-2E9C-101B-9397-08002B2CF9AE}" pid="4" name="&lt;Type&gt;">
    <vt:lpwstr>RR</vt:lpwstr>
  </property>
</Properties>
</file>