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C3361A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B1655" w:rsidP="0010095E" w14:paraId="1B9D9677" w14:textId="20BA9E34">
            <w:pPr>
              <w:pStyle w:val="EPName"/>
            </w:pPr>
            <w:r w:rsidRPr="003B1655">
              <w:t>Parlament Europejski</w:t>
            </w:r>
          </w:p>
          <w:p w:rsidR="00751A4A" w:rsidRPr="003B1655" w:rsidP="005F1B17" w14:paraId="07A214A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1655">
              <w:t>2024</w:t>
            </w:r>
            <w:r w:rsidRPr="003B1655" w:rsidR="00817416">
              <w:t>-202</w:t>
            </w:r>
            <w:r w:rsidRPr="003B165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B1655" w:rsidP="0010095E" w14:paraId="6FFEC75E" w14:textId="77777777">
            <w:pPr>
              <w:pStyle w:val="EPLogo"/>
            </w:pPr>
            <w:r w:rsidRPr="003B165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B1655" w:rsidP="004C5D52" w14:paraId="7A360AEC" w14:textId="77777777">
      <w:pPr>
        <w:pStyle w:val="LineTop"/>
      </w:pPr>
    </w:p>
    <w:p w:rsidR="00680577" w:rsidRPr="003B1655" w:rsidP="00680577" w14:paraId="064DF5FA" w14:textId="5BA58B31">
      <w:pPr>
        <w:pStyle w:val="EPBodyTA1"/>
      </w:pPr>
      <w:r w:rsidRPr="003B1655">
        <w:t>TEKSTY PRZYJĘTE</w:t>
      </w:r>
    </w:p>
    <w:p w:rsidR="00D058B8" w:rsidRPr="003B1655" w:rsidP="00D058B8" w14:paraId="77E21D35" w14:textId="77777777">
      <w:pPr>
        <w:pStyle w:val="LineBottom"/>
      </w:pPr>
    </w:p>
    <w:p w:rsidR="00CF1593" w:rsidRPr="003B1655" w:rsidP="00CF1593" w14:paraId="5D0E9155" w14:textId="374AB049">
      <w:pPr>
        <w:pStyle w:val="ATHeading1"/>
      </w:pPr>
      <w:bookmarkStart w:id="0" w:name="TANumber"/>
      <w:r w:rsidRPr="003B1655">
        <w:t>P10_TA(2026)0</w:t>
      </w:r>
      <w:r w:rsidR="001B3BFF">
        <w:t>193</w:t>
      </w:r>
      <w:bookmarkEnd w:id="0"/>
    </w:p>
    <w:p w:rsidR="00CF1593" w:rsidRPr="003B1655" w:rsidP="00CF1593" w14:paraId="5B025F63" w14:textId="77777777">
      <w:pPr>
        <w:pStyle w:val="ATHeading2"/>
      </w:pPr>
      <w:bookmarkStart w:id="1" w:name="title"/>
      <w:r w:rsidRPr="003B1655">
        <w:t xml:space="preserve">Wniosek o uchylenie immunitetu </w:t>
      </w:r>
      <w:r w:rsidRPr="003B1655">
        <w:t>Salvatore</w:t>
      </w:r>
      <w:r w:rsidRPr="003B1655">
        <w:t xml:space="preserve"> De </w:t>
      </w:r>
      <w:r w:rsidRPr="003B1655">
        <w:t>Meo</w:t>
      </w:r>
      <w:bookmarkEnd w:id="1"/>
    </w:p>
    <w:p w:rsidR="00CF1593" w:rsidRPr="003B1655" w:rsidP="00CF1593" w14:paraId="7A2202CE" w14:textId="77777777">
      <w:pPr>
        <w:rPr>
          <w:i/>
          <w:vanish/>
        </w:rPr>
      </w:pPr>
      <w:r>
        <w:rPr>
          <w:i/>
        </w:rPr>
        <w:fldChar w:fldCharType="begin"/>
      </w:r>
      <w:r w:rsidRPr="003B1655">
        <w:rPr>
          <w:i/>
        </w:rPr>
        <w:instrText xml:space="preserve"> TC"(</w:instrText>
      </w:r>
      <w:bookmarkStart w:id="2" w:name="DocNumber"/>
      <w:r w:rsidRPr="003B1655">
        <w:rPr>
          <w:i/>
        </w:rPr>
        <w:instrText>A10-0153/2026</w:instrText>
      </w:r>
      <w:bookmarkEnd w:id="2"/>
      <w:r w:rsidRPr="003B1655">
        <w:rPr>
          <w:i/>
        </w:rPr>
        <w:instrText xml:space="preserve"> - Sprawozdawca: Ilhan Kyuchyuk)"\l3 \n&gt; \* MERGEFORMAT </w:instrText>
      </w:r>
      <w:r>
        <w:rPr>
          <w:i/>
        </w:rPr>
        <w:fldChar w:fldCharType="end"/>
      </w:r>
    </w:p>
    <w:p w:rsidR="00CF1593" w:rsidRPr="003B1655" w:rsidP="00CF1593" w14:paraId="7C9BA22E" w14:textId="77777777">
      <w:pPr>
        <w:rPr>
          <w:vanish/>
        </w:rPr>
      </w:pPr>
      <w:bookmarkStart w:id="3" w:name="Commission"/>
      <w:r w:rsidRPr="003B1655">
        <w:rPr>
          <w:vanish/>
        </w:rPr>
        <w:t>Komisja Prawna</w:t>
      </w:r>
      <w:bookmarkEnd w:id="3"/>
    </w:p>
    <w:p w:rsidR="00CF1593" w:rsidRPr="003B1655" w:rsidP="00CF1593" w14:paraId="58A2B788" w14:textId="77777777">
      <w:pPr>
        <w:rPr>
          <w:vanish/>
        </w:rPr>
      </w:pPr>
      <w:bookmarkStart w:id="4" w:name="PE"/>
      <w:r w:rsidRPr="003B1655">
        <w:rPr>
          <w:vanish/>
        </w:rPr>
        <w:t>PE782.199</w:t>
      </w:r>
      <w:bookmarkEnd w:id="4"/>
    </w:p>
    <w:p w:rsidR="00CF1593" w:rsidRPr="003B1655" w:rsidP="00CF1593" w14:paraId="78D7936B" w14:textId="7EE5FA08">
      <w:pPr>
        <w:pStyle w:val="ATHeading3"/>
      </w:pPr>
      <w:bookmarkStart w:id="5" w:name="Sujet"/>
      <w:r w:rsidRPr="003B1655">
        <w:t xml:space="preserve">Decyzja Parlamentu Europejskiego z dnia </w:t>
      </w:r>
      <w:r w:rsidR="003228A5">
        <w:t>16 czerwca</w:t>
      </w:r>
      <w:r w:rsidRPr="003B1655">
        <w:t xml:space="preserve"> 2026 r. w sprawie wniosku o uchylenie immunitetu </w:t>
      </w:r>
      <w:r w:rsidRPr="003B1655">
        <w:t>Salvatorego</w:t>
      </w:r>
      <w:r w:rsidRPr="003B1655">
        <w:t xml:space="preserve"> De </w:t>
      </w:r>
      <w:r w:rsidRPr="003B1655">
        <w:t>Meo</w:t>
      </w:r>
      <w:bookmarkEnd w:id="5"/>
      <w:r w:rsidRPr="003B1655">
        <w:t xml:space="preserve"> </w:t>
      </w:r>
      <w:bookmarkStart w:id="6" w:name="References"/>
      <w:r w:rsidRPr="003B1655">
        <w:t>(2025/2098(IMM))</w:t>
      </w:r>
      <w:bookmarkEnd w:id="6"/>
    </w:p>
    <w:p w:rsidR="001F75C0" w:rsidRPr="003B1655" w:rsidP="001F75C0" w14:paraId="4F823D5A" w14:textId="77777777">
      <w:pPr>
        <w:pStyle w:val="EPComma"/>
      </w:pPr>
      <w:bookmarkStart w:id="7" w:name="TextBodyBegin"/>
      <w:bookmarkEnd w:id="7"/>
      <w:r w:rsidRPr="003B1655">
        <w:rPr>
          <w:i/>
        </w:rPr>
        <w:t>Parlament Europejski</w:t>
      </w:r>
      <w:r w:rsidRPr="003B1655">
        <w:t>,</w:t>
      </w:r>
    </w:p>
    <w:p w:rsidR="001F75C0" w:rsidRPr="003B1655" w:rsidP="001F75C0" w14:paraId="52787724" w14:textId="4BACD248">
      <w:pPr>
        <w:pStyle w:val="NormalHanging12a"/>
      </w:pPr>
      <w:r w:rsidRPr="003B1655">
        <w:t>–</w:t>
      </w:r>
      <w:r w:rsidRPr="003B1655">
        <w:tab/>
        <w:t xml:space="preserve">uwzględniając wniosek o uchylenie immunitetu </w:t>
      </w:r>
      <w:r w:rsidRPr="003B1655">
        <w:t>Salvatorego</w:t>
      </w:r>
      <w:r w:rsidRPr="003B1655">
        <w:t xml:space="preserve"> De </w:t>
      </w:r>
      <w:r w:rsidRPr="003B1655">
        <w:t>Meo</w:t>
      </w:r>
      <w:r w:rsidRPr="003B1655">
        <w:t xml:space="preserve">, otrzymany pismem z </w:t>
      </w:r>
      <w:r w:rsidR="00CA0C49">
        <w:t xml:space="preserve">dnia </w:t>
      </w:r>
      <w:r w:rsidRPr="003B1655">
        <w:t xml:space="preserve">6 maja 2025 r. od belgijskiego ministerstwa federalnego spraw zagranicznych, handlu zagranicznego i współpracy na rzecz rozwoju, przekazującym wniosek belgijskiej prokuratury federalnej z </w:t>
      </w:r>
      <w:r w:rsidR="00CA0C49">
        <w:t xml:space="preserve">dnia </w:t>
      </w:r>
      <w:r w:rsidRPr="003B1655">
        <w:t xml:space="preserve">16 kwietnia 2025 r. w związku z postępowaniem karnym, które ma zostać wszczęte przeciwko niemu, ogłoszony w Parlamencie </w:t>
      </w:r>
      <w:r w:rsidR="00CA0C49">
        <w:t xml:space="preserve">dnia </w:t>
      </w:r>
      <w:r w:rsidRPr="003B1655">
        <w:t>21 maja 2025 r.,</w:t>
      </w:r>
    </w:p>
    <w:p w:rsidR="001F75C0" w:rsidRPr="003B1655" w:rsidP="001F75C0" w14:paraId="727F8AEC" w14:textId="2431E742">
      <w:pPr>
        <w:pStyle w:val="NormalHanging12a"/>
        <w:rPr>
          <w:bCs/>
        </w:rPr>
      </w:pPr>
      <w:r w:rsidRPr="003B1655">
        <w:t>–</w:t>
      </w:r>
      <w:r w:rsidRPr="003B1655">
        <w:tab/>
      </w:r>
      <w:bookmarkStart w:id="8" w:name="_Hlk225077637"/>
      <w:r w:rsidRPr="003B1655">
        <w:t xml:space="preserve">uwzględniając dodatkowe informacje przekazane przez prokuratora federalnego i sędziego śledczego podczas wymiany poglądów z </w:t>
      </w:r>
      <w:r w:rsidR="00CA0C49">
        <w:t xml:space="preserve">dnia </w:t>
      </w:r>
      <w:r w:rsidRPr="003B1655">
        <w:t>15 lipca 2025 r. oraz odpowiedź udzieloną</w:t>
      </w:r>
      <w:r w:rsidR="00CA0C49">
        <w:t xml:space="preserve"> przez prokuratora federalnego</w:t>
      </w:r>
      <w:r w:rsidRPr="003B1655">
        <w:t xml:space="preserve"> </w:t>
      </w:r>
      <w:r w:rsidR="00CA0C49">
        <w:t xml:space="preserve">dnia </w:t>
      </w:r>
      <w:r w:rsidRPr="003B1655">
        <w:t>18 września 2025 r. w następstwie kolejnego pisemnego wniosku o udzielenie informacji</w:t>
      </w:r>
      <w:r w:rsidR="00B72AD3">
        <w:t>;</w:t>
      </w:r>
      <w:r w:rsidRPr="003B1655">
        <w:t xml:space="preserve"> uwzględniając fakt, że wniosek o uchylenie immunitetu posła </w:t>
      </w:r>
      <w:bookmarkStart w:id="9" w:name="_Hlk225077824"/>
      <w:r w:rsidRPr="003B1655">
        <w:t>powinien spełniać określone</w:t>
      </w:r>
      <w:bookmarkEnd w:id="9"/>
      <w:r w:rsidRPr="003B1655">
        <w:t xml:space="preserve"> standardy, w szczególności powinien być sformułowany jasno, w tym w odniesieniu do ram prawnych, na których się opiera, oraz powinien zawierać jasne i wystarczające elementy i informacje, aby Parlament był w stanie rozpatrzyć wniosek w celu podjęcia decyzji i to możliwie szybko, mając również na uwadze względną złożoność sprawy,</w:t>
      </w:r>
    </w:p>
    <w:bookmarkEnd w:id="8"/>
    <w:p w:rsidR="001F75C0" w:rsidRPr="003B1655" w:rsidP="001F75C0" w14:paraId="220180B0" w14:textId="2E57CC5A">
      <w:pPr>
        <w:pStyle w:val="NormalHanging12a"/>
      </w:pPr>
      <w:r w:rsidRPr="003B1655">
        <w:t>–</w:t>
      </w:r>
      <w:r w:rsidRPr="003B1655">
        <w:tab/>
        <w:t xml:space="preserve">po wysłuchaniu </w:t>
      </w:r>
      <w:r w:rsidR="00B72AD3">
        <w:t xml:space="preserve">wyjaśnień </w:t>
      </w:r>
      <w:r w:rsidRPr="003B1655">
        <w:t>Salvatorego</w:t>
      </w:r>
      <w:r w:rsidRPr="003B1655">
        <w:t xml:space="preserve"> De </w:t>
      </w:r>
      <w:r w:rsidRPr="003B1655">
        <w:t>Meo</w:t>
      </w:r>
      <w:r w:rsidRPr="003B1655">
        <w:t xml:space="preserve"> </w:t>
      </w:r>
      <w:r w:rsidR="00B72AD3">
        <w:t xml:space="preserve">w dniu </w:t>
      </w:r>
      <w:r w:rsidRPr="003B1655">
        <w:t>3 grudnia 2025 r., zgodnie z art. 9 ust. 6 Regulaminu,</w:t>
      </w:r>
    </w:p>
    <w:p w:rsidR="001F75C0" w:rsidRPr="003B1655" w:rsidP="001F75C0" w14:paraId="2EB2AAA4" w14:textId="079C9F4D">
      <w:pPr>
        <w:pStyle w:val="NormalHanging12a"/>
      </w:pPr>
      <w:r w:rsidRPr="003B1655">
        <w:t>–</w:t>
      </w:r>
      <w:r w:rsidRPr="003B1655">
        <w:tab/>
        <w:t xml:space="preserve">uwzględniając art. 8 i 9 Protokołu nr 7 w sprawie przywilejów i immunitetów Unii Europejskiej, jak również art. 6 ust. 2 aktu dotyczącego </w:t>
      </w:r>
      <w:r w:rsidR="00B777EC">
        <w:t xml:space="preserve">wyboru członków </w:t>
      </w:r>
      <w:r w:rsidRPr="003B1655">
        <w:t>Parlamentu Europejskiego w powszechnych wyborach bezpośrednich</w:t>
      </w:r>
      <w:r w:rsidRPr="00B777EC" w:rsidR="00B777EC">
        <w:t xml:space="preserve"> </w:t>
      </w:r>
      <w:r w:rsidRPr="003B1655" w:rsidR="00B777EC">
        <w:t xml:space="preserve">z </w:t>
      </w:r>
      <w:r w:rsidR="00B777EC">
        <w:t xml:space="preserve">dnia </w:t>
      </w:r>
      <w:r w:rsidRPr="003B1655" w:rsidR="00B777EC">
        <w:t>20 września 1976 r.</w:t>
      </w:r>
      <w:r w:rsidRPr="003B1655">
        <w:t>,</w:t>
      </w:r>
    </w:p>
    <w:p w:rsidR="001F75C0" w:rsidRPr="003B1655" w:rsidP="001F75C0" w14:paraId="17493317" w14:textId="026A3B17">
      <w:pPr>
        <w:pStyle w:val="NormalHanging12a"/>
      </w:pPr>
      <w:r w:rsidRPr="003B1655">
        <w:t>–</w:t>
      </w:r>
      <w:r w:rsidRPr="003B1655">
        <w:tab/>
        <w:t xml:space="preserve">uwzględniając wyroki wydane przez Trybunał Sprawiedliwości Unii Europejskiej </w:t>
      </w:r>
      <w:r w:rsidR="00B777EC">
        <w:t xml:space="preserve">w dniach </w:t>
      </w:r>
      <w:r w:rsidRPr="003B1655">
        <w:t xml:space="preserve">21 października 2008 r., 19 marca 2010 r., 6 września 2011 r., 17 stycznia 2013 </w:t>
      </w:r>
      <w:r w:rsidRPr="003B1655">
        <w:t>r. i 19 grudnia 2019 r.</w:t>
      </w:r>
      <w:r>
        <w:rPr>
          <w:vertAlign w:val="superscript"/>
        </w:rPr>
        <w:footnoteReference w:id="2"/>
      </w:r>
      <w:r w:rsidRPr="003B1655">
        <w:t>,</w:t>
      </w:r>
    </w:p>
    <w:p w:rsidR="001F75C0" w:rsidRPr="003B1655" w:rsidP="001F75C0" w14:paraId="6E39C734" w14:textId="77777777">
      <w:pPr>
        <w:pStyle w:val="NormalHanging12a"/>
      </w:pPr>
      <w:r w:rsidRPr="003B1655">
        <w:t>–</w:t>
      </w:r>
      <w:r w:rsidRPr="003B1655">
        <w:tab/>
        <w:t>uwzględniając art. 5 ust. 2, art. 6 ust. 1 oraz art. 9 Regulaminu,</w:t>
      </w:r>
    </w:p>
    <w:p w:rsidR="001F75C0" w:rsidRPr="003B1655" w:rsidP="001F75C0" w14:paraId="399C0B87" w14:textId="77777777">
      <w:pPr>
        <w:pStyle w:val="NormalHanging12a"/>
      </w:pPr>
      <w:r w:rsidRPr="003B1655">
        <w:t>–</w:t>
      </w:r>
      <w:r w:rsidRPr="003B1655">
        <w:tab/>
        <w:t>uwzględniając sprawozdanie Komisji Prawnej (A10-0153/2026),</w:t>
      </w:r>
    </w:p>
    <w:p w:rsidR="001F75C0" w:rsidRPr="003B1655" w:rsidP="001F75C0" w14:paraId="32731AC7" w14:textId="32DE056F">
      <w:pPr>
        <w:pStyle w:val="NormalHanging12a"/>
      </w:pPr>
      <w:r w:rsidRPr="003B1655">
        <w:t>A.</w:t>
      </w:r>
      <w:r w:rsidRPr="003B1655">
        <w:tab/>
      </w:r>
      <w:bookmarkStart w:id="10" w:name="_Hlk210982066"/>
      <w:bookmarkStart w:id="11" w:name="_Hlk223949138"/>
      <w:bookmarkEnd w:id="10"/>
      <w:r w:rsidRPr="003B1655">
        <w:t xml:space="preserve">mając na uwadze, że </w:t>
      </w:r>
      <w:r w:rsidR="00B777EC">
        <w:t xml:space="preserve">dnia 6 maja 2025 r. </w:t>
      </w:r>
      <w:r w:rsidRPr="003B1655" w:rsidR="00B777EC">
        <w:t>ministerstw</w:t>
      </w:r>
      <w:r w:rsidR="00B777EC">
        <w:t>o</w:t>
      </w:r>
      <w:r w:rsidRPr="003B1655" w:rsidR="00B777EC">
        <w:t xml:space="preserve"> federalne spraw zagranicznych, handlu zagranicznego i współpracy na rzecz rozwoju</w:t>
      </w:r>
      <w:r w:rsidR="00B777EC">
        <w:t xml:space="preserve"> przekazało</w:t>
      </w:r>
      <w:r w:rsidRPr="003B1655" w:rsidR="00B777EC">
        <w:t xml:space="preserve"> wniosek </w:t>
      </w:r>
      <w:r w:rsidR="00B777EC">
        <w:t xml:space="preserve">prokuratora federalnego z dnia </w:t>
      </w:r>
      <w:r w:rsidRPr="003B1655">
        <w:t xml:space="preserve">16 kwietnia 2025 r. o uchylenie immunitetu </w:t>
      </w:r>
      <w:r w:rsidRPr="003B1655">
        <w:t>Salvatorego</w:t>
      </w:r>
      <w:r w:rsidRPr="003B1655">
        <w:t xml:space="preserve"> De </w:t>
      </w:r>
      <w:r w:rsidRPr="003B1655">
        <w:t>Meo</w:t>
      </w:r>
      <w:r w:rsidRPr="003B1655">
        <w:t>, posła do Parlamentu Europejskiego wybranego we Włoszech, w związku z postępowaniem karnym, które ma zostać przeciwko niemu wszczęte;</w:t>
      </w:r>
      <w:bookmarkEnd w:id="11"/>
    </w:p>
    <w:p w:rsidR="001F75C0" w:rsidRPr="003B1655" w:rsidP="001F75C0" w14:paraId="04D70AE1" w14:textId="15AC25B4">
      <w:pPr>
        <w:pStyle w:val="NormalHanging12a"/>
      </w:pPr>
      <w:r w:rsidRPr="003B1655">
        <w:t>B.</w:t>
      </w:r>
      <w:r w:rsidRPr="003B1655">
        <w:tab/>
      </w:r>
      <w:bookmarkStart w:id="12" w:name="_Hlk228968475"/>
      <w:r w:rsidRPr="003B1655">
        <w:t xml:space="preserve">mając na uwadze, że szeroko zakrojone </w:t>
      </w:r>
      <w:r w:rsidR="002566DB">
        <w:t>postępowanie przygotowawcze</w:t>
      </w:r>
      <w:r w:rsidRPr="003B1655" w:rsidR="002566DB">
        <w:t xml:space="preserve"> </w:t>
      </w:r>
      <w:r w:rsidRPr="003B1655">
        <w:t xml:space="preserve">dotyczące spółki </w:t>
      </w:r>
      <w:r w:rsidRPr="003B1655">
        <w:t>Huawei</w:t>
      </w:r>
      <w:r w:rsidRPr="003B1655">
        <w:t xml:space="preserve"> dostarczyło, jak się wydaje, poważne dowody na istnienie organizacji przestępczej, której celem miało być wywieranie wpływu na decyzje instytucji </w:t>
      </w:r>
      <w:r w:rsidR="00B777EC">
        <w:t>Unii</w:t>
      </w:r>
      <w:r w:rsidRPr="003B1655" w:rsidR="00B777EC">
        <w:t xml:space="preserve"> </w:t>
      </w:r>
      <w:r w:rsidRPr="003B1655">
        <w:t xml:space="preserve">poprzez korumpowanie posłów do Parlamentu Europejskiego; mając na uwadze, że </w:t>
      </w:r>
      <w:r w:rsidR="002566DB">
        <w:t>to postępowanie przygotowawcze</w:t>
      </w:r>
      <w:r w:rsidRPr="003B1655">
        <w:t xml:space="preserve"> wskazuje na szereg czynów korupcyjnych, które miały być popełniane regularnie w latach 2021–2024; mając na uwadze, że mechanizm korupcyjny miał przybierać różne formy, w tym zapraszanie posłów do Parlamentu Europejskiego na wydarzenia wspierane przez </w:t>
      </w:r>
      <w:r w:rsidRPr="003B1655">
        <w:t>Huawei</w:t>
      </w:r>
      <w:r w:rsidRPr="003B1655">
        <w:t xml:space="preserve"> w zamian, jak się zarzuca, za zajmowanie stanowisk politycznych korzystnych dla tej spółki, czy też prezenty o nadmiernej wartości, takie jak koszty wyżywienia i podróży lub regularne zaproszenia na mecze piłki nożnej niezwiązane z działalnością Parlamentu Europejskiego</w:t>
      </w:r>
      <w:bookmarkEnd w:id="12"/>
      <w:r w:rsidRPr="003B1655">
        <w:t>;</w:t>
      </w:r>
    </w:p>
    <w:p w:rsidR="001F75C0" w:rsidRPr="003B1655" w:rsidP="001F75C0" w14:paraId="48C91143" w14:textId="76E5FF7A">
      <w:pPr>
        <w:pStyle w:val="NormalHanging12a"/>
      </w:pPr>
      <w:bookmarkStart w:id="13" w:name="_Hlk223949214"/>
      <w:r w:rsidRPr="003B1655">
        <w:t>C.</w:t>
      </w:r>
      <w:r w:rsidRPr="003B1655">
        <w:tab/>
        <w:t xml:space="preserve">mając na uwadze, że zgodnie z wnioskiem o uchylenie immunitetu </w:t>
      </w:r>
      <w:r w:rsidRPr="003B1655">
        <w:t>Salvatore</w:t>
      </w:r>
      <w:r w:rsidR="00B777EC">
        <w:t>go</w:t>
      </w:r>
      <w:r w:rsidRPr="003B1655">
        <w:t xml:space="preserve"> De </w:t>
      </w:r>
      <w:r w:rsidRPr="003B1655">
        <w:t>Meo</w:t>
      </w:r>
      <w:r w:rsidRPr="003B1655">
        <w:t xml:space="preserve"> został zaproszony na kolację, która odbyła się </w:t>
      </w:r>
      <w:r w:rsidR="00B777EC">
        <w:t xml:space="preserve">dnia </w:t>
      </w:r>
      <w:r w:rsidRPr="003B1655">
        <w:t xml:space="preserve">25 czerwca 2024 r. w restauracji w Brukseli i miała zostać zorganizowana przez przedstawiciela </w:t>
      </w:r>
      <w:r w:rsidRPr="003B1655">
        <w:t>Huawei</w:t>
      </w:r>
      <w:r w:rsidRPr="003B1655">
        <w:t xml:space="preserve"> i opłacona przez tę spółkę</w:t>
      </w:r>
      <w:r w:rsidR="009D0052">
        <w:t xml:space="preserve"> a</w:t>
      </w:r>
      <w:r w:rsidRPr="003B1655">
        <w:t xml:space="preserve"> </w:t>
      </w:r>
      <w:r w:rsidRPr="003B1655">
        <w:t>Salvatore</w:t>
      </w:r>
      <w:r w:rsidRPr="003B1655">
        <w:t xml:space="preserve"> De </w:t>
      </w:r>
      <w:r w:rsidRPr="003B1655">
        <w:t>Meo</w:t>
      </w:r>
      <w:r w:rsidRPr="003B1655">
        <w:t xml:space="preserve"> </w:t>
      </w:r>
      <w:r w:rsidR="009D0052">
        <w:t>miał wziąć</w:t>
      </w:r>
      <w:r w:rsidRPr="003B1655" w:rsidR="009D0052">
        <w:t xml:space="preserve"> </w:t>
      </w:r>
      <w:r w:rsidRPr="003B1655">
        <w:t xml:space="preserve">udział w kolacji wraz z siedmioma innymi osobami; mając na uwadze, że podczas kolacji miano omawiać różne projekty związane z One </w:t>
      </w:r>
      <w:r w:rsidRPr="003B1655">
        <w:t>Health</w:t>
      </w:r>
      <w:r w:rsidRPr="003B1655">
        <w:t xml:space="preserve"> </w:t>
      </w:r>
      <w:r w:rsidRPr="003B1655">
        <w:t>Vision</w:t>
      </w:r>
      <w:r w:rsidRPr="003B1655">
        <w:t xml:space="preserve"> i </w:t>
      </w:r>
      <w:r w:rsidRPr="003B1655">
        <w:t>Huawei</w:t>
      </w:r>
      <w:r w:rsidRPr="003B1655">
        <w:t xml:space="preserve">; mając na uwadze, że wydaje się, iż </w:t>
      </w:r>
      <w:r w:rsidRPr="003B1655">
        <w:t>Salvatore</w:t>
      </w:r>
      <w:r w:rsidRPr="003B1655">
        <w:t xml:space="preserve"> De </w:t>
      </w:r>
      <w:r w:rsidRPr="003B1655">
        <w:t>Meo</w:t>
      </w:r>
      <w:r w:rsidRPr="003B1655">
        <w:t xml:space="preserve"> nie zadeklarował Parlamentowi Europejskiemu przyjęcia pokrycia kosztów kolacji, których dokładna kwota nie była znana organowi wnioskującemu o uchylenie immunitetu;</w:t>
      </w:r>
      <w:bookmarkEnd w:id="13"/>
      <w:r w:rsidRPr="003B1655">
        <w:t xml:space="preserve"> mając na uwadze, że – zgodnie z dodatkowymi informacjami przekazanymi przez prokuratora federalnego –podczas </w:t>
      </w:r>
      <w:r w:rsidR="009D0052">
        <w:t xml:space="preserve">tej </w:t>
      </w:r>
      <w:r w:rsidRPr="003B1655">
        <w:t xml:space="preserve">kolacji </w:t>
      </w:r>
      <w:r w:rsidRPr="003B1655">
        <w:t>Salvatore</w:t>
      </w:r>
      <w:r w:rsidRPr="003B1655">
        <w:t xml:space="preserve"> De </w:t>
      </w:r>
      <w:r w:rsidRPr="003B1655">
        <w:t>Meo</w:t>
      </w:r>
      <w:r w:rsidRPr="003B1655">
        <w:t xml:space="preserve"> miał również otrzymać prezent; mając na uwadze, że według tych dodatkowych informacji spółka </w:t>
      </w:r>
      <w:r w:rsidRPr="003B1655">
        <w:t>Huawei</w:t>
      </w:r>
      <w:r w:rsidRPr="003B1655">
        <w:t xml:space="preserve"> miała zainwestować środki finansowe w okręgu wyborczym </w:t>
      </w:r>
      <w:r w:rsidRPr="003B1655">
        <w:t>Salvatorego</w:t>
      </w:r>
      <w:r w:rsidRPr="003B1655">
        <w:t xml:space="preserve"> De </w:t>
      </w:r>
      <w:r w:rsidRPr="003B1655">
        <w:t>Meo</w:t>
      </w:r>
      <w:r w:rsidRPr="003B1655">
        <w:t xml:space="preserve"> w zamian za publiczne zajęcie przez niego pozytywnego stanowiska na rzecz rozwiązań technologicznych sprzedawanych przez </w:t>
      </w:r>
      <w:r w:rsidRPr="003B1655">
        <w:t>Huawei</w:t>
      </w:r>
      <w:r w:rsidRPr="003B1655">
        <w:t xml:space="preserve">; mając na uwadze, że zgodnie z dodatkowymi informacjami przekazanymi przez </w:t>
      </w:r>
      <w:r w:rsidR="00654CA1">
        <w:t>prokuratora federalnego</w:t>
      </w:r>
      <w:r w:rsidRPr="003B1655">
        <w:t xml:space="preserve"> </w:t>
      </w:r>
      <w:r w:rsidRPr="003B1655">
        <w:t>Salvatore</w:t>
      </w:r>
      <w:r w:rsidRPr="003B1655">
        <w:t xml:space="preserve"> De </w:t>
      </w:r>
      <w:r w:rsidRPr="003B1655">
        <w:t>Meo</w:t>
      </w:r>
      <w:r w:rsidRPr="003B1655">
        <w:t xml:space="preserve"> pojawia się w filmie promocyjnym </w:t>
      </w:r>
      <w:r w:rsidRPr="003B1655">
        <w:t>Huawei</w:t>
      </w:r>
      <w:r w:rsidRPr="003B1655">
        <w:t>, w którym pochwalono zalety rozwiązań sprzedawanych przez tę spółkę w ramach europejskiego projektu „SMART VILLAGES”;</w:t>
      </w:r>
    </w:p>
    <w:p w:rsidR="001F75C0" w:rsidRPr="003B1655" w:rsidP="001F75C0" w14:paraId="64A801AB" w14:textId="7086EA65">
      <w:pPr>
        <w:pStyle w:val="NormalHanging12a"/>
      </w:pPr>
      <w:bookmarkStart w:id="14" w:name="_Hlk223949297"/>
      <w:r w:rsidRPr="003B1655">
        <w:t>D.</w:t>
      </w:r>
      <w:r w:rsidRPr="003B1655">
        <w:tab/>
      </w:r>
      <w:bookmarkStart w:id="15" w:name="_Hlk229557559"/>
      <w:bookmarkEnd w:id="15"/>
      <w:r w:rsidRPr="003B1655">
        <w:t xml:space="preserve">mając na uwadze, że dopiero z dodatkowych informacji przekazanych przez prokuratora federalnego w odpowiedzi na pisemny wniosek o dalsze informacje wynikło, że działania zarzucane </w:t>
      </w:r>
      <w:r w:rsidRPr="003B1655">
        <w:t>Salvatoremu</w:t>
      </w:r>
      <w:r w:rsidRPr="003B1655">
        <w:t xml:space="preserve"> De </w:t>
      </w:r>
      <w:r w:rsidRPr="003B1655">
        <w:t>Meo</w:t>
      </w:r>
      <w:r w:rsidRPr="003B1655">
        <w:t xml:space="preserve"> mogły stanowić bierne przekupstwo w sferze publicznej, które stanowi przestępstwo na podstawie art. 246 ust. 1 belgijskiego kodeksu karnego;</w:t>
      </w:r>
    </w:p>
    <w:p w:rsidR="001F75C0" w:rsidRPr="003B1655" w:rsidP="001F75C0" w14:paraId="1C54DE28" w14:textId="2C7F32CD">
      <w:pPr>
        <w:pStyle w:val="NormalHanging12a"/>
      </w:pPr>
      <w:r w:rsidRPr="003B1655">
        <w:t>E.</w:t>
      </w:r>
      <w:r w:rsidRPr="003B1655">
        <w:tab/>
        <w:t xml:space="preserve">mając na uwadze, że </w:t>
      </w:r>
      <w:r w:rsidRPr="003B1655">
        <w:t>Salvatore</w:t>
      </w:r>
      <w:r w:rsidRPr="003B1655">
        <w:t xml:space="preserve"> De </w:t>
      </w:r>
      <w:r w:rsidRPr="003B1655">
        <w:t>Meo</w:t>
      </w:r>
      <w:r w:rsidRPr="003B1655">
        <w:t xml:space="preserve"> został ponownie wybrany do Parlamentu Europejskiego w wyborach europejskich w czerwcu 2024 r.</w:t>
      </w:r>
      <w:r w:rsidR="00725792">
        <w:t xml:space="preserve">, a zatem w </w:t>
      </w:r>
      <w:r w:rsidRPr="003B1655">
        <w:t>czasie popełniania zarzucanego czynu był posłem do Parlamentu Europejskiego;</w:t>
      </w:r>
    </w:p>
    <w:p w:rsidR="001F75C0" w:rsidRPr="003B1655" w:rsidP="001F75C0" w14:paraId="7EDB609F" w14:textId="26CCB20D">
      <w:pPr>
        <w:pStyle w:val="NormalHanging12a"/>
      </w:pPr>
      <w:r w:rsidRPr="003B1655">
        <w:t>F.</w:t>
      </w:r>
      <w:r w:rsidRPr="003B1655">
        <w:tab/>
      </w:r>
      <w:r w:rsidRPr="00754C47" w:rsidR="0034239F">
        <w:t xml:space="preserve">mając na uwadze, że Parlamentu nie można uznawać za sąd, a </w:t>
      </w:r>
      <w:r w:rsidR="0034239F">
        <w:t xml:space="preserve">– </w:t>
      </w:r>
      <w:r w:rsidRPr="00754C47" w:rsidR="0034239F">
        <w:t xml:space="preserve">w kontekście procedury uchylenia immunitetu </w:t>
      </w:r>
      <w:r w:rsidR="0034239F">
        <w:t xml:space="preserve">– </w:t>
      </w:r>
      <w:r w:rsidRPr="00754C47" w:rsidR="0034239F">
        <w:t xml:space="preserve">posła </w:t>
      </w:r>
      <w:r w:rsidR="0034239F">
        <w:t>nie można uznawać</w:t>
      </w:r>
      <w:r w:rsidRPr="00754C47" w:rsidR="0034239F">
        <w:t xml:space="preserve"> za „oskarżonego”</w:t>
      </w:r>
      <w:r>
        <w:rPr>
          <w:vertAlign w:val="superscript"/>
        </w:rPr>
        <w:footnoteReference w:id="3"/>
      </w:r>
      <w:r w:rsidRPr="003B1655">
        <w:t>;</w:t>
      </w:r>
    </w:p>
    <w:p w:rsidR="001F75C0" w:rsidRPr="003B1655" w:rsidP="001F75C0" w14:paraId="4116A787" w14:textId="030F44F7">
      <w:pPr>
        <w:pStyle w:val="NormalHanging12a"/>
      </w:pPr>
      <w:r w:rsidRPr="003B1655">
        <w:t>G.</w:t>
      </w:r>
      <w:r w:rsidRPr="003B1655">
        <w:tab/>
        <w:t xml:space="preserve">mając na uwadze, że immunitet parlamentarny, o którym mowa w </w:t>
      </w:r>
      <w:r w:rsidR="00654CA1">
        <w:t>P</w:t>
      </w:r>
      <w:r w:rsidRPr="003B1655">
        <w:t xml:space="preserve">rotokole nr 7 w sprawie przywilejów i immunitetów Unii Europejskiej, ma chronić Parlament i posłów do niego przed postępowaniami sądowymi w związku z działaniami podejmowanymi w ramach wykonywania obowiązków parlamentarnych i </w:t>
      </w:r>
      <w:r w:rsidR="00654CA1">
        <w:t>niemożliwymi</w:t>
      </w:r>
      <w:r w:rsidRPr="003B1655" w:rsidR="00654CA1">
        <w:t xml:space="preserve"> </w:t>
      </w:r>
      <w:r w:rsidRPr="003B1655">
        <w:t>do oddzielenia od tych obowiązków;</w:t>
      </w:r>
    </w:p>
    <w:p w:rsidR="001F75C0" w:rsidRPr="003B1655" w:rsidP="001F75C0" w14:paraId="1D25B1F3" w14:textId="7BD579D0">
      <w:pPr>
        <w:pStyle w:val="NormalHanging12a"/>
      </w:pPr>
      <w:r w:rsidRPr="003B1655">
        <w:t>H.</w:t>
      </w:r>
      <w:r w:rsidRPr="003B1655">
        <w:tab/>
        <w:t xml:space="preserve">mając na uwadze, że zgodnie z art. 5 ust. 2 Regulaminu immunitet parlamentarny nie jest osobistym przywilejem posła, lecz gwarancją niezależności Parlamentu Europejskiego jako całości oraz jego </w:t>
      </w:r>
      <w:r w:rsidR="00654CA1">
        <w:t>członków</w:t>
      </w:r>
      <w:r w:rsidRPr="003B1655">
        <w:t>;</w:t>
      </w:r>
    </w:p>
    <w:p w:rsidR="001F75C0" w:rsidRPr="003B1655" w:rsidP="001F75C0" w14:paraId="4A286AD4" w14:textId="5BC8315B">
      <w:pPr>
        <w:pStyle w:val="NormalHanging12a"/>
      </w:pPr>
      <w:r w:rsidRPr="003B1655">
        <w:t>I.</w:t>
      </w:r>
      <w:r w:rsidRPr="003B1655">
        <w:tab/>
        <w:t xml:space="preserve">mając na uwadze, że art. 8 Protokołu nr 7 w sprawie przywilejów i immunitetów Unii Europejskiej przewiduje, że wobec </w:t>
      </w:r>
      <w:r w:rsidR="00654CA1">
        <w:t>członków</w:t>
      </w:r>
      <w:r w:rsidRPr="003B1655">
        <w:t xml:space="preserve"> Parlamentu Europejskiego nie można prowadzić dochodzenia, postępowania sądowego ani też ich zatrzymywać z powodu ich opinii lub stanowiska zajętego przez nich w głosowaniu w czasie wykonywania przez nich obowiązków służbowych; mając na uwadze, że zarzucany czyn nie dotyczy opinii wyrażonych ani stanowiska zajętego w głosowaniu w ramach wykonywania przez </w:t>
      </w:r>
      <w:r w:rsidRPr="003B1655">
        <w:t>Salvatorego</w:t>
      </w:r>
      <w:r w:rsidRPr="003B1655">
        <w:t xml:space="preserve"> De </w:t>
      </w:r>
      <w:r w:rsidRPr="003B1655">
        <w:t>Meo</w:t>
      </w:r>
      <w:r w:rsidRPr="003B1655">
        <w:t xml:space="preserve"> obowiązków </w:t>
      </w:r>
      <w:r w:rsidR="00B93FE5">
        <w:t>członka</w:t>
      </w:r>
      <w:r w:rsidRPr="003B1655">
        <w:t xml:space="preserve"> Parlamentu Europejskiego w rozumieniu art. 8 </w:t>
      </w:r>
      <w:r w:rsidR="00654CA1">
        <w:t>tego p</w:t>
      </w:r>
      <w:r w:rsidRPr="003B1655">
        <w:t>rotokołu;</w:t>
      </w:r>
    </w:p>
    <w:p w:rsidR="001F75C0" w:rsidRPr="003B1655" w:rsidP="001F75C0" w14:paraId="0B971FA9" w14:textId="3ACA62C0">
      <w:pPr>
        <w:pStyle w:val="NormalHanging12a"/>
      </w:pPr>
      <w:r w:rsidRPr="003B1655">
        <w:t>J.</w:t>
      </w:r>
      <w:r w:rsidRPr="003B1655">
        <w:tab/>
        <w:t xml:space="preserve">mając na uwadze, że art. 9 </w:t>
      </w:r>
      <w:r w:rsidR="00654CA1">
        <w:t>akapit pierwszy</w:t>
      </w:r>
      <w:r w:rsidRPr="003B1655">
        <w:t xml:space="preserve"> lit. b) Protokołu nr 7 w sprawie przywilejów i immunitetów Unii Europejskiej stanowi, iż </w:t>
      </w:r>
      <w:r w:rsidR="00A37843">
        <w:t>podczas sesji Parlamentu Europejskiego jego członkowie</w:t>
      </w:r>
      <w:r w:rsidRPr="003B1655">
        <w:t xml:space="preserve"> korzystają na terytorium państwa członkowskiego, innego niż ich państwo, z immunitetu chroniącego przed zatrzymaniem oraz immunitetu jurysdykcyjnego;</w:t>
      </w:r>
    </w:p>
    <w:p w:rsidR="001F75C0" w:rsidRPr="003B1655" w:rsidP="001F75C0" w14:paraId="3FA6454D" w14:textId="59EED293">
      <w:pPr>
        <w:pStyle w:val="NormalHanging12a"/>
      </w:pPr>
      <w:r w:rsidRPr="003B1655">
        <w:t>K.</w:t>
      </w:r>
      <w:r w:rsidRPr="003B1655">
        <w:tab/>
        <w:t xml:space="preserve">mając na uwadze, że wszelkie decyzje dotyczące immunitetu </w:t>
      </w:r>
      <w:r w:rsidRPr="003B1655">
        <w:t>Salvatorego</w:t>
      </w:r>
      <w:r w:rsidRPr="003B1655">
        <w:t xml:space="preserve"> De </w:t>
      </w:r>
      <w:r w:rsidRPr="003B1655">
        <w:t>Meo</w:t>
      </w:r>
      <w:r w:rsidRPr="003B1655">
        <w:t xml:space="preserve"> należy podjąć na podstawie wniosku o uchylenie immunitetu oraz na podstawie informacji i wyjaśnień przedstawionych w tej sprawie, w tym odpowiedzi udzielonych przez prokuratora federalnego, zarówno podczas wymiany poglądów, jak i w ramach dodatkowych informacji przekazanych na piśmie; mając na uwadze, że we wniosku o uchylenie immunitetu wyraźnie brakuje konkretnych informacji; mając na uwadze, że późniejsza ustna i pisemna wymiana informacji z prokuratorem federalnym, pomimo dostarczenia informacji dotyczących kilku dodatkowych podejrzeń o nadużycia, nadal nie była wystarczająca, aby rozwiać istotne wątpliwości co do wniosku o uchylenie </w:t>
      </w:r>
      <w:r w:rsidRPr="003B1655">
        <w:t xml:space="preserve">immunitetu </w:t>
      </w:r>
      <w:r w:rsidRPr="003B1655">
        <w:t>Salvatore</w:t>
      </w:r>
      <w:r w:rsidRPr="003B1655">
        <w:t xml:space="preserve"> De </w:t>
      </w:r>
      <w:r w:rsidRPr="003B1655">
        <w:t>Meo</w:t>
      </w:r>
      <w:r w:rsidRPr="003B1655">
        <w:t>;</w:t>
      </w:r>
    </w:p>
    <w:p w:rsidR="001F75C0" w:rsidRPr="003B1655" w:rsidP="001F75C0" w14:paraId="68BD6992" w14:textId="77777777">
      <w:pPr>
        <w:pStyle w:val="NormalHanging12a"/>
      </w:pPr>
      <w:r w:rsidRPr="003B1655">
        <w:t>L.</w:t>
      </w:r>
      <w:r w:rsidRPr="003B1655">
        <w:tab/>
        <w:t xml:space="preserve">mając na uwadze, że w związku z powyższym suma przedstawionych informacji nie pozwoliła Parlamentowi na to, aby z pełnym przekonaniem podjąć opartą na wystarczających informacjach decyzję uchylającą immunitet </w:t>
      </w:r>
      <w:r w:rsidRPr="003B1655">
        <w:t>Salvatorego</w:t>
      </w:r>
      <w:r w:rsidRPr="003B1655">
        <w:t xml:space="preserve"> De </w:t>
      </w:r>
      <w:r w:rsidRPr="003B1655">
        <w:t>Meo</w:t>
      </w:r>
      <w:r w:rsidRPr="003B1655">
        <w:t xml:space="preserve">; mając na uwadze, że istotne wątpliwości co do różnych elementów tej sprawy mogłyby ponadto świadczyć o zaistnieniu </w:t>
      </w:r>
      <w:r w:rsidRPr="003B1655">
        <w:rPr>
          <w:i/>
          <w:iCs/>
        </w:rPr>
        <w:t>fumus</w:t>
      </w:r>
      <w:r w:rsidRPr="003B1655">
        <w:rPr>
          <w:i/>
          <w:iCs/>
        </w:rPr>
        <w:t xml:space="preserve"> </w:t>
      </w:r>
      <w:r w:rsidRPr="003B1655">
        <w:rPr>
          <w:i/>
          <w:iCs/>
        </w:rPr>
        <w:t>persecutionis</w:t>
      </w:r>
      <w:r w:rsidRPr="003B1655">
        <w:t>;</w:t>
      </w:r>
    </w:p>
    <w:bookmarkEnd w:id="14"/>
    <w:p w:rsidR="001F75C0" w:rsidRPr="003B1655" w:rsidP="001F75C0" w14:paraId="4587F4A2" w14:textId="0AC94C64">
      <w:pPr>
        <w:pStyle w:val="NormalHanging12a"/>
      </w:pPr>
      <w:r w:rsidRPr="003B1655">
        <w:t>1.</w:t>
      </w:r>
      <w:r w:rsidRPr="003B1655">
        <w:tab/>
      </w:r>
      <w:r w:rsidR="00A37843">
        <w:t>podejmuje decyzję o odmowie uchylenia</w:t>
      </w:r>
      <w:r w:rsidRPr="003B1655">
        <w:t xml:space="preserve"> immunitetu </w:t>
      </w:r>
      <w:r w:rsidRPr="003B1655">
        <w:t>Salvatorego</w:t>
      </w:r>
      <w:r w:rsidRPr="003B1655">
        <w:t xml:space="preserve"> De </w:t>
      </w:r>
      <w:r w:rsidRPr="003B1655">
        <w:t>Meo</w:t>
      </w:r>
      <w:r w:rsidRPr="003B1655">
        <w:t>;</w:t>
      </w:r>
    </w:p>
    <w:p w:rsidR="001F75C0" w:rsidRPr="003B1655" w:rsidP="001F75C0" w14:paraId="0BC0C897" w14:textId="5A6B235A">
      <w:pPr>
        <w:pStyle w:val="NormalHanging12a"/>
      </w:pPr>
      <w:r w:rsidRPr="003B1655">
        <w:t>2.</w:t>
      </w:r>
      <w:r w:rsidRPr="003B1655">
        <w:tab/>
        <w:t xml:space="preserve">zobowiązuje swoją przewodniczącą do </w:t>
      </w:r>
      <w:r w:rsidR="00A37843">
        <w:t>natychmiastowego</w:t>
      </w:r>
      <w:r w:rsidRPr="003B1655" w:rsidR="00A37843">
        <w:t xml:space="preserve"> </w:t>
      </w:r>
      <w:r w:rsidRPr="003B1655">
        <w:t xml:space="preserve">przekazania niniejszej decyzji i sprawozdania właściwej komisji </w:t>
      </w:r>
      <w:r w:rsidR="00B93FE5">
        <w:t>właściwemu organowi</w:t>
      </w:r>
      <w:r w:rsidRPr="003B1655">
        <w:t xml:space="preserve"> Królestwa Belgii i </w:t>
      </w:r>
      <w:r w:rsidRPr="003B1655">
        <w:t>Salvatoremu</w:t>
      </w:r>
      <w:r w:rsidRPr="003B1655">
        <w:t xml:space="preserve"> De </w:t>
      </w:r>
      <w:r w:rsidRPr="003B1655">
        <w:t>Meo</w:t>
      </w:r>
      <w:r w:rsidRPr="003B1655">
        <w:t>.</w:t>
      </w:r>
    </w:p>
    <w:sectPr w:rsidSect="003B16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B1655" w14:paraId="27C1DD57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B1655" w14:paraId="0560458C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B1655" w14:paraId="57BEDB52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F1593" w:rsidRPr="003B1655" w14:paraId="4D1FFA33" w14:textId="77777777">
      <w:r w:rsidRPr="003B1655">
        <w:separator/>
      </w:r>
    </w:p>
  </w:footnote>
  <w:footnote w:type="continuationSeparator" w:id="1">
    <w:p w:rsidR="00CF1593" w:rsidRPr="003B1655" w14:paraId="2B97BBB4" w14:textId="77777777">
      <w:r w:rsidRPr="003B1655">
        <w:continuationSeparator/>
      </w:r>
    </w:p>
  </w:footnote>
  <w:footnote w:id="2">
    <w:p w:rsidR="001F75C0" w:rsidRPr="003B1655" w:rsidP="003B1655" w14:paraId="77121B92" w14:textId="7BB93A66">
      <w:pPr>
        <w:pStyle w:val="FootnoteText"/>
        <w:ind w:left="567" w:hanging="567"/>
        <w:rPr>
          <w:sz w:val="24"/>
          <w:lang w:val="pl-PL"/>
        </w:rPr>
      </w:pPr>
      <w:r w:rsidRPr="003B1655">
        <w:rPr>
          <w:rStyle w:val="FootnoteReference"/>
          <w:sz w:val="24"/>
          <w:lang w:val="pl-PL"/>
        </w:rPr>
        <w:footnoteRef/>
      </w:r>
      <w:r w:rsidRPr="003B1655" w:rsidR="003B1655">
        <w:rPr>
          <w:sz w:val="24"/>
          <w:lang w:val="pl-PL"/>
        </w:rPr>
        <w:t xml:space="preserve"> </w:t>
      </w:r>
      <w:r w:rsidRPr="003B1655" w:rsidR="003B1655">
        <w:rPr>
          <w:sz w:val="24"/>
          <w:lang w:val="pl-PL"/>
        </w:rPr>
        <w:tab/>
      </w:r>
      <w:r w:rsidRPr="003B1655">
        <w:rPr>
          <w:sz w:val="24"/>
          <w:lang w:val="pl-PL"/>
        </w:rPr>
        <w:t xml:space="preserve">Wyrok Trybunału Sprawiedliwości z </w:t>
      </w:r>
      <w:r w:rsidR="00B777EC">
        <w:rPr>
          <w:sz w:val="24"/>
          <w:lang w:val="pl-PL"/>
        </w:rPr>
        <w:t xml:space="preserve">dnia </w:t>
      </w:r>
      <w:r w:rsidRPr="003B1655">
        <w:rPr>
          <w:sz w:val="24"/>
          <w:lang w:val="pl-PL"/>
        </w:rPr>
        <w:t xml:space="preserve">21 października 2008 r., </w:t>
      </w:r>
      <w:r w:rsidRPr="003B1655">
        <w:rPr>
          <w:i/>
          <w:sz w:val="24"/>
          <w:lang w:val="pl-PL"/>
        </w:rPr>
        <w:t>Marra</w:t>
      </w:r>
      <w:r w:rsidRPr="003B1655">
        <w:rPr>
          <w:i/>
          <w:sz w:val="24"/>
          <w:lang w:val="pl-PL"/>
        </w:rPr>
        <w:t xml:space="preserve">/De </w:t>
      </w:r>
      <w:r w:rsidRPr="003B1655">
        <w:rPr>
          <w:i/>
          <w:sz w:val="24"/>
          <w:lang w:val="pl-PL"/>
        </w:rPr>
        <w:t>Gregorio</w:t>
      </w:r>
      <w:r w:rsidRPr="003B1655">
        <w:rPr>
          <w:i/>
          <w:sz w:val="24"/>
          <w:lang w:val="pl-PL"/>
        </w:rPr>
        <w:t xml:space="preserve"> i </w:t>
      </w:r>
      <w:r w:rsidRPr="003B1655">
        <w:rPr>
          <w:i/>
          <w:sz w:val="24"/>
          <w:lang w:val="pl-PL"/>
        </w:rPr>
        <w:t>Clemente</w:t>
      </w:r>
      <w:r w:rsidRPr="003B1655">
        <w:rPr>
          <w:sz w:val="24"/>
          <w:lang w:val="pl-PL"/>
        </w:rPr>
        <w:t xml:space="preserve">, C-200/07 i C-201/07, ECLI:EU:C:2008:579; wyrok Sądu z </w:t>
      </w:r>
      <w:r w:rsidR="00B777EC">
        <w:rPr>
          <w:sz w:val="24"/>
          <w:lang w:val="pl-PL"/>
        </w:rPr>
        <w:t xml:space="preserve">dnia </w:t>
      </w:r>
      <w:r w:rsidRPr="003B1655">
        <w:rPr>
          <w:sz w:val="24"/>
          <w:lang w:val="pl-PL"/>
        </w:rPr>
        <w:t xml:space="preserve">19 marca 2010 r., </w:t>
      </w:r>
      <w:r w:rsidRPr="003B1655">
        <w:rPr>
          <w:i/>
          <w:iCs/>
          <w:sz w:val="24"/>
          <w:lang w:val="pl-PL"/>
        </w:rPr>
        <w:t>Gollnisch</w:t>
      </w:r>
      <w:r w:rsidRPr="003B1655">
        <w:rPr>
          <w:i/>
          <w:iCs/>
          <w:sz w:val="24"/>
          <w:lang w:val="pl-PL"/>
        </w:rPr>
        <w:t>/Parlament</w:t>
      </w:r>
      <w:r w:rsidRPr="003B1655">
        <w:rPr>
          <w:sz w:val="24"/>
          <w:lang w:val="pl-PL"/>
        </w:rPr>
        <w:t xml:space="preserve">, T-42/06, ECLI:EU:T:2010:102; wyrok Trybunału Sprawiedliwości z </w:t>
      </w:r>
      <w:r w:rsidR="00B777EC">
        <w:rPr>
          <w:sz w:val="24"/>
          <w:lang w:val="pl-PL"/>
        </w:rPr>
        <w:t xml:space="preserve">dnia </w:t>
      </w:r>
      <w:r w:rsidRPr="003B1655">
        <w:rPr>
          <w:sz w:val="24"/>
          <w:lang w:val="pl-PL"/>
        </w:rPr>
        <w:t xml:space="preserve">6 września 2011 r., </w:t>
      </w:r>
      <w:r w:rsidRPr="003B1655">
        <w:rPr>
          <w:i/>
          <w:sz w:val="24"/>
          <w:lang w:val="pl-PL"/>
        </w:rPr>
        <w:t>Patriciello</w:t>
      </w:r>
      <w:r w:rsidRPr="003B1655">
        <w:rPr>
          <w:sz w:val="24"/>
          <w:lang w:val="pl-PL"/>
        </w:rPr>
        <w:t xml:space="preserve">, C-163/10, ECLI: EU:C:2011:543; wyrok Sądu z </w:t>
      </w:r>
      <w:r w:rsidR="00B777EC">
        <w:rPr>
          <w:sz w:val="24"/>
          <w:lang w:val="pl-PL"/>
        </w:rPr>
        <w:t xml:space="preserve">dnia </w:t>
      </w:r>
      <w:r w:rsidRPr="003B1655">
        <w:rPr>
          <w:sz w:val="24"/>
          <w:lang w:val="pl-PL"/>
        </w:rPr>
        <w:t xml:space="preserve">17 stycznia 2013 r., </w:t>
      </w:r>
      <w:r w:rsidRPr="003B1655">
        <w:rPr>
          <w:i/>
          <w:sz w:val="24"/>
          <w:lang w:val="pl-PL"/>
        </w:rPr>
        <w:t>Gollnisch</w:t>
      </w:r>
      <w:r w:rsidRPr="003B1655">
        <w:rPr>
          <w:sz w:val="24"/>
          <w:lang w:val="pl-PL"/>
        </w:rPr>
        <w:t>/</w:t>
      </w:r>
      <w:r w:rsidRPr="003B1655">
        <w:rPr>
          <w:i/>
          <w:sz w:val="24"/>
          <w:lang w:val="pl-PL"/>
        </w:rPr>
        <w:t>Parlament,</w:t>
      </w:r>
      <w:r w:rsidRPr="003B1655">
        <w:rPr>
          <w:sz w:val="24"/>
          <w:lang w:val="pl-PL"/>
        </w:rPr>
        <w:t xml:space="preserve"> T-346/11 i T-347/11, ECLI:EU:T:2013:23; wyrok Trybunału Sprawiedliwości z </w:t>
      </w:r>
      <w:r w:rsidR="00B777EC">
        <w:rPr>
          <w:sz w:val="24"/>
          <w:lang w:val="pl-PL"/>
        </w:rPr>
        <w:t xml:space="preserve">dnia </w:t>
      </w:r>
      <w:r w:rsidRPr="003B1655">
        <w:rPr>
          <w:sz w:val="24"/>
          <w:lang w:val="pl-PL"/>
        </w:rPr>
        <w:t xml:space="preserve">19 grudnia 2019 r., </w:t>
      </w:r>
      <w:r w:rsidRPr="003B1655">
        <w:rPr>
          <w:i/>
          <w:iCs/>
          <w:sz w:val="24"/>
          <w:lang w:val="pl-PL"/>
        </w:rPr>
        <w:t>Junqueras</w:t>
      </w:r>
      <w:r w:rsidRPr="003B1655">
        <w:rPr>
          <w:i/>
          <w:iCs/>
          <w:sz w:val="24"/>
          <w:lang w:val="pl-PL"/>
        </w:rPr>
        <w:t xml:space="preserve"> </w:t>
      </w:r>
      <w:r w:rsidRPr="003B1655">
        <w:rPr>
          <w:i/>
          <w:iCs/>
          <w:sz w:val="24"/>
          <w:lang w:val="pl-PL"/>
        </w:rPr>
        <w:t>Vies</w:t>
      </w:r>
      <w:r w:rsidRPr="003B1655">
        <w:rPr>
          <w:sz w:val="24"/>
          <w:lang w:val="pl-PL"/>
        </w:rPr>
        <w:t>, C-502/19, ECLI:EU:C:2019:1115.</w:t>
      </w:r>
    </w:p>
  </w:footnote>
  <w:footnote w:id="3">
    <w:p w:rsidR="001F75C0" w:rsidRPr="003B1655" w:rsidP="003B1655" w14:paraId="0CB89EC9" w14:textId="26053136">
      <w:pPr>
        <w:pStyle w:val="FootnoteText"/>
        <w:ind w:left="567" w:hanging="567"/>
        <w:rPr>
          <w:sz w:val="24"/>
          <w:lang w:val="pl-PL"/>
        </w:rPr>
      </w:pPr>
      <w:r w:rsidRPr="003B1655">
        <w:rPr>
          <w:rStyle w:val="FootnoteReference"/>
          <w:sz w:val="24"/>
          <w:lang w:val="pl-PL"/>
        </w:rPr>
        <w:footnoteRef/>
      </w:r>
      <w:r w:rsidRPr="003B1655" w:rsidR="003B1655">
        <w:rPr>
          <w:sz w:val="24"/>
          <w:lang w:val="pl-PL"/>
        </w:rPr>
        <w:t xml:space="preserve"> </w:t>
      </w:r>
      <w:r w:rsidRPr="003B1655" w:rsidR="003B1655">
        <w:rPr>
          <w:sz w:val="24"/>
          <w:lang w:val="pl-PL"/>
        </w:rPr>
        <w:tab/>
      </w:r>
      <w:r w:rsidRPr="003B1655">
        <w:rPr>
          <w:sz w:val="24"/>
          <w:lang w:val="pl-PL"/>
        </w:rPr>
        <w:t xml:space="preserve">Wyrok Sądu z dnia 30 kwietnia 2019 r., </w:t>
      </w:r>
      <w:r w:rsidRPr="003B1655">
        <w:rPr>
          <w:i/>
          <w:sz w:val="24"/>
          <w:lang w:val="pl-PL"/>
        </w:rPr>
        <w:t>Briois</w:t>
      </w:r>
      <w:r w:rsidRPr="003B1655">
        <w:rPr>
          <w:i/>
          <w:sz w:val="24"/>
          <w:lang w:val="pl-PL"/>
        </w:rPr>
        <w:t>/Parlament</w:t>
      </w:r>
      <w:r w:rsidRPr="003B1655">
        <w:rPr>
          <w:sz w:val="24"/>
          <w:lang w:val="pl-PL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B1655" w14:paraId="436C23D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B1655" w14:paraId="7E27F21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B1655" w14:paraId="3CDC35F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69352506">
    <w:abstractNumId w:val="9"/>
  </w:num>
  <w:num w:numId="2" w16cid:durableId="1018198485">
    <w:abstractNumId w:val="9"/>
  </w:num>
  <w:num w:numId="3" w16cid:durableId="116876357">
    <w:abstractNumId w:val="7"/>
  </w:num>
  <w:num w:numId="4" w16cid:durableId="121072859">
    <w:abstractNumId w:val="7"/>
  </w:num>
  <w:num w:numId="5" w16cid:durableId="1288242130">
    <w:abstractNumId w:val="6"/>
  </w:num>
  <w:num w:numId="6" w16cid:durableId="1017123191">
    <w:abstractNumId w:val="6"/>
  </w:num>
  <w:num w:numId="7" w16cid:durableId="995887644">
    <w:abstractNumId w:val="5"/>
  </w:num>
  <w:num w:numId="8" w16cid:durableId="982391644">
    <w:abstractNumId w:val="5"/>
  </w:num>
  <w:num w:numId="9" w16cid:durableId="944386269">
    <w:abstractNumId w:val="4"/>
  </w:num>
  <w:num w:numId="10" w16cid:durableId="554120892">
    <w:abstractNumId w:val="4"/>
  </w:num>
  <w:num w:numId="11" w16cid:durableId="537016132">
    <w:abstractNumId w:val="8"/>
  </w:num>
  <w:num w:numId="12" w16cid:durableId="570234513">
    <w:abstractNumId w:val="8"/>
  </w:num>
  <w:num w:numId="13" w16cid:durableId="2003925650">
    <w:abstractNumId w:val="3"/>
  </w:num>
  <w:num w:numId="14" w16cid:durableId="2070884241">
    <w:abstractNumId w:val="3"/>
  </w:num>
  <w:num w:numId="15" w16cid:durableId="1976985140">
    <w:abstractNumId w:val="2"/>
  </w:num>
  <w:num w:numId="16" w16cid:durableId="1113134937">
    <w:abstractNumId w:val="2"/>
  </w:num>
  <w:num w:numId="17" w16cid:durableId="817384956">
    <w:abstractNumId w:val="1"/>
  </w:num>
  <w:num w:numId="18" w16cid:durableId="2146308174">
    <w:abstractNumId w:val="1"/>
  </w:num>
  <w:num w:numId="19" w16cid:durableId="1040396748">
    <w:abstractNumId w:val="0"/>
  </w:num>
  <w:num w:numId="20" w16cid:durableId="458686754">
    <w:abstractNumId w:val="0"/>
  </w:num>
  <w:num w:numId="21" w16cid:durableId="1479344742">
    <w:abstractNumId w:val="9"/>
  </w:num>
  <w:num w:numId="22" w16cid:durableId="487475004">
    <w:abstractNumId w:val="7"/>
  </w:num>
  <w:num w:numId="23" w16cid:durableId="766509406">
    <w:abstractNumId w:val="6"/>
  </w:num>
  <w:num w:numId="24" w16cid:durableId="974531406">
    <w:abstractNumId w:val="5"/>
  </w:num>
  <w:num w:numId="25" w16cid:durableId="191042622">
    <w:abstractNumId w:val="4"/>
  </w:num>
  <w:num w:numId="26" w16cid:durableId="438063294">
    <w:abstractNumId w:val="8"/>
  </w:num>
  <w:num w:numId="27" w16cid:durableId="919680147">
    <w:abstractNumId w:val="3"/>
  </w:num>
  <w:num w:numId="28" w16cid:durableId="1908302922">
    <w:abstractNumId w:val="2"/>
  </w:num>
  <w:num w:numId="29" w16cid:durableId="538472847">
    <w:abstractNumId w:val="1"/>
  </w:num>
  <w:num w:numId="30" w16cid:durableId="1751005146">
    <w:abstractNumId w:val="0"/>
  </w:num>
  <w:num w:numId="31" w16cid:durableId="234626156">
    <w:abstractNumId w:val="9"/>
  </w:num>
  <w:num w:numId="32" w16cid:durableId="1202942686">
    <w:abstractNumId w:val="7"/>
  </w:num>
  <w:num w:numId="33" w16cid:durableId="647780497">
    <w:abstractNumId w:val="6"/>
  </w:num>
  <w:num w:numId="34" w16cid:durableId="251017022">
    <w:abstractNumId w:val="5"/>
  </w:num>
  <w:num w:numId="35" w16cid:durableId="1854025711">
    <w:abstractNumId w:val="4"/>
  </w:num>
  <w:num w:numId="36" w16cid:durableId="847447493">
    <w:abstractNumId w:val="8"/>
  </w:num>
  <w:num w:numId="37" w16cid:durableId="110050733">
    <w:abstractNumId w:val="3"/>
  </w:num>
  <w:num w:numId="38" w16cid:durableId="12657616">
    <w:abstractNumId w:val="2"/>
  </w:num>
  <w:num w:numId="39" w16cid:durableId="1528300463">
    <w:abstractNumId w:val="1"/>
  </w:num>
  <w:num w:numId="40" w16cid:durableId="1226331375">
    <w:abstractNumId w:val="0"/>
  </w:num>
  <w:num w:numId="41" w16cid:durableId="1359820705">
    <w:abstractNumId w:val="10"/>
  </w:num>
  <w:num w:numId="42" w16cid:durableId="795221475">
    <w:abstractNumId w:val="10"/>
  </w:num>
  <w:num w:numId="43" w16cid:durableId="2111925078">
    <w:abstractNumId w:val="10"/>
  </w:num>
  <w:num w:numId="44" w16cid:durableId="19646498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59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3BFF"/>
    <w:rsid w:val="001F32AE"/>
    <w:rsid w:val="001F75C0"/>
    <w:rsid w:val="002566DB"/>
    <w:rsid w:val="002767FF"/>
    <w:rsid w:val="002B18FE"/>
    <w:rsid w:val="002B5493"/>
    <w:rsid w:val="003228A5"/>
    <w:rsid w:val="0034239F"/>
    <w:rsid w:val="00343214"/>
    <w:rsid w:val="00361C00"/>
    <w:rsid w:val="00395FA1"/>
    <w:rsid w:val="003B165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4CA1"/>
    <w:rsid w:val="006631B6"/>
    <w:rsid w:val="00680577"/>
    <w:rsid w:val="006F74FA"/>
    <w:rsid w:val="00725792"/>
    <w:rsid w:val="00731ADD"/>
    <w:rsid w:val="00734777"/>
    <w:rsid w:val="00747932"/>
    <w:rsid w:val="00751A4A"/>
    <w:rsid w:val="00754C47"/>
    <w:rsid w:val="00756632"/>
    <w:rsid w:val="00762C74"/>
    <w:rsid w:val="00786EC0"/>
    <w:rsid w:val="007D1690"/>
    <w:rsid w:val="007E22AD"/>
    <w:rsid w:val="00817416"/>
    <w:rsid w:val="00842779"/>
    <w:rsid w:val="008429D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1EA3"/>
    <w:rsid w:val="00981893"/>
    <w:rsid w:val="009D0052"/>
    <w:rsid w:val="009E3034"/>
    <w:rsid w:val="00A1687D"/>
    <w:rsid w:val="00A3784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2AD3"/>
    <w:rsid w:val="00B777EC"/>
    <w:rsid w:val="00B93FE5"/>
    <w:rsid w:val="00BD48FE"/>
    <w:rsid w:val="00BD7BD8"/>
    <w:rsid w:val="00BE6ADC"/>
    <w:rsid w:val="00C05BFE"/>
    <w:rsid w:val="00C23CD4"/>
    <w:rsid w:val="00C61C0C"/>
    <w:rsid w:val="00C941CB"/>
    <w:rsid w:val="00CA0C49"/>
    <w:rsid w:val="00CC2357"/>
    <w:rsid w:val="00CF071A"/>
    <w:rsid w:val="00CF1593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3/2026"/>
    <w:docVar w:name="dvlangue" w:val="PL"/>
    <w:docVar w:name="dvnumam" w:val="0"/>
    <w:docVar w:name="dvpe" w:val="782.199"/>
    <w:docVar w:name="dvrapporteur" w:val="Sprawozdawca: "/>
    <w:docVar w:name="dvtitre" w:val="Decyzja Parlamentu Europejskiego z dnia  2026 r. w sprawie wniosku o uchylenie immunitetu Salvatorego De Meo(2025/2098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CA3207A"/>
  <w15:chartTrackingRefBased/>
  <w15:docId w15:val="{FDD4536B-B950-4A86-8D69-D7D2BDAD1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F75C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1F75C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1F75C0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F75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F75C0"/>
    <w:rPr>
      <w:sz w:val="24"/>
      <w:lang w:val="pl-PL"/>
    </w:rPr>
  </w:style>
  <w:style w:type="paragraph" w:customStyle="1" w:styleId="EPFooter">
    <w:name w:val="EPFooter"/>
    <w:basedOn w:val="Normal"/>
    <w:rsid w:val="001F75C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F75C0"/>
    <w:pPr>
      <w:spacing w:before="480" w:after="240"/>
    </w:pPr>
  </w:style>
  <w:style w:type="paragraph" w:styleId="Footer">
    <w:name w:val="footer"/>
    <w:basedOn w:val="Normal"/>
    <w:link w:val="FooterChar"/>
    <w:rsid w:val="003228A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228A5"/>
    <w:rPr>
      <w:sz w:val="24"/>
      <w:lang w:val="pl-PL"/>
    </w:rPr>
  </w:style>
  <w:style w:type="paragraph" w:styleId="Revision">
    <w:name w:val="Revision"/>
    <w:hidden/>
    <w:uiPriority w:val="99"/>
    <w:semiHidden/>
    <w:rsid w:val="00CA0C49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1160</Words>
  <Characters>7246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2026-06-16T11:22:00Z</dcterms:created>
  <dcterms:modified xsi:type="dcterms:W3CDTF">2026-06-16T11:22:00Z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A10-0153/2026</vt:lpwstr>
  </property>
  <property fmtid="{D5CDD505-2E9C-101B-9397-08002B2CF9AE}" pid="4" name="&lt;Type&gt;">
    <vt:lpwstr>RR</vt:lpwstr>
  </property>
</Properties>
</file>