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EA2B7A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4893" w:rsidP="0010095E" w14:paraId="6A042998" w14:textId="77777777">
            <w:pPr>
              <w:pStyle w:val="EPName"/>
            </w:pPr>
            <w:r w:rsidRPr="00AD4893">
              <w:t xml:space="preserve">Parlamento </w:t>
            </w:r>
            <w:r w:rsidRPr="00AD4893">
              <w:t>Europeu</w:t>
            </w:r>
          </w:p>
          <w:p w:rsidR="00751A4A" w:rsidRPr="00AD4893" w:rsidP="005F1B17" w14:paraId="3CBCA2D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4893">
              <w:t>2024</w:t>
            </w:r>
            <w:r w:rsidRPr="00AD4893" w:rsidR="00817416">
              <w:t>-202</w:t>
            </w:r>
            <w:r w:rsidRPr="00AD489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D4893" w:rsidP="0010095E" w14:paraId="2BBF8D76" w14:textId="77777777">
            <w:pPr>
              <w:pStyle w:val="EPLogo"/>
            </w:pPr>
            <w:r w:rsidRPr="00AD489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4893" w:rsidP="004C5D52" w14:paraId="736CDFC1" w14:textId="77777777">
      <w:pPr>
        <w:pStyle w:val="LineTop"/>
      </w:pPr>
    </w:p>
    <w:p w:rsidR="00680577" w:rsidRPr="00AD4893" w:rsidP="00680577" w14:paraId="32D0D7A4" w14:textId="77777777">
      <w:pPr>
        <w:pStyle w:val="EPBodyTA1"/>
      </w:pPr>
      <w:r w:rsidRPr="00AD4893">
        <w:t>TEXTOS APROVADOS</w:t>
      </w:r>
    </w:p>
    <w:p w:rsidR="00D058B8" w:rsidRPr="00AD4893" w:rsidP="00D058B8" w14:paraId="10ED710B" w14:textId="77777777">
      <w:pPr>
        <w:pStyle w:val="LineBottom"/>
      </w:pPr>
    </w:p>
    <w:p w:rsidR="00F8600A" w:rsidRPr="00AD4893" w:rsidP="00F8600A" w14:paraId="00166AE6" w14:textId="4541398F">
      <w:pPr>
        <w:pStyle w:val="ATHeading1"/>
      </w:pPr>
      <w:bookmarkStart w:id="0" w:name="TANumber"/>
      <w:r w:rsidRPr="00AD4893">
        <w:t>P10_</w:t>
      </w:r>
      <w:r w:rsidRPr="00AD4893">
        <w:t>TA(</w:t>
      </w:r>
      <w:r w:rsidRPr="00AD4893">
        <w:t>2026)0</w:t>
      </w:r>
      <w:bookmarkEnd w:id="0"/>
      <w:r w:rsidRPr="00AD4893" w:rsidR="00C24B39">
        <w:t>193</w:t>
      </w:r>
    </w:p>
    <w:p w:rsidR="00F8600A" w:rsidRPr="00AD4893" w:rsidP="00F8600A" w14:paraId="770F99FF" w14:textId="77777777">
      <w:pPr>
        <w:pStyle w:val="ATHeading2"/>
      </w:pPr>
      <w:bookmarkStart w:id="1" w:name="title"/>
      <w:r w:rsidRPr="00AD4893">
        <w:t xml:space="preserve">Pedido de levantamento da imunidade de Salvatore De </w:t>
      </w:r>
      <w:r w:rsidRPr="00AD4893">
        <w:t>Meo</w:t>
      </w:r>
      <w:bookmarkEnd w:id="1"/>
    </w:p>
    <w:p w:rsidR="00F8600A" w:rsidRPr="00AD4893" w:rsidP="00F8600A" w14:paraId="2C93BE6E" w14:textId="77777777">
      <w:pPr>
        <w:rPr>
          <w:i/>
          <w:vanish/>
        </w:rPr>
      </w:pPr>
      <w:r>
        <w:rPr>
          <w:i/>
        </w:rPr>
        <w:fldChar w:fldCharType="begin"/>
      </w:r>
      <w:r w:rsidRPr="00AD4893">
        <w:rPr>
          <w:i/>
        </w:rPr>
        <w:instrText xml:space="preserve"> TC"(</w:instrText>
      </w:r>
      <w:bookmarkStart w:id="2" w:name="DocNumber"/>
      <w:r w:rsidRPr="00AD4893">
        <w:rPr>
          <w:i/>
        </w:rPr>
        <w:instrText>A10-0153/2026</w:instrText>
      </w:r>
      <w:bookmarkEnd w:id="2"/>
      <w:r w:rsidRPr="00AD4893">
        <w:rPr>
          <w:i/>
        </w:rPr>
        <w:instrText xml:space="preserve"> - Relator: </w:instrText>
      </w:r>
      <w:r w:rsidRPr="00AD4893">
        <w:rPr>
          <w:i/>
        </w:rPr>
        <w:instrText>Ilhan</w:instrText>
      </w:r>
      <w:r w:rsidRPr="00AD4893">
        <w:rPr>
          <w:i/>
        </w:rPr>
        <w:instrText xml:space="preserve"> </w:instrText>
      </w:r>
      <w:r w:rsidRPr="00AD4893">
        <w:rPr>
          <w:i/>
        </w:rPr>
        <w:instrText>Kyuchyuk</w:instrText>
      </w:r>
      <w:r w:rsidRPr="00AD489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8600A" w:rsidRPr="00AD4893" w:rsidP="00F8600A" w14:paraId="3AFD4DB7" w14:textId="77777777">
      <w:pPr>
        <w:rPr>
          <w:vanish/>
        </w:rPr>
      </w:pPr>
      <w:bookmarkStart w:id="3" w:name="Commission"/>
      <w:r w:rsidRPr="00AD4893">
        <w:rPr>
          <w:vanish/>
        </w:rPr>
        <w:t>Comissão dos Assuntos Jurídicos</w:t>
      </w:r>
      <w:bookmarkEnd w:id="3"/>
    </w:p>
    <w:p w:rsidR="00F8600A" w:rsidRPr="00AD4893" w:rsidP="00F8600A" w14:paraId="229B3176" w14:textId="77777777">
      <w:pPr>
        <w:rPr>
          <w:vanish/>
        </w:rPr>
      </w:pPr>
      <w:bookmarkStart w:id="4" w:name="PE"/>
      <w:r w:rsidRPr="00AD4893">
        <w:rPr>
          <w:vanish/>
        </w:rPr>
        <w:t>PE782.199</w:t>
      </w:r>
      <w:bookmarkEnd w:id="4"/>
    </w:p>
    <w:p w:rsidR="00F8600A" w:rsidRPr="00AD4893" w:rsidP="00F8600A" w14:paraId="46C4487C" w14:textId="61C3B790">
      <w:pPr>
        <w:pStyle w:val="ATHeading3"/>
      </w:pPr>
      <w:bookmarkStart w:id="5" w:name="Sujet"/>
      <w:r w:rsidRPr="00AD4893">
        <w:t xml:space="preserve">Decisão do Parlamento Europeu, de </w:t>
      </w:r>
      <w:r w:rsidRPr="00AD4893" w:rsidR="008819CE">
        <w:t>1</w:t>
      </w:r>
      <w:r w:rsidRPr="00AD4893" w:rsidR="00B3042D">
        <w:t>6</w:t>
      </w:r>
      <w:r w:rsidRPr="00AD4893" w:rsidR="008819CE">
        <w:t xml:space="preserve"> </w:t>
      </w:r>
      <w:r w:rsidRPr="00AD4893">
        <w:t xml:space="preserve">de </w:t>
      </w:r>
      <w:r w:rsidRPr="00AD4893" w:rsidR="008819CE">
        <w:t xml:space="preserve">junho </w:t>
      </w:r>
      <w:r w:rsidRPr="00AD4893">
        <w:t>de 2026, sobre o pedido de levantamento da imunidade de Salvatore De </w:t>
      </w:r>
      <w:r w:rsidRPr="00AD4893">
        <w:t>Meo</w:t>
      </w:r>
      <w:bookmarkEnd w:id="5"/>
      <w:r w:rsidRPr="00AD4893">
        <w:t xml:space="preserve"> </w:t>
      </w:r>
      <w:bookmarkStart w:id="6" w:name="References"/>
      <w:r w:rsidRPr="00AD4893">
        <w:t>(2025/2098(IMM))</w:t>
      </w:r>
      <w:bookmarkEnd w:id="6"/>
    </w:p>
    <w:p w:rsidR="00B3369A" w:rsidRPr="00AD4893" w:rsidP="00B3369A" w14:paraId="66864EB8" w14:textId="77777777">
      <w:pPr>
        <w:pStyle w:val="EPComma"/>
      </w:pPr>
      <w:bookmarkStart w:id="7" w:name="TextBodyBegin"/>
      <w:bookmarkEnd w:id="7"/>
      <w:r w:rsidRPr="00AD4893">
        <w:rPr>
          <w:i/>
          <w:iCs/>
        </w:rPr>
        <w:t>O Parlamento Europeu</w:t>
      </w:r>
      <w:r w:rsidRPr="00AD4893">
        <w:t>,</w:t>
      </w:r>
    </w:p>
    <w:p w:rsidR="00B3369A" w:rsidRPr="00AD4893" w:rsidP="00B3369A" w14:paraId="4986CEF9" w14:textId="13CA906A">
      <w:pPr>
        <w:pStyle w:val="NormalHanging12a"/>
      </w:pPr>
      <w:r w:rsidRPr="00AD4893">
        <w:t>–</w:t>
      </w:r>
      <w:r w:rsidRPr="00AD4893">
        <w:tab/>
        <w:t xml:space="preserve">Tendo recebido um pedido de levantamento da imunidade de Salvatore De </w:t>
      </w:r>
      <w:r w:rsidRPr="00AD4893">
        <w:t>Meo</w:t>
      </w:r>
      <w:r w:rsidRPr="00AD4893">
        <w:t xml:space="preserve">, transmitido por carta do Serviço Público Federal belga dos Negócios Estrangeiros, do Comércio Externo e da Cooperação para o Desenvolvimento, com data de 6 de maio de 2025, que reencaminhou um pedido do Ministério Público Federal belga, com data de 16 de abril de 2025, no âmbito de uma ação penal a instaurar contra Salvatore De </w:t>
      </w:r>
      <w:r w:rsidRPr="00AD4893">
        <w:t>Meo</w:t>
      </w:r>
      <w:r w:rsidRPr="00AD4893">
        <w:t xml:space="preserve">, o qual foi </w:t>
      </w:r>
      <w:r w:rsidRPr="00AD4893" w:rsidR="004C70A9">
        <w:t xml:space="preserve">anunciado </w:t>
      </w:r>
      <w:r w:rsidRPr="00AD4893">
        <w:t>no Parlamento em 21 de maio de 2025,</w:t>
      </w:r>
    </w:p>
    <w:p w:rsidR="00B3369A" w:rsidRPr="00AD4893" w:rsidP="00B3369A" w14:paraId="53BEF009" w14:textId="3B18EEAF">
      <w:pPr>
        <w:pStyle w:val="NormalHanging12a"/>
        <w:rPr>
          <w:bCs/>
        </w:rPr>
      </w:pPr>
      <w:r w:rsidRPr="00AD4893">
        <w:t>–</w:t>
      </w:r>
      <w:r w:rsidRPr="00AD4893">
        <w:tab/>
      </w:r>
      <w:bookmarkStart w:id="8" w:name="_Hlk225077637"/>
      <w:r w:rsidRPr="00AD4893">
        <w:t xml:space="preserve">Tendo em conta as informações suplementares fornecidas pelo procurador federal e pelo juiz de instrução </w:t>
      </w:r>
      <w:r w:rsidRPr="00AD4893" w:rsidR="005D41B5">
        <w:t xml:space="preserve">durante </w:t>
      </w:r>
      <w:r w:rsidRPr="00AD4893">
        <w:t xml:space="preserve">uma troca de pontos de vista em 15 de julho de 2025, bem como a resposta dada em 18 de setembro de 2025 </w:t>
      </w:r>
      <w:r w:rsidRPr="00AD4893" w:rsidR="005D41B5">
        <w:t xml:space="preserve">pelo procurador federal </w:t>
      </w:r>
      <w:r w:rsidRPr="00AD4893">
        <w:t xml:space="preserve">na sequência de um novo pedido escrito de informações; tendo em conta que um pedido de levantamento da imunidade de um deputado </w:t>
      </w:r>
      <w:bookmarkStart w:id="9" w:name="_Hlk225077824"/>
      <w:r w:rsidRPr="00AD4893">
        <w:t>tem imperiosamente de cumprir determinadas</w:t>
      </w:r>
      <w:bookmarkEnd w:id="9"/>
      <w:r w:rsidRPr="00AD4893">
        <w:t xml:space="preserve"> normas, nomeadamente ser formulado de forma clara, designadamente no que diz respeito ao quadro jurídico em que o pedido se baseia, e tem de fornecer elementos e informações claros e suficientes para que o Parlamento possa examinar o pedido, a fim de chegar a uma conclusão e pôr termo a esse exame o mais rapidamente possível, tendo igualmente em conta a relativa complexidade do caso,</w:t>
      </w:r>
    </w:p>
    <w:bookmarkEnd w:id="8"/>
    <w:p w:rsidR="00B3369A" w:rsidRPr="00AD4893" w:rsidP="00B3369A" w14:paraId="5F0B7158" w14:textId="77777777">
      <w:pPr>
        <w:pStyle w:val="NormalHanging12a"/>
      </w:pPr>
      <w:r w:rsidRPr="00AD4893">
        <w:t>–</w:t>
      </w:r>
      <w:r w:rsidRPr="00AD4893">
        <w:tab/>
        <w:t>Tendo ouvido Salvatore De </w:t>
      </w:r>
      <w:r w:rsidRPr="00AD4893">
        <w:t>Meo</w:t>
      </w:r>
      <w:r w:rsidRPr="00AD4893">
        <w:t>, em 3 de dezembro de 2025, nos termos do artigo 9.º, n.º 6, do seu Regimento,</w:t>
      </w:r>
    </w:p>
    <w:p w:rsidR="00B3369A" w:rsidRPr="00AD4893" w:rsidP="00B3369A" w14:paraId="55082245" w14:textId="77777777">
      <w:pPr>
        <w:pStyle w:val="NormalHanging12a"/>
      </w:pPr>
      <w:r w:rsidRPr="00AD4893">
        <w:t>–</w:t>
      </w:r>
      <w:r w:rsidRPr="00AD4893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:rsidR="00B3369A" w:rsidRPr="00AD4893" w:rsidP="00B3369A" w14:paraId="3417A116" w14:textId="1C23BC73">
      <w:pPr>
        <w:pStyle w:val="NormalHanging12a"/>
      </w:pPr>
      <w:r w:rsidRPr="00AD4893">
        <w:t>–</w:t>
      </w:r>
      <w:r w:rsidRPr="00AD4893">
        <w:tab/>
        <w:t xml:space="preserve">Tendo em conta os Acórdãos proferidos pelo Tribunal de Justiça da União Europeia em 21 de outubro de 2008, 19 de março de 2010, 6 de setembro de 2011, 17 de janeiro </w:t>
      </w:r>
      <w:r w:rsidRPr="00AD4893">
        <w:t>de</w:t>
      </w:r>
      <w:r w:rsidRPr="00AD4893" w:rsidR="005D41B5">
        <w:t> </w:t>
      </w:r>
      <w:r w:rsidRPr="00AD4893">
        <w:t>2013 e 19 de dezembro de 2019</w:t>
      </w:r>
      <w:r>
        <w:rPr>
          <w:vertAlign w:val="superscript"/>
        </w:rPr>
        <w:footnoteReference w:id="2"/>
      </w:r>
      <w:r w:rsidRPr="00AD4893">
        <w:t>,</w:t>
      </w:r>
    </w:p>
    <w:p w:rsidR="00B3369A" w:rsidRPr="00AD4893" w:rsidP="00B3369A" w14:paraId="098B91AD" w14:textId="77777777">
      <w:pPr>
        <w:pStyle w:val="NormalHanging12a"/>
      </w:pPr>
      <w:r w:rsidRPr="00AD4893">
        <w:t>–</w:t>
      </w:r>
      <w:r w:rsidRPr="00AD4893">
        <w:tab/>
        <w:t>Tendo em conta o artigo 5.º, n.º 2, o artigo 6.º, n.º 1, e o artigo 9.º do seu Regimento,</w:t>
      </w:r>
    </w:p>
    <w:p w:rsidR="00B3369A" w:rsidRPr="00AD4893" w:rsidP="00B3369A" w14:paraId="4A6054AB" w14:textId="77777777">
      <w:pPr>
        <w:pStyle w:val="NormalHanging12a"/>
      </w:pPr>
      <w:r w:rsidRPr="00AD4893">
        <w:t>–</w:t>
      </w:r>
      <w:r w:rsidRPr="00AD4893">
        <w:tab/>
        <w:t>Tendo em conta o relatório da Comissão dos Assuntos Jurídicos (A10</w:t>
      </w:r>
      <w:r w:rsidRPr="00AD4893">
        <w:noBreakHyphen/>
        <w:t>0153/2026),</w:t>
      </w:r>
    </w:p>
    <w:p w:rsidR="00B3369A" w:rsidRPr="00AD4893" w:rsidP="00B3369A" w14:paraId="6C9CEE26" w14:textId="05D09A65">
      <w:pPr>
        <w:pStyle w:val="NormalHanging12a"/>
      </w:pPr>
      <w:r w:rsidRPr="00AD4893">
        <w:t>A.</w:t>
      </w:r>
      <w:r w:rsidRPr="00AD4893">
        <w:tab/>
      </w:r>
      <w:bookmarkStart w:id="10" w:name="_Hlk223949138"/>
      <w:r w:rsidRPr="00AD4893">
        <w:t xml:space="preserve">Considerando que, </w:t>
      </w:r>
      <w:bookmarkStart w:id="11" w:name="_Hlk232443632"/>
      <w:r w:rsidRPr="00AD4893">
        <w:t xml:space="preserve">em </w:t>
      </w:r>
      <w:bookmarkStart w:id="12" w:name="_Hlk210982066"/>
      <w:r w:rsidRPr="00AD4893">
        <w:t xml:space="preserve">6 de </w:t>
      </w:r>
      <w:r w:rsidRPr="00AD4893" w:rsidR="005D41B5">
        <w:t xml:space="preserve">maio </w:t>
      </w:r>
      <w:r w:rsidRPr="00AD4893">
        <w:t>de 2025</w:t>
      </w:r>
      <w:bookmarkEnd w:id="12"/>
      <w:r w:rsidRPr="00AD4893">
        <w:t xml:space="preserve">, </w:t>
      </w:r>
      <w:r w:rsidRPr="00AD4893" w:rsidR="009D793F">
        <w:t xml:space="preserve">o Serviço Público Federal belga dos Negócios Estrangeiros, do Comércio Externo e da Cooperação para o Desenvolvimento </w:t>
      </w:r>
      <w:bookmarkEnd w:id="11"/>
      <w:r w:rsidRPr="00AD4893" w:rsidR="00715C27">
        <w:t>transmitiu um pedido d</w:t>
      </w:r>
      <w:r w:rsidRPr="00AD4893">
        <w:t>o procurador federal</w:t>
      </w:r>
      <w:r w:rsidRPr="00AD4893" w:rsidR="009F664E">
        <w:t xml:space="preserve">, com data de 16 de abril de 2025, </w:t>
      </w:r>
      <w:r w:rsidRPr="00AD4893" w:rsidR="00715C27">
        <w:t xml:space="preserve">para o </w:t>
      </w:r>
      <w:r w:rsidRPr="00AD4893">
        <w:t xml:space="preserve">levantamento da imunidade de Salvatore De </w:t>
      </w:r>
      <w:r w:rsidRPr="00AD4893">
        <w:t>Meo</w:t>
      </w:r>
      <w:r w:rsidRPr="00AD4893">
        <w:t>, deputado ao Parlamento Europeu eleito em Itália, no âmbito de uma ação penal a ser instaurada contra o mesmo;</w:t>
      </w:r>
      <w:bookmarkEnd w:id="10"/>
    </w:p>
    <w:p w:rsidR="00B3369A" w:rsidRPr="00AD4893" w:rsidP="00B3369A" w14:paraId="5B691353" w14:textId="77366E40">
      <w:pPr>
        <w:pStyle w:val="NormalHanging12a"/>
      </w:pPr>
      <w:r w:rsidRPr="00AD4893">
        <w:t>B.</w:t>
      </w:r>
      <w:r w:rsidRPr="00AD4893">
        <w:tab/>
      </w:r>
      <w:bookmarkStart w:id="13" w:name="_Hlk228968475"/>
      <w:r w:rsidRPr="00AD4893">
        <w:t xml:space="preserve">Considerando que uma investigação alargada relativa à empresa </w:t>
      </w:r>
      <w:r w:rsidRPr="00AD4893">
        <w:t>Huawei</w:t>
      </w:r>
      <w:r w:rsidRPr="00AD4893">
        <w:t xml:space="preserve"> produziu alegadamente provas sérias da existência de uma organização criminosa cujo objetivo seria influenciar as decisões das instituições da </w:t>
      </w:r>
      <w:r w:rsidRPr="00AD4893" w:rsidR="00066858">
        <w:t xml:space="preserve">União </w:t>
      </w:r>
      <w:r w:rsidRPr="00AD4893">
        <w:t>através da participação em atos de corrupção de deputados ao Parlamento Europeu</w:t>
      </w:r>
      <w:r w:rsidRPr="00AD4893" w:rsidR="005D41B5">
        <w:t>; considerando que</w:t>
      </w:r>
      <w:r w:rsidRPr="00AD4893">
        <w:t xml:space="preserve"> esta investigação parece ter revelado vários atos de alegada corrupção que se presume terem sido cometidos regularmente entre 2021 e 2024</w:t>
      </w:r>
      <w:r w:rsidRPr="00AD4893" w:rsidR="005D41B5">
        <w:t>; considerando que</w:t>
      </w:r>
      <w:r w:rsidRPr="00AD4893">
        <w:t xml:space="preserve"> o esquema de corrupção terá assumido várias formas, inclusive o convite de deputados ao Parlamento Europeu para eventos apoiados pela </w:t>
      </w:r>
      <w:r w:rsidRPr="00AD4893">
        <w:t>Huawei</w:t>
      </w:r>
      <w:r w:rsidRPr="00AD4893">
        <w:t>, alegadamente em troca da tomada de posições políticas a favor desta empresa, e prendas excessivas, como despesas de alimentação e de viagem ou convites regulares para jogos de futebol fora do âmbito do Parlamento Europeu</w:t>
      </w:r>
      <w:bookmarkEnd w:id="13"/>
      <w:r w:rsidRPr="00AD4893">
        <w:t>;</w:t>
      </w:r>
    </w:p>
    <w:p w:rsidR="00B3369A" w:rsidRPr="00AD4893" w:rsidP="00B3369A" w14:paraId="69174A2A" w14:textId="02E1235C">
      <w:pPr>
        <w:pStyle w:val="NormalHanging12a"/>
      </w:pPr>
      <w:bookmarkStart w:id="14" w:name="_Hlk223949214"/>
      <w:r w:rsidRPr="00AD4893">
        <w:t>C.</w:t>
      </w:r>
      <w:r w:rsidRPr="00AD4893">
        <w:tab/>
        <w:t xml:space="preserve">Considerando que, de acordo com o pedido de levantamento da imunidade, Salvatore De </w:t>
      </w:r>
      <w:r w:rsidRPr="00AD4893">
        <w:t>Meo</w:t>
      </w:r>
      <w:r w:rsidRPr="00AD4893">
        <w:t xml:space="preserve"> foi convidado para um jantar que decorreu em 25 de junho de 2024 num restaurante em Bruxelas e </w:t>
      </w:r>
      <w:r w:rsidRPr="00AD4893" w:rsidR="00E278DB">
        <w:t xml:space="preserve">que </w:t>
      </w:r>
      <w:r w:rsidRPr="00AD4893" w:rsidR="009F664E">
        <w:t xml:space="preserve">alegadamente </w:t>
      </w:r>
      <w:r w:rsidRPr="00AD4893" w:rsidR="00E278DB">
        <w:t xml:space="preserve">foi </w:t>
      </w:r>
      <w:r w:rsidRPr="00AD4893">
        <w:t xml:space="preserve">organizado por um representante da </w:t>
      </w:r>
      <w:r w:rsidRPr="00AD4893">
        <w:t>Huawei</w:t>
      </w:r>
      <w:r w:rsidRPr="00AD4893">
        <w:t xml:space="preserve"> e pago por essa empresa, e que Salvatore De </w:t>
      </w:r>
      <w:r w:rsidRPr="00AD4893">
        <w:t>Meo</w:t>
      </w:r>
      <w:r w:rsidRPr="00AD4893">
        <w:t xml:space="preserve"> participou no jantar juntamente com outras sete pessoas</w:t>
      </w:r>
      <w:r w:rsidRPr="00AD4893" w:rsidR="005D41B5">
        <w:t>; considerando que</w:t>
      </w:r>
      <w:r w:rsidRPr="00AD4893">
        <w:t xml:space="preserve"> terão sido </w:t>
      </w:r>
      <w:r w:rsidRPr="00AD4893" w:rsidR="00E278DB">
        <w:t xml:space="preserve">alegadamente </w:t>
      </w:r>
      <w:r w:rsidRPr="00AD4893">
        <w:t xml:space="preserve">debatidos vários projetos relacionados com a perspetiva «Uma Só Saúde» e a </w:t>
      </w:r>
      <w:r w:rsidRPr="00AD4893">
        <w:t>Huawei</w:t>
      </w:r>
      <w:r w:rsidRPr="00AD4893">
        <w:t xml:space="preserve"> durante o jantar</w:t>
      </w:r>
      <w:r w:rsidRPr="00AD4893" w:rsidR="005D41B5">
        <w:t>; considerando que</w:t>
      </w:r>
      <w:r w:rsidRPr="00AD4893">
        <w:t xml:space="preserve"> a aceitação do pagamento das despesas do jantar — cujo montante exato era desconhecido da autoridade que solicita o levantamento da imunidade — não parece ter sido declarada por Salvatore De </w:t>
      </w:r>
      <w:r w:rsidRPr="00AD4893">
        <w:t>Meo</w:t>
      </w:r>
      <w:r w:rsidRPr="00AD4893">
        <w:t xml:space="preserve"> ao Parlamento Europeu</w:t>
      </w:r>
      <w:bookmarkEnd w:id="14"/>
      <w:r w:rsidRPr="00AD4893" w:rsidR="005D41B5">
        <w:t>; considerando que</w:t>
      </w:r>
      <w:r w:rsidRPr="00AD4893">
        <w:t xml:space="preserve">, de acordo com as informações adicionais </w:t>
      </w:r>
      <w:r w:rsidRPr="00AD4893" w:rsidR="00E278DB">
        <w:t xml:space="preserve">disponibilizadas </w:t>
      </w:r>
      <w:r w:rsidRPr="00AD4893">
        <w:t xml:space="preserve">pelo procurador federal, Salvatore De </w:t>
      </w:r>
      <w:r w:rsidRPr="00AD4893">
        <w:t>Meo</w:t>
      </w:r>
      <w:r w:rsidRPr="00AD4893">
        <w:t xml:space="preserve"> </w:t>
      </w:r>
      <w:r w:rsidRPr="00AD4893" w:rsidR="00E278DB">
        <w:t xml:space="preserve">alegadamente </w:t>
      </w:r>
      <w:r w:rsidRPr="00AD4893">
        <w:t xml:space="preserve">também terá recebido uma prenda </w:t>
      </w:r>
      <w:r w:rsidRPr="00AD4893" w:rsidR="00E278DB">
        <w:t>durante esse</w:t>
      </w:r>
      <w:r w:rsidRPr="00AD4893">
        <w:t xml:space="preserve"> jantar</w:t>
      </w:r>
      <w:r w:rsidRPr="00AD4893" w:rsidR="005D41B5">
        <w:t>; considerando que</w:t>
      </w:r>
      <w:r w:rsidRPr="00AD4893">
        <w:t xml:space="preserve">, de acordo com as mesmas informações suplementares, a </w:t>
      </w:r>
      <w:r w:rsidRPr="00AD4893">
        <w:t>Huawei</w:t>
      </w:r>
      <w:r w:rsidRPr="00AD4893">
        <w:t xml:space="preserve"> terá investido fundos no círculo eleitoral de Salvatore De </w:t>
      </w:r>
      <w:r w:rsidRPr="00AD4893">
        <w:t>Meo</w:t>
      </w:r>
      <w:r w:rsidRPr="00AD4893">
        <w:t xml:space="preserve"> em troca da tomada pública de posições positivas a favor das soluções tecnológicas vendidas pela </w:t>
      </w:r>
      <w:r w:rsidRPr="00AD4893">
        <w:t>Huawei</w:t>
      </w:r>
      <w:r w:rsidRPr="00AD4893" w:rsidR="005D41B5">
        <w:t>; considerando que</w:t>
      </w:r>
      <w:r w:rsidRPr="00AD4893">
        <w:t xml:space="preserve">, também de acordo com as informações suplementares fornecidas pelo procurador federal, Salvatore De </w:t>
      </w:r>
      <w:r w:rsidRPr="00AD4893">
        <w:t>Meo</w:t>
      </w:r>
      <w:r w:rsidRPr="00AD4893">
        <w:t xml:space="preserve"> aparece num vídeo promocional para a </w:t>
      </w:r>
      <w:r w:rsidRPr="00AD4893">
        <w:t>Huawei</w:t>
      </w:r>
      <w:r w:rsidRPr="00AD4893">
        <w:t xml:space="preserve"> elogiando o mérito das soluções vendidas por esta empresa no âmbito do projeto europeu «SMART VILLAGES»;</w:t>
      </w:r>
    </w:p>
    <w:p w:rsidR="00B3369A" w:rsidRPr="00AD4893" w:rsidP="00B3369A" w14:paraId="3D85267E" w14:textId="66222E12">
      <w:pPr>
        <w:pStyle w:val="NormalHanging12a"/>
      </w:pPr>
      <w:bookmarkStart w:id="15" w:name="_Hlk223949297"/>
      <w:r w:rsidRPr="00AD4893">
        <w:t>D.</w:t>
      </w:r>
      <w:r w:rsidRPr="00AD4893">
        <w:tab/>
      </w:r>
      <w:bookmarkStart w:id="16" w:name="_Hlk229557559"/>
      <w:r w:rsidRPr="00AD4893">
        <w:t xml:space="preserve">Considerando que </w:t>
      </w:r>
      <w:r w:rsidRPr="00AD4893" w:rsidR="001020B5">
        <w:t>só depois de o</w:t>
      </w:r>
      <w:r w:rsidRPr="00AD4893">
        <w:t xml:space="preserve"> procurador federal </w:t>
      </w:r>
      <w:r w:rsidRPr="00AD4893" w:rsidR="001020B5">
        <w:t xml:space="preserve">ter disponibilizado informações </w:t>
      </w:r>
      <w:r w:rsidRPr="00AD4893" w:rsidR="001020B5">
        <w:t xml:space="preserve">adicionais </w:t>
      </w:r>
      <w:r w:rsidRPr="00AD4893">
        <w:t xml:space="preserve">em resposta a </w:t>
      </w:r>
      <w:r w:rsidRPr="00AD4893" w:rsidR="00E278DB">
        <w:t xml:space="preserve">um </w:t>
      </w:r>
      <w:r w:rsidRPr="00AD4893">
        <w:t xml:space="preserve">pedido escrito de informações suplementares </w:t>
      </w:r>
      <w:r w:rsidRPr="00AD4893" w:rsidR="001020B5">
        <w:t>é que foi</w:t>
      </w:r>
      <w:r w:rsidRPr="00AD4893">
        <w:t xml:space="preserve"> </w:t>
      </w:r>
      <w:r w:rsidRPr="00AD4893" w:rsidR="001020B5">
        <w:t xml:space="preserve">indicado </w:t>
      </w:r>
      <w:r w:rsidRPr="00AD4893">
        <w:t>que as alegadas ações</w:t>
      </w:r>
      <w:bookmarkEnd w:id="16"/>
      <w:r w:rsidRPr="00AD4893">
        <w:t xml:space="preserve"> de Salvatore De </w:t>
      </w:r>
      <w:r w:rsidRPr="00AD4893">
        <w:t>Meo</w:t>
      </w:r>
      <w:r w:rsidRPr="00AD4893">
        <w:t xml:space="preserve"> poderiam ter constituído corrupção pública passiva, uma infração penal ao abrigo do artigo 246.º, n.º 1, do Código Penal belga;</w:t>
      </w:r>
    </w:p>
    <w:p w:rsidR="00B3369A" w:rsidRPr="00AD4893" w:rsidP="00B3369A" w14:paraId="38228591" w14:textId="5507205D">
      <w:pPr>
        <w:pStyle w:val="NormalHanging12a"/>
      </w:pPr>
      <w:r w:rsidRPr="00AD4893">
        <w:t>E.</w:t>
      </w:r>
      <w:r w:rsidRPr="00AD4893">
        <w:tab/>
        <w:t xml:space="preserve">Considerando que Salvatore De </w:t>
      </w:r>
      <w:r w:rsidRPr="00AD4893">
        <w:t>Meo</w:t>
      </w:r>
      <w:r w:rsidRPr="00AD4893">
        <w:t xml:space="preserve"> foi reeleito para o Parlamento Europeu nas eleições europeias de junho de 2024 e</w:t>
      </w:r>
      <w:r w:rsidRPr="00AD4893" w:rsidR="00E278DB">
        <w:t>, por conseguinte,</w:t>
      </w:r>
      <w:r w:rsidRPr="00AD4893">
        <w:t xml:space="preserve"> era deputado ao Parlamento Europeu no momento da alegada infração;</w:t>
      </w:r>
    </w:p>
    <w:p w:rsidR="00B3369A" w:rsidRPr="00AD4893" w:rsidP="00B3369A" w14:paraId="1F6AE4B1" w14:textId="77777777">
      <w:pPr>
        <w:pStyle w:val="NormalHanging12a"/>
      </w:pPr>
      <w:r w:rsidRPr="00AD4893">
        <w:t>F.</w:t>
      </w:r>
      <w:r w:rsidRPr="00AD4893">
        <w:tab/>
        <w:t>Considerando, por um lado, que o Parlamento não pode ser equiparado a um tribunal e que, por outro, o deputado, no contexto de um processo de levantamento da imunidade, não pode ser considerado «arguido»</w:t>
      </w:r>
      <w:r>
        <w:rPr>
          <w:vertAlign w:val="superscript"/>
        </w:rPr>
        <w:footnoteReference w:id="3"/>
      </w:r>
      <w:r w:rsidRPr="00AD4893">
        <w:t>;</w:t>
      </w:r>
    </w:p>
    <w:p w:rsidR="00B3369A" w:rsidRPr="00AD4893" w:rsidP="00B3369A" w14:paraId="62D42C0C" w14:textId="77777777">
      <w:pPr>
        <w:pStyle w:val="NormalHanging12a"/>
      </w:pPr>
      <w:r w:rsidRPr="00AD4893">
        <w:t>G.</w:t>
      </w:r>
      <w:r w:rsidRPr="00AD4893">
        <w:tab/>
        <w:t>Considerando que o objetivo da imunidade parlamentar prevista no Protocolo n.º 7 relativo aos Privilégios e Imunidades da União Europeia consiste em proteger o Parlamento e os seus deputados contra processos judiciais relacionados com atividades exercidas no desempenho das suas funções parlamentares e que não podem ser separadas dessas funções;</w:t>
      </w:r>
    </w:p>
    <w:p w:rsidR="00B3369A" w:rsidRPr="00AD4893" w:rsidP="00B3369A" w14:paraId="00AAA8B9" w14:textId="484E4A78">
      <w:pPr>
        <w:pStyle w:val="NormalHanging12a"/>
      </w:pPr>
      <w:r w:rsidRPr="00AD4893">
        <w:t>H.</w:t>
      </w:r>
      <w:r w:rsidRPr="00AD4893">
        <w:tab/>
        <w:t>Considerando que, nos termos do artigo 5.º, n.º 2, do seu Regimento, a imunidade parlamentar não é um privilégio pessoal dos deputados, mas sim uma garantia da independência do Parlamento Europeu como um todo</w:t>
      </w:r>
      <w:r w:rsidRPr="00AD4893" w:rsidR="009158EA">
        <w:t>,</w:t>
      </w:r>
      <w:r w:rsidRPr="00AD4893">
        <w:t xml:space="preserve"> e dos seus </w:t>
      </w:r>
      <w:r w:rsidRPr="00AD4893" w:rsidR="009158EA">
        <w:t>membros</w:t>
      </w:r>
      <w:r w:rsidRPr="00AD4893">
        <w:t>;</w:t>
      </w:r>
    </w:p>
    <w:p w:rsidR="00B3369A" w:rsidRPr="00AD4893" w:rsidP="00B3369A" w14:paraId="2E1764F3" w14:textId="09B52579">
      <w:pPr>
        <w:pStyle w:val="NormalHanging12a"/>
      </w:pPr>
      <w:r w:rsidRPr="00AD4893">
        <w:t>I.</w:t>
      </w:r>
      <w:r w:rsidRPr="00AD4893">
        <w:tab/>
        <w:t xml:space="preserve">Considerando que o Protocolo n.º 7 relativo aos Privilégios e Imunidades da União Europeia, no seu artigo 8.º, prevê que os </w:t>
      </w:r>
      <w:r w:rsidRPr="00AD4893" w:rsidR="002D29C4">
        <w:t xml:space="preserve">membros do </w:t>
      </w:r>
      <w:r w:rsidRPr="00AD4893">
        <w:t>Parlamento Europeu não podem ser procurados, detidos ou perseguidos pelas opiniões ou votos emitidos no exercício das suas funções</w:t>
      </w:r>
      <w:r w:rsidRPr="00AD4893" w:rsidR="005D41B5">
        <w:t>; considerando que</w:t>
      </w:r>
      <w:r w:rsidRPr="00AD4893">
        <w:t xml:space="preserve"> a alegada infração não diz respeito a opiniões ou votos emitidos por Salvatore De </w:t>
      </w:r>
      <w:r w:rsidRPr="00AD4893">
        <w:t>Meo</w:t>
      </w:r>
      <w:r w:rsidRPr="00AD4893">
        <w:t xml:space="preserve"> no exercício das suas funções, na aceção do artigo 8.º do referido Protocolo;</w:t>
      </w:r>
    </w:p>
    <w:p w:rsidR="00B3369A" w:rsidRPr="00AD4893" w:rsidP="00B3369A" w14:paraId="52888A68" w14:textId="09D8B49B">
      <w:pPr>
        <w:pStyle w:val="NormalHanging12a"/>
      </w:pPr>
      <w:r w:rsidRPr="00AD4893">
        <w:t>J.</w:t>
      </w:r>
      <w:r w:rsidRPr="00AD4893">
        <w:tab/>
        <w:t>Considerando que o artigo 9.º, primeiro parágrafo, alínea b), do Protocolo n.º 7 relativo aos Privilégios e Imunidades da União Europeia prevê que</w:t>
      </w:r>
      <w:r w:rsidRPr="00AD4893" w:rsidR="002D29C4">
        <w:t>, durante as sessões do Parlamento Europeu,</w:t>
      </w:r>
      <w:r w:rsidRPr="00AD4893">
        <w:t xml:space="preserve"> os</w:t>
      </w:r>
      <w:r w:rsidRPr="00AD4893" w:rsidR="002D29C4">
        <w:t xml:space="preserve"> seus</w:t>
      </w:r>
      <w:r w:rsidRPr="00AD4893">
        <w:t xml:space="preserve"> </w:t>
      </w:r>
      <w:r w:rsidRPr="00AD4893" w:rsidR="002D29C4">
        <w:t xml:space="preserve">membros </w:t>
      </w:r>
      <w:r w:rsidRPr="00AD4893">
        <w:t>beneficiam, no território de qualquer outro Estado</w:t>
      </w:r>
      <w:r w:rsidRPr="00AD4893">
        <w:noBreakHyphen/>
        <w:t>Membro à exceção do seu, da não sujeição a qualquer medida de detenção e a qualquer procedimento judicial;</w:t>
      </w:r>
    </w:p>
    <w:p w:rsidR="00B3369A" w:rsidRPr="00AD4893" w:rsidP="00B3369A" w14:paraId="5B328BBD" w14:textId="69A8719D">
      <w:pPr>
        <w:pStyle w:val="NormalHanging12a"/>
      </w:pPr>
      <w:r w:rsidRPr="00AD4893">
        <w:t>K.</w:t>
      </w:r>
      <w:r w:rsidRPr="00AD4893">
        <w:tab/>
        <w:t xml:space="preserve">Considerando que qualquer conclusão relativa à imunidade de Salvatore De </w:t>
      </w:r>
      <w:r w:rsidRPr="00AD4893">
        <w:t>Meo</w:t>
      </w:r>
      <w:r w:rsidRPr="00AD4893">
        <w:t xml:space="preserve"> deve ser retirada com base no pedido de levantamento da imunidade e nas informações e explicações fornecidas neste caso, incluindo as respostas dadas pelo procurador federal, tanto durante a troca de pontos de vista como nas informações suplementares fornecidas por escrito</w:t>
      </w:r>
      <w:r w:rsidRPr="00AD4893" w:rsidR="005D41B5">
        <w:t>; considerando que</w:t>
      </w:r>
      <w:r w:rsidRPr="00AD4893">
        <w:t xml:space="preserve"> existe uma escassez flagrante de elementos concretos no pedido de levantamento da imunidade</w:t>
      </w:r>
      <w:r w:rsidRPr="00AD4893" w:rsidR="005D41B5">
        <w:t>; considerando que</w:t>
      </w:r>
      <w:r w:rsidRPr="00AD4893">
        <w:t xml:space="preserve">, apesar de fornecerem informações sobre alguns outros casos de suspeita de alegadas irregularidades, as ulteriores trocas de informações orais e escritas com o procurador federal não foram suficientes para dissipar a considerável incerteza quanto ao pedido de levantamento da imunidade de Salvatore De </w:t>
      </w:r>
      <w:r w:rsidRPr="00AD4893">
        <w:t>Meo</w:t>
      </w:r>
      <w:r w:rsidRPr="00AD4893">
        <w:t>;</w:t>
      </w:r>
    </w:p>
    <w:p w:rsidR="00B3369A" w:rsidRPr="00AD4893" w:rsidP="00B3369A" w14:paraId="3D27ACA0" w14:textId="7E1B712B">
      <w:pPr>
        <w:pStyle w:val="NormalHanging12a"/>
      </w:pPr>
      <w:r w:rsidRPr="00AD4893">
        <w:t>L.</w:t>
      </w:r>
      <w:r w:rsidRPr="00AD4893">
        <w:tab/>
        <w:t xml:space="preserve">Considerando que, com base no que precede, o conjunto das informações apresentadas não permitiu ao Parlamento chegar com confiança a uma decisão suficientemente </w:t>
      </w:r>
      <w:r w:rsidRPr="00AD4893">
        <w:t>informada de levantamento da imunidade de Salvatore De </w:t>
      </w:r>
      <w:r w:rsidRPr="00AD4893">
        <w:t>Meo</w:t>
      </w:r>
      <w:r w:rsidRPr="00AD4893" w:rsidR="005D41B5">
        <w:t>; considerando que</w:t>
      </w:r>
      <w:r w:rsidRPr="00AD4893">
        <w:t xml:space="preserve">, além disso, uma incerteza tão significativa quanto aos diversos elementos do presente processo poderia também indicar a existência de </w:t>
      </w:r>
      <w:r w:rsidRPr="00AD4893">
        <w:rPr>
          <w:i/>
          <w:iCs/>
        </w:rPr>
        <w:t>fumus</w:t>
      </w:r>
      <w:r w:rsidRPr="00AD4893">
        <w:rPr>
          <w:i/>
          <w:iCs/>
        </w:rPr>
        <w:t xml:space="preserve"> </w:t>
      </w:r>
      <w:r w:rsidRPr="00AD4893">
        <w:rPr>
          <w:i/>
          <w:iCs/>
        </w:rPr>
        <w:t>persecutionis</w:t>
      </w:r>
      <w:r w:rsidRPr="00AD4893">
        <w:t>;</w:t>
      </w:r>
    </w:p>
    <w:bookmarkEnd w:id="15"/>
    <w:p w:rsidR="00B3369A" w:rsidRPr="00AD4893" w:rsidP="00B3369A" w14:paraId="36163D3C" w14:textId="77777777">
      <w:pPr>
        <w:pStyle w:val="NormalHanging12a"/>
      </w:pPr>
      <w:r w:rsidRPr="00AD4893">
        <w:t>1.</w:t>
      </w:r>
      <w:r w:rsidRPr="00AD4893">
        <w:tab/>
        <w:t>Decide não levantar a imunidade de Salvatore De </w:t>
      </w:r>
      <w:r w:rsidRPr="00AD4893">
        <w:t>Meo</w:t>
      </w:r>
      <w:r w:rsidRPr="00AD4893">
        <w:t>;</w:t>
      </w:r>
    </w:p>
    <w:p w:rsidR="0018196C" w:rsidRPr="00AD4893" w:rsidP="0018196C" w14:paraId="0E37E8BD" w14:textId="15CA3CE5">
      <w:pPr>
        <w:pStyle w:val="NormalHanging12a"/>
      </w:pPr>
      <w:r w:rsidRPr="00AD4893">
        <w:t>2.</w:t>
      </w:r>
      <w:r w:rsidRPr="00AD4893">
        <w:tab/>
        <w:t xml:space="preserve">Encarrega a sua Presidente de transmitir de imediato a presente decisão, bem como o relatório da sua comissão </w:t>
      </w:r>
      <w:r w:rsidRPr="00AD4893" w:rsidR="001C4B24">
        <w:t>competente</w:t>
      </w:r>
      <w:r w:rsidRPr="00AD4893">
        <w:t>, à autoridade competente do Reino da Bélgica e a Salvatore De </w:t>
      </w:r>
      <w:r w:rsidRPr="00AD4893">
        <w:t>Meo</w:t>
      </w:r>
      <w:r w:rsidRPr="00AD4893">
        <w:t>.</w:t>
      </w:r>
    </w:p>
    <w:p w:rsidR="00E365E1" w:rsidRPr="00AD4893" w:rsidP="00F8600A" w14:paraId="736B7260" w14:textId="4E123D25"/>
    <w:sectPr w:rsidSect="0018196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8600A" w:rsidRPr="0018196C" w14:paraId="3C9D6B0E" w14:textId="77777777">
      <w:r w:rsidRPr="0018196C">
        <w:separator/>
      </w:r>
    </w:p>
  </w:footnote>
  <w:footnote w:type="continuationSeparator" w:id="1">
    <w:p w:rsidR="00F8600A" w:rsidRPr="0018196C" w14:paraId="4C3661DD" w14:textId="77777777">
      <w:r w:rsidRPr="0018196C">
        <w:continuationSeparator/>
      </w:r>
    </w:p>
  </w:footnote>
  <w:footnote w:id="2">
    <w:p w:rsidR="00B3369A" w:rsidRPr="0018196C" w:rsidP="0018196C" w14:paraId="6C05A619" w14:textId="724F3CDC">
      <w:pPr>
        <w:pStyle w:val="FootnoteText"/>
        <w:ind w:left="567" w:hanging="567"/>
        <w:rPr>
          <w:sz w:val="24"/>
          <w:lang w:val="pt-PT"/>
        </w:rPr>
      </w:pPr>
      <w:r w:rsidRPr="0018196C">
        <w:rPr>
          <w:rStyle w:val="FootnoteReference"/>
          <w:sz w:val="24"/>
          <w:lang w:val="pt-PT"/>
        </w:rPr>
        <w:footnoteRef/>
      </w:r>
      <w:r w:rsidRPr="0018196C" w:rsidR="0018196C">
        <w:rPr>
          <w:sz w:val="24"/>
          <w:lang w:val="pt-PT"/>
        </w:rPr>
        <w:t xml:space="preserve"> </w:t>
      </w:r>
      <w:r w:rsidRPr="0018196C" w:rsidR="0018196C">
        <w:rPr>
          <w:sz w:val="24"/>
          <w:lang w:val="pt-PT"/>
        </w:rPr>
        <w:tab/>
      </w:r>
      <w:r w:rsidRPr="0018196C">
        <w:rPr>
          <w:sz w:val="24"/>
          <w:lang w:val="pt-PT"/>
        </w:rPr>
        <w:t xml:space="preserve">Acórdão do Tribunal de Justiça de 21 de outubro de 2008, Marra/De </w:t>
      </w:r>
      <w:r w:rsidRPr="0018196C">
        <w:rPr>
          <w:sz w:val="24"/>
          <w:lang w:val="pt-PT"/>
        </w:rPr>
        <w:t>Gregorio</w:t>
      </w:r>
      <w:r w:rsidRPr="0018196C">
        <w:rPr>
          <w:sz w:val="24"/>
          <w:lang w:val="pt-PT"/>
        </w:rPr>
        <w:t xml:space="preserve"> e Clemente, C</w:t>
      </w:r>
      <w:r w:rsidRPr="0018196C">
        <w:rPr>
          <w:sz w:val="24"/>
          <w:lang w:val="pt-PT"/>
        </w:rPr>
        <w:noBreakHyphen/>
        <w:t>200/07 e C</w:t>
      </w:r>
      <w:r w:rsidRPr="0018196C">
        <w:rPr>
          <w:sz w:val="24"/>
          <w:lang w:val="pt-PT"/>
        </w:rPr>
        <w:noBreakHyphen/>
        <w:t xml:space="preserve">201/07, ECLI:EU:C:2008:579; Acórdão do Tribunal Geral de 19 de março de 2010, </w:t>
      </w:r>
      <w:r w:rsidRPr="0018196C">
        <w:rPr>
          <w:sz w:val="24"/>
          <w:lang w:val="pt-PT"/>
        </w:rPr>
        <w:t>Gollnisch</w:t>
      </w:r>
      <w:r w:rsidRPr="0018196C">
        <w:rPr>
          <w:sz w:val="24"/>
          <w:lang w:val="pt-PT"/>
        </w:rPr>
        <w:t>/Parlamento Europeu, T</w:t>
      </w:r>
      <w:r w:rsidRPr="0018196C">
        <w:rPr>
          <w:sz w:val="24"/>
          <w:lang w:val="pt-PT"/>
        </w:rPr>
        <w:noBreakHyphen/>
        <w:t xml:space="preserve">42/06, ECLI:EU:T:2010:102; Acórdão do Tribunal de Justiça de 6 de setembro de 2011, </w:t>
      </w:r>
      <w:r w:rsidRPr="0018196C">
        <w:rPr>
          <w:sz w:val="24"/>
          <w:lang w:val="pt-PT"/>
        </w:rPr>
        <w:t>Patriciello</w:t>
      </w:r>
      <w:r w:rsidRPr="0018196C">
        <w:rPr>
          <w:sz w:val="24"/>
          <w:lang w:val="pt-PT"/>
        </w:rPr>
        <w:t>, C</w:t>
      </w:r>
      <w:r w:rsidRPr="0018196C">
        <w:rPr>
          <w:sz w:val="24"/>
          <w:lang w:val="pt-PT"/>
        </w:rPr>
        <w:noBreakHyphen/>
        <w:t xml:space="preserve">163/10, ECLI: EU:C:2011:543; Acórdão do Tribunal Geral de 17 de janeiro de 2013, </w:t>
      </w:r>
      <w:r w:rsidRPr="0018196C">
        <w:rPr>
          <w:sz w:val="24"/>
          <w:lang w:val="pt-PT"/>
        </w:rPr>
        <w:t>Gollnisch</w:t>
      </w:r>
      <w:r w:rsidRPr="0018196C">
        <w:rPr>
          <w:sz w:val="24"/>
          <w:lang w:val="pt-PT"/>
        </w:rPr>
        <w:t>/Parlamento Europeu, T</w:t>
      </w:r>
      <w:r w:rsidRPr="0018196C">
        <w:rPr>
          <w:sz w:val="24"/>
          <w:lang w:val="pt-PT"/>
        </w:rPr>
        <w:noBreakHyphen/>
        <w:t>346/11 e T</w:t>
      </w:r>
      <w:r w:rsidRPr="0018196C">
        <w:rPr>
          <w:sz w:val="24"/>
          <w:lang w:val="pt-PT"/>
        </w:rPr>
        <w:noBreakHyphen/>
        <w:t xml:space="preserve">347/11, ECLI:EU:T:2013:23; Acórdão do Tribunal de Justiça de 19 de dezembro de 2019, </w:t>
      </w:r>
      <w:r w:rsidRPr="0018196C">
        <w:rPr>
          <w:sz w:val="24"/>
          <w:lang w:val="pt-PT"/>
        </w:rPr>
        <w:t>Junqueras</w:t>
      </w:r>
      <w:r w:rsidRPr="0018196C">
        <w:rPr>
          <w:sz w:val="24"/>
          <w:lang w:val="pt-PT"/>
        </w:rPr>
        <w:t xml:space="preserve"> </w:t>
      </w:r>
      <w:r w:rsidRPr="0018196C">
        <w:rPr>
          <w:sz w:val="24"/>
          <w:lang w:val="pt-PT"/>
        </w:rPr>
        <w:t>Vies</w:t>
      </w:r>
      <w:r w:rsidRPr="0018196C">
        <w:rPr>
          <w:sz w:val="24"/>
          <w:lang w:val="pt-PT"/>
        </w:rPr>
        <w:t>, C</w:t>
      </w:r>
      <w:r w:rsidRPr="0018196C">
        <w:rPr>
          <w:sz w:val="24"/>
          <w:lang w:val="pt-PT"/>
        </w:rPr>
        <w:noBreakHyphen/>
        <w:t>502/19, ECLI:EU:C:2019:1115.</w:t>
      </w:r>
    </w:p>
  </w:footnote>
  <w:footnote w:id="3">
    <w:p w:rsidR="00B3369A" w:rsidRPr="0018196C" w:rsidP="0018196C" w14:paraId="2FC20A10" w14:textId="4D39FDDC">
      <w:pPr>
        <w:pStyle w:val="FootnoteText"/>
        <w:ind w:left="567" w:hanging="567"/>
        <w:rPr>
          <w:sz w:val="24"/>
          <w:lang w:val="pt-PT"/>
        </w:rPr>
      </w:pPr>
      <w:r w:rsidRPr="0018196C">
        <w:rPr>
          <w:rStyle w:val="FootnoteReference"/>
          <w:sz w:val="24"/>
          <w:lang w:val="pt-PT"/>
        </w:rPr>
        <w:footnoteRef/>
      </w:r>
      <w:r w:rsidRPr="0018196C" w:rsidR="0018196C">
        <w:rPr>
          <w:sz w:val="24"/>
          <w:lang w:val="pt-PT"/>
        </w:rPr>
        <w:t xml:space="preserve"> </w:t>
      </w:r>
      <w:r w:rsidRPr="0018196C" w:rsidR="0018196C">
        <w:rPr>
          <w:sz w:val="24"/>
          <w:lang w:val="pt-PT"/>
        </w:rPr>
        <w:tab/>
      </w:r>
      <w:r w:rsidRPr="0018196C">
        <w:rPr>
          <w:sz w:val="24"/>
          <w:lang w:val="pt-PT"/>
        </w:rPr>
        <w:t xml:space="preserve">Acórdão do Tribunal Geral de 30 de abril de 2019, </w:t>
      </w:r>
      <w:r w:rsidRPr="0018196C">
        <w:rPr>
          <w:sz w:val="24"/>
          <w:lang w:val="pt-PT"/>
        </w:rPr>
        <w:t>Briois</w:t>
      </w:r>
      <w:r w:rsidRPr="0018196C">
        <w:rPr>
          <w:sz w:val="24"/>
          <w:lang w:val="pt-PT"/>
        </w:rPr>
        <w:t>/Parlamento Europeu, T</w:t>
      </w:r>
      <w:r w:rsidRPr="0018196C">
        <w:rPr>
          <w:sz w:val="24"/>
          <w:lang w:val="pt-PT"/>
        </w:rPr>
        <w:noBreakHyphen/>
        <w:t>214/18, ECLI:</w:t>
      </w:r>
      <w:r w:rsidRPr="0018196C">
        <w:rPr>
          <w:sz w:val="24"/>
          <w:lang w:val="pt-PT"/>
        </w:rPr>
        <w:t>EU:T</w:t>
      </w:r>
      <w:r w:rsidRPr="0018196C">
        <w:rPr>
          <w:sz w:val="24"/>
          <w:lang w:val="pt-PT"/>
        </w:rPr>
        <w:t>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0969692">
    <w:abstractNumId w:val="9"/>
  </w:num>
  <w:num w:numId="2" w16cid:durableId="1986231180">
    <w:abstractNumId w:val="9"/>
  </w:num>
  <w:num w:numId="3" w16cid:durableId="633602217">
    <w:abstractNumId w:val="7"/>
  </w:num>
  <w:num w:numId="4" w16cid:durableId="802819467">
    <w:abstractNumId w:val="7"/>
  </w:num>
  <w:num w:numId="5" w16cid:durableId="1828979166">
    <w:abstractNumId w:val="6"/>
  </w:num>
  <w:num w:numId="6" w16cid:durableId="1135490775">
    <w:abstractNumId w:val="6"/>
  </w:num>
  <w:num w:numId="7" w16cid:durableId="2118404489">
    <w:abstractNumId w:val="5"/>
  </w:num>
  <w:num w:numId="8" w16cid:durableId="188644051">
    <w:abstractNumId w:val="5"/>
  </w:num>
  <w:num w:numId="9" w16cid:durableId="193546056">
    <w:abstractNumId w:val="4"/>
  </w:num>
  <w:num w:numId="10" w16cid:durableId="1142111890">
    <w:abstractNumId w:val="4"/>
  </w:num>
  <w:num w:numId="11" w16cid:durableId="143471188">
    <w:abstractNumId w:val="8"/>
  </w:num>
  <w:num w:numId="12" w16cid:durableId="645092077">
    <w:abstractNumId w:val="8"/>
  </w:num>
  <w:num w:numId="13" w16cid:durableId="1765683691">
    <w:abstractNumId w:val="3"/>
  </w:num>
  <w:num w:numId="14" w16cid:durableId="965966668">
    <w:abstractNumId w:val="3"/>
  </w:num>
  <w:num w:numId="15" w16cid:durableId="1573390090">
    <w:abstractNumId w:val="2"/>
  </w:num>
  <w:num w:numId="16" w16cid:durableId="730275710">
    <w:abstractNumId w:val="2"/>
  </w:num>
  <w:num w:numId="17" w16cid:durableId="225652888">
    <w:abstractNumId w:val="1"/>
  </w:num>
  <w:num w:numId="18" w16cid:durableId="604003383">
    <w:abstractNumId w:val="1"/>
  </w:num>
  <w:num w:numId="19" w16cid:durableId="2030250470">
    <w:abstractNumId w:val="0"/>
  </w:num>
  <w:num w:numId="20" w16cid:durableId="138427446">
    <w:abstractNumId w:val="0"/>
  </w:num>
  <w:num w:numId="21" w16cid:durableId="1309288324">
    <w:abstractNumId w:val="9"/>
  </w:num>
  <w:num w:numId="22" w16cid:durableId="198978559">
    <w:abstractNumId w:val="7"/>
  </w:num>
  <w:num w:numId="23" w16cid:durableId="632716897">
    <w:abstractNumId w:val="6"/>
  </w:num>
  <w:num w:numId="24" w16cid:durableId="564146234">
    <w:abstractNumId w:val="5"/>
  </w:num>
  <w:num w:numId="25" w16cid:durableId="2073380870">
    <w:abstractNumId w:val="4"/>
  </w:num>
  <w:num w:numId="26" w16cid:durableId="2000499660">
    <w:abstractNumId w:val="8"/>
  </w:num>
  <w:num w:numId="27" w16cid:durableId="1815177660">
    <w:abstractNumId w:val="3"/>
  </w:num>
  <w:num w:numId="28" w16cid:durableId="785075343">
    <w:abstractNumId w:val="2"/>
  </w:num>
  <w:num w:numId="29" w16cid:durableId="1438209695">
    <w:abstractNumId w:val="1"/>
  </w:num>
  <w:num w:numId="30" w16cid:durableId="246233891">
    <w:abstractNumId w:val="0"/>
  </w:num>
  <w:num w:numId="31" w16cid:durableId="525873498">
    <w:abstractNumId w:val="9"/>
  </w:num>
  <w:num w:numId="32" w16cid:durableId="697200859">
    <w:abstractNumId w:val="7"/>
  </w:num>
  <w:num w:numId="33" w16cid:durableId="2084335244">
    <w:abstractNumId w:val="6"/>
  </w:num>
  <w:num w:numId="34" w16cid:durableId="1343315143">
    <w:abstractNumId w:val="5"/>
  </w:num>
  <w:num w:numId="35" w16cid:durableId="534730323">
    <w:abstractNumId w:val="4"/>
  </w:num>
  <w:num w:numId="36" w16cid:durableId="887909961">
    <w:abstractNumId w:val="8"/>
  </w:num>
  <w:num w:numId="37" w16cid:durableId="1173565407">
    <w:abstractNumId w:val="3"/>
  </w:num>
  <w:num w:numId="38" w16cid:durableId="1497916504">
    <w:abstractNumId w:val="2"/>
  </w:num>
  <w:num w:numId="39" w16cid:durableId="774399769">
    <w:abstractNumId w:val="1"/>
  </w:num>
  <w:num w:numId="40" w16cid:durableId="972639101">
    <w:abstractNumId w:val="0"/>
  </w:num>
  <w:num w:numId="41" w16cid:durableId="121198201">
    <w:abstractNumId w:val="10"/>
  </w:num>
  <w:num w:numId="42" w16cid:durableId="1386490918">
    <w:abstractNumId w:val="10"/>
  </w:num>
  <w:num w:numId="43" w16cid:durableId="903223753">
    <w:abstractNumId w:val="10"/>
  </w:num>
  <w:num w:numId="44" w16cid:durableId="18138662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0A"/>
    <w:rsid w:val="00002272"/>
    <w:rsid w:val="00064002"/>
    <w:rsid w:val="00066858"/>
    <w:rsid w:val="000677B9"/>
    <w:rsid w:val="000831BA"/>
    <w:rsid w:val="000A42CC"/>
    <w:rsid w:val="000E7DD9"/>
    <w:rsid w:val="0010095E"/>
    <w:rsid w:val="001020B5"/>
    <w:rsid w:val="00125B37"/>
    <w:rsid w:val="0018196C"/>
    <w:rsid w:val="00187494"/>
    <w:rsid w:val="001C3373"/>
    <w:rsid w:val="001C4B24"/>
    <w:rsid w:val="001D7AEC"/>
    <w:rsid w:val="001F32AE"/>
    <w:rsid w:val="002032DE"/>
    <w:rsid w:val="002767FF"/>
    <w:rsid w:val="002B18FE"/>
    <w:rsid w:val="002B5493"/>
    <w:rsid w:val="002D29C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0A9"/>
    <w:rsid w:val="0050519A"/>
    <w:rsid w:val="005072A1"/>
    <w:rsid w:val="00514517"/>
    <w:rsid w:val="00545827"/>
    <w:rsid w:val="00560270"/>
    <w:rsid w:val="005758CF"/>
    <w:rsid w:val="0059744A"/>
    <w:rsid w:val="005C2568"/>
    <w:rsid w:val="005D41B5"/>
    <w:rsid w:val="005F1B17"/>
    <w:rsid w:val="006037C0"/>
    <w:rsid w:val="006631B6"/>
    <w:rsid w:val="00680577"/>
    <w:rsid w:val="006F74FA"/>
    <w:rsid w:val="00715C2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9CE"/>
    <w:rsid w:val="00881A7B"/>
    <w:rsid w:val="008840E5"/>
    <w:rsid w:val="00887B3E"/>
    <w:rsid w:val="008C2AC6"/>
    <w:rsid w:val="009158EA"/>
    <w:rsid w:val="00930C23"/>
    <w:rsid w:val="0093193B"/>
    <w:rsid w:val="009509D8"/>
    <w:rsid w:val="00950B64"/>
    <w:rsid w:val="00981893"/>
    <w:rsid w:val="009D793F"/>
    <w:rsid w:val="009F664E"/>
    <w:rsid w:val="00A1687D"/>
    <w:rsid w:val="00A324B2"/>
    <w:rsid w:val="00A36F58"/>
    <w:rsid w:val="00A43E52"/>
    <w:rsid w:val="00A4678D"/>
    <w:rsid w:val="00A778C7"/>
    <w:rsid w:val="00AB441E"/>
    <w:rsid w:val="00AB6293"/>
    <w:rsid w:val="00AD4893"/>
    <w:rsid w:val="00AE0928"/>
    <w:rsid w:val="00AF3B82"/>
    <w:rsid w:val="00B12E95"/>
    <w:rsid w:val="00B22876"/>
    <w:rsid w:val="00B3042D"/>
    <w:rsid w:val="00B3369A"/>
    <w:rsid w:val="00B558F0"/>
    <w:rsid w:val="00BD48FE"/>
    <w:rsid w:val="00BD7BD8"/>
    <w:rsid w:val="00BE6ADC"/>
    <w:rsid w:val="00C05BFE"/>
    <w:rsid w:val="00C23CD4"/>
    <w:rsid w:val="00C24B39"/>
    <w:rsid w:val="00C61C0C"/>
    <w:rsid w:val="00C941CB"/>
    <w:rsid w:val="00CC2357"/>
    <w:rsid w:val="00CD02EC"/>
    <w:rsid w:val="00CF071A"/>
    <w:rsid w:val="00D02B49"/>
    <w:rsid w:val="00D058B8"/>
    <w:rsid w:val="00D56C11"/>
    <w:rsid w:val="00D834A0"/>
    <w:rsid w:val="00D872DF"/>
    <w:rsid w:val="00D91E21"/>
    <w:rsid w:val="00DA7FCD"/>
    <w:rsid w:val="00E278DB"/>
    <w:rsid w:val="00E365E1"/>
    <w:rsid w:val="00E53D6F"/>
    <w:rsid w:val="00E72AE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00A"/>
    <w:rsid w:val="00F87713"/>
    <w:rsid w:val="00FB4360"/>
    <w:rsid w:val="00FD0C70"/>
  </w:rsids>
  <w:docVars>
    <w:docVar w:name="dvdocse" w:val="A10-0153/2026"/>
    <w:docVar w:name="dvlangue" w:val="PT"/>
    <w:docVar w:name="dvnumam" w:val="0"/>
    <w:docVar w:name="dvpe" w:val="782.199"/>
    <w:docVar w:name="dvrapporteur" w:val="Relator: "/>
    <w:docVar w:name="dvtitre" w:val="Decisão do Parlamento Europeu, de ... de ... de 2026,&#13;_x000a_ sobre o pedido de levantamento da imunidade de Salvatore De Meo(2025/2098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00972B"/>
  <w15:chartTrackingRefBased/>
  <w15:docId w15:val="{D25AC341-A11D-453A-94F6-9CE5E316A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3369A"/>
    <w:pPr>
      <w:spacing w:after="240"/>
      <w:ind w:left="567" w:hanging="567"/>
    </w:pPr>
  </w:style>
  <w:style w:type="paragraph" w:customStyle="1" w:styleId="EPComma">
    <w:name w:val="EPComma"/>
    <w:basedOn w:val="Normal"/>
    <w:rsid w:val="00B3369A"/>
    <w:pPr>
      <w:spacing w:before="480" w:after="240"/>
    </w:pPr>
  </w:style>
  <w:style w:type="paragraph" w:styleId="Revision">
    <w:name w:val="Revision"/>
    <w:hidden/>
    <w:uiPriority w:val="99"/>
    <w:semiHidden/>
    <w:rsid w:val="008819CE"/>
    <w:rPr>
      <w:sz w:val="24"/>
      <w:lang w:val="pt-PT"/>
    </w:rPr>
  </w:style>
  <w:style w:type="character" w:styleId="CommentReference">
    <w:name w:val="annotation reference"/>
    <w:basedOn w:val="DefaultParagraphFont"/>
    <w:rsid w:val="005D41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41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41B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D4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41B5"/>
    <w:rPr>
      <w:b/>
      <w:bCs/>
      <w:lang w:val="pt-PT"/>
    </w:rPr>
  </w:style>
  <w:style w:type="character" w:styleId="Hyperlink">
    <w:name w:val="Hyperlink"/>
    <w:basedOn w:val="DefaultParagraphFont"/>
    <w:rsid w:val="005D41B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D41B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1356</Words>
  <Characters>7323</Characters>
  <Application>Microsoft Office Word</Application>
  <DocSecurity>0</DocSecurity>
  <Lines>292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2026-06-16T11:18:00Z</dcterms:created>
  <dcterms:modified xsi:type="dcterms:W3CDTF">2026-06-16T11:18:00Z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A10-0153/2026</vt:lpwstr>
  </property>
  <property fmtid="{D5CDD505-2E9C-101B-9397-08002B2CF9AE}" pid="4" name="&lt;Type&gt;">
    <vt:lpwstr>RR</vt:lpwstr>
  </property>
</Properties>
</file>