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F289C2C" w14:textId="77777777" w:rsidTr="0010095E">
        <w:tblPrEx>
          <w:tblW w:w="9072" w:type="dxa"/>
          <w:tblLook w:val="01E0"/>
        </w:tblPrEx>
        <w:trPr>
          <w:trHeight w:hRule="exact" w:val="1418"/>
        </w:trPr>
        <w:tc>
          <w:tcPr>
            <w:tcW w:w="6804" w:type="dxa"/>
            <w:shd w:val="clear" w:color="auto" w:fill="auto"/>
            <w:vAlign w:val="center"/>
          </w:tcPr>
          <w:p w:rsidR="00751A4A" w:rsidRPr="009D5A1F" w:rsidP="0010095E" w14:paraId="675477FC" w14:textId="77777777">
            <w:pPr>
              <w:pStyle w:val="EPName"/>
            </w:pPr>
            <w:r w:rsidRPr="009D5A1F">
              <w:t>Euroopa Parlament</w:t>
            </w:r>
          </w:p>
          <w:p w:rsidR="00751A4A" w:rsidRPr="009D5A1F" w:rsidP="005F1B17" w14:paraId="2E8BE713" w14:textId="77777777">
            <w:pPr>
              <w:pStyle w:val="EPTerm"/>
              <w:rPr>
                <w:rStyle w:val="HideTWBExt"/>
                <w:noProof w:val="0"/>
                <w:vanish w:val="0"/>
                <w:color w:val="auto"/>
              </w:rPr>
            </w:pPr>
            <w:r w:rsidRPr="009D5A1F">
              <w:t>2024</w:t>
            </w:r>
            <w:r w:rsidRPr="009D5A1F" w:rsidR="00817416">
              <w:t>-202</w:t>
            </w:r>
            <w:r w:rsidRPr="009D5A1F">
              <w:t>9</w:t>
            </w:r>
          </w:p>
        </w:tc>
        <w:tc>
          <w:tcPr>
            <w:tcW w:w="2268" w:type="dxa"/>
            <w:shd w:val="clear" w:color="auto" w:fill="auto"/>
          </w:tcPr>
          <w:p w:rsidR="00751A4A" w:rsidRPr="009D5A1F" w:rsidP="0010095E" w14:paraId="482C864A" w14:textId="77777777">
            <w:pPr>
              <w:pStyle w:val="EPLogo"/>
            </w:pPr>
            <w:r w:rsidRPr="009D5A1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D5A1F" w:rsidP="004C5D52" w14:paraId="03FC3548" w14:textId="77777777">
      <w:pPr>
        <w:pStyle w:val="LineTop"/>
      </w:pPr>
    </w:p>
    <w:p w:rsidR="00680577" w:rsidRPr="009D5A1F" w:rsidP="00680577" w14:paraId="7D94B0D7" w14:textId="77777777">
      <w:pPr>
        <w:pStyle w:val="EPBodyTA1"/>
      </w:pPr>
      <w:r w:rsidRPr="009D5A1F">
        <w:t>VASTUVÕETUD TEKSTID</w:t>
      </w:r>
    </w:p>
    <w:p w:rsidR="00D058B8" w:rsidRPr="009D5A1F" w:rsidP="00D058B8" w14:paraId="4C513652" w14:textId="77777777">
      <w:pPr>
        <w:pStyle w:val="LineBottom"/>
      </w:pPr>
    </w:p>
    <w:p w:rsidR="00294FF1" w:rsidRPr="009D5A1F" w:rsidP="00294FF1" w14:paraId="629DB856" w14:textId="631AD2BA">
      <w:pPr>
        <w:pStyle w:val="ATHeading1"/>
      </w:pPr>
      <w:bookmarkStart w:id="0" w:name="TANumber"/>
      <w:r w:rsidRPr="009D5A1F">
        <w:t>P10_TA(2026)0</w:t>
      </w:r>
      <w:r w:rsidRPr="009D5A1F" w:rsidR="00900886">
        <w:t>194</w:t>
      </w:r>
      <w:bookmarkEnd w:id="0"/>
    </w:p>
    <w:p w:rsidR="00294FF1" w:rsidRPr="009D5A1F" w:rsidP="00294FF1" w14:paraId="57B59F32" w14:textId="77777777">
      <w:pPr>
        <w:pStyle w:val="ATHeading2"/>
      </w:pPr>
      <w:bookmarkStart w:id="1" w:name="title"/>
      <w:r w:rsidRPr="009D5A1F">
        <w:t>Fulvio</w:t>
      </w:r>
      <w:r w:rsidRPr="009D5A1F">
        <w:t xml:space="preserve"> </w:t>
      </w:r>
      <w:r w:rsidRPr="009D5A1F">
        <w:t>Martusciello</w:t>
      </w:r>
      <w:r w:rsidRPr="009D5A1F">
        <w:t xml:space="preserve"> puutumatuse äravõtmise taotlus</w:t>
      </w:r>
      <w:bookmarkEnd w:id="1"/>
    </w:p>
    <w:p w:rsidR="00294FF1" w:rsidRPr="009D5A1F" w:rsidP="00294FF1" w14:paraId="6DA926D7" w14:textId="77777777">
      <w:pPr>
        <w:rPr>
          <w:i/>
          <w:vanish/>
        </w:rPr>
      </w:pPr>
      <w:r>
        <w:rPr>
          <w:i/>
        </w:rPr>
        <w:fldChar w:fldCharType="begin"/>
      </w:r>
      <w:r w:rsidRPr="009D5A1F">
        <w:rPr>
          <w:i/>
        </w:rPr>
        <w:instrText xml:space="preserve"> TC"(</w:instrText>
      </w:r>
      <w:bookmarkStart w:id="2" w:name="DocNumber"/>
      <w:r w:rsidRPr="009D5A1F">
        <w:rPr>
          <w:i/>
        </w:rPr>
        <w:instrText>A10-0154/2026</w:instrText>
      </w:r>
      <w:bookmarkEnd w:id="2"/>
      <w:r w:rsidRPr="009D5A1F">
        <w:rPr>
          <w:i/>
        </w:rPr>
        <w:instrText xml:space="preserve"> - Raportöör: </w:instrText>
      </w:r>
      <w:r w:rsidRPr="009D5A1F">
        <w:rPr>
          <w:i/>
        </w:rPr>
        <w:instrText>Dominik</w:instrText>
      </w:r>
      <w:r w:rsidRPr="009D5A1F">
        <w:rPr>
          <w:i/>
        </w:rPr>
        <w:instrText xml:space="preserve"> </w:instrText>
      </w:r>
      <w:r w:rsidRPr="009D5A1F">
        <w:rPr>
          <w:i/>
        </w:rPr>
        <w:instrText>Tarczyński</w:instrText>
      </w:r>
      <w:r w:rsidRPr="009D5A1F">
        <w:rPr>
          <w:i/>
        </w:rPr>
        <w:instrText xml:space="preserve">)"\l3 \n&gt; \* MERGEFORMAT </w:instrText>
      </w:r>
      <w:r>
        <w:rPr>
          <w:i/>
        </w:rPr>
        <w:fldChar w:fldCharType="end"/>
      </w:r>
    </w:p>
    <w:p w:rsidR="00294FF1" w:rsidRPr="009D5A1F" w:rsidP="00294FF1" w14:paraId="0D43F29B" w14:textId="77777777">
      <w:pPr>
        <w:rPr>
          <w:vanish/>
        </w:rPr>
      </w:pPr>
      <w:bookmarkStart w:id="3" w:name="Commission"/>
      <w:r w:rsidRPr="009D5A1F">
        <w:rPr>
          <w:vanish/>
        </w:rPr>
        <w:t>Õiguskomisjon</w:t>
      </w:r>
      <w:bookmarkEnd w:id="3"/>
    </w:p>
    <w:p w:rsidR="00294FF1" w:rsidRPr="009D5A1F" w:rsidP="00294FF1" w14:paraId="02BED863" w14:textId="77777777">
      <w:pPr>
        <w:rPr>
          <w:vanish/>
        </w:rPr>
      </w:pPr>
      <w:bookmarkStart w:id="4" w:name="PE"/>
      <w:r w:rsidRPr="009D5A1F">
        <w:rPr>
          <w:vanish/>
        </w:rPr>
        <w:t>PE788.823</w:t>
      </w:r>
      <w:bookmarkEnd w:id="4"/>
    </w:p>
    <w:p w:rsidR="00294FF1" w:rsidRPr="009D5A1F" w:rsidP="00CA6FAD" w14:paraId="4125ADD1" w14:textId="024ED300">
      <w:pPr>
        <w:pStyle w:val="ATHeading3"/>
      </w:pPr>
      <w:bookmarkStart w:id="5" w:name="Sujet"/>
      <w:r w:rsidRPr="009D5A1F">
        <w:t xml:space="preserve">Euroopa Parlamendi </w:t>
      </w:r>
      <w:r w:rsidRPr="009D5A1F" w:rsidR="00CA6FAD">
        <w:t>16</w:t>
      </w:r>
      <w:r w:rsidRPr="009D5A1F">
        <w:t>.</w:t>
      </w:r>
      <w:r w:rsidRPr="009D5A1F" w:rsidR="00CA6FAD">
        <w:t> juuni</w:t>
      </w:r>
      <w:r w:rsidRPr="009D5A1F">
        <w:t xml:space="preserve"> 2026.</w:t>
      </w:r>
      <w:r w:rsidRPr="009D5A1F" w:rsidR="00CA6FAD">
        <w:t> </w:t>
      </w:r>
      <w:r w:rsidRPr="009D5A1F">
        <w:t xml:space="preserve">aasta otsus </w:t>
      </w:r>
      <w:r w:rsidRPr="009D5A1F">
        <w:t>Fulvio</w:t>
      </w:r>
      <w:r w:rsidRPr="009D5A1F">
        <w:t xml:space="preserve"> </w:t>
      </w:r>
      <w:r w:rsidRPr="009D5A1F">
        <w:t>Martusciello</w:t>
      </w:r>
      <w:r w:rsidRPr="009D5A1F">
        <w:t xml:space="preserve"> puutumatuse äravõtmise taotluse kohta</w:t>
      </w:r>
      <w:bookmarkEnd w:id="5"/>
      <w:r w:rsidRPr="009D5A1F">
        <w:t xml:space="preserve"> </w:t>
      </w:r>
      <w:bookmarkStart w:id="6" w:name="References"/>
      <w:r w:rsidRPr="009D5A1F">
        <w:t>(2025/2099(IMM))</w:t>
      </w:r>
      <w:bookmarkEnd w:id="6"/>
    </w:p>
    <w:p w:rsidR="009E2022" w:rsidRPr="009D5A1F" w:rsidP="009E2022" w14:paraId="30BDA1EA" w14:textId="77777777">
      <w:pPr>
        <w:pStyle w:val="EPComma"/>
      </w:pPr>
      <w:bookmarkStart w:id="7" w:name="TextBodyBegin"/>
      <w:bookmarkEnd w:id="7"/>
      <w:r w:rsidRPr="009D5A1F">
        <w:rPr>
          <w:i/>
        </w:rPr>
        <w:t>Euroopa Parlament</w:t>
      </w:r>
      <w:r w:rsidRPr="009D5A1F">
        <w:t>,</w:t>
      </w:r>
    </w:p>
    <w:p w:rsidR="009E2022" w:rsidRPr="009D5A1F" w:rsidP="009E2022" w14:paraId="75F9545D" w14:textId="524ADDB0">
      <w:pPr>
        <w:pStyle w:val="NormalHanging12a"/>
      </w:pPr>
      <w:r w:rsidRPr="009D5A1F">
        <w:t>–</w:t>
      </w:r>
      <w:r w:rsidRPr="009D5A1F">
        <w:tab/>
        <w:t xml:space="preserve">võttes arvesse </w:t>
      </w:r>
      <w:r w:rsidRPr="009D5A1F">
        <w:t>Fulvio</w:t>
      </w:r>
      <w:r w:rsidRPr="009D5A1F">
        <w:t xml:space="preserve"> </w:t>
      </w:r>
      <w:r w:rsidRPr="009D5A1F">
        <w:t>Martusciello</w:t>
      </w:r>
      <w:r w:rsidRPr="009D5A1F">
        <w:t xml:space="preserve"> puutumatuse äravõtmise taotlust, mis saadi Belgia välisasjade, väliskaubanduse ja arengukoostöö föderaalameti 6. mai 2025. aasta kirjaga, milles edastati Belgia riigiprokuratuuri 16. aprilli 2025. aasta taotlus seoses kriminaalmenetlusega, mida </w:t>
      </w:r>
      <w:r w:rsidRPr="009D5A1F">
        <w:t>Fulvio</w:t>
      </w:r>
      <w:r w:rsidRPr="009D5A1F">
        <w:t xml:space="preserve"> </w:t>
      </w:r>
      <w:r w:rsidRPr="009D5A1F">
        <w:t>Martusciello</w:t>
      </w:r>
      <w:r w:rsidRPr="009D5A1F">
        <w:t xml:space="preserve"> suhtes alustada soovitakse; võttes arvesse, et taotlus tehti teatavaks </w:t>
      </w:r>
      <w:r w:rsidRPr="009D5A1F" w:rsidR="00482684">
        <w:t>Euroopa P</w:t>
      </w:r>
      <w:r w:rsidRPr="009D5A1F">
        <w:t>arlamendi istungil 21. mail 2025. aastal,</w:t>
      </w:r>
    </w:p>
    <w:p w:rsidR="009E2022" w:rsidRPr="009D5A1F" w:rsidP="009E2022" w14:paraId="79266320" w14:textId="77777777">
      <w:pPr>
        <w:pStyle w:val="NormalHanging12a"/>
        <w:rPr>
          <w:bCs/>
        </w:rPr>
      </w:pPr>
      <w:r w:rsidRPr="009D5A1F">
        <w:t>–</w:t>
      </w:r>
      <w:r w:rsidRPr="009D5A1F">
        <w:tab/>
        <w:t xml:space="preserve">olles 24. märtsil 2026 vastavalt kodukorra artikli 9 lõikele 6 kuulanud ära </w:t>
      </w:r>
      <w:r w:rsidRPr="009D5A1F">
        <w:t>Fulvio</w:t>
      </w:r>
      <w:r w:rsidRPr="009D5A1F">
        <w:t xml:space="preserve"> </w:t>
      </w:r>
      <w:r w:rsidRPr="009D5A1F">
        <w:t>Martusciello</w:t>
      </w:r>
      <w:r w:rsidRPr="009D5A1F">
        <w:t xml:space="preserve"> selgitused,</w:t>
      </w:r>
    </w:p>
    <w:p w:rsidR="009E2022" w:rsidRPr="009D5A1F" w:rsidP="009E2022" w14:paraId="50B5BFD4" w14:textId="77777777">
      <w:pPr>
        <w:pStyle w:val="NormalHanging12a"/>
      </w:pPr>
      <w:r w:rsidRPr="009D5A1F">
        <w:t>–</w:t>
      </w:r>
      <w:r w:rsidRPr="009D5A1F">
        <w:tab/>
        <w:t>võttes arvesse protokolli nr 7 (Euroopa Liidu privileegide ja immuniteetide kohta) artikleid 8 ja 9 ning otsestel ja üldistel valimistel Euroopa Parlamendi liikmete valimist käsitleva 20. septembri 1976. aasta akti artikli 6 lõiget 2,</w:t>
      </w:r>
    </w:p>
    <w:p w:rsidR="009E2022" w:rsidRPr="009D5A1F" w:rsidP="009E2022" w14:paraId="678D15EF" w14:textId="77777777">
      <w:pPr>
        <w:pStyle w:val="NormalHanging12a"/>
      </w:pPr>
      <w:r w:rsidRPr="009D5A1F">
        <w:t>–</w:t>
      </w:r>
      <w:r w:rsidRPr="009D5A1F">
        <w:tab/>
        <w:t>võttes arvesse Euroopa Liidu Kohtu 21. oktoobri 2008. aasta, 19. märtsi 2010. aasta, 6. septembri 2011. aasta, 17. jaanuari 2013. aasta ja 19. detsembri 2019. aasta otsuseid</w:t>
      </w:r>
      <w:r>
        <w:rPr>
          <w:vertAlign w:val="superscript"/>
        </w:rPr>
        <w:footnoteReference w:id="2"/>
      </w:r>
      <w:r w:rsidRPr="009D5A1F">
        <w:t>,</w:t>
      </w:r>
    </w:p>
    <w:p w:rsidR="009E2022" w:rsidRPr="009D5A1F" w:rsidP="009E2022" w14:paraId="2A8F5D93" w14:textId="77777777">
      <w:pPr>
        <w:pStyle w:val="NormalHanging12a"/>
      </w:pPr>
      <w:r w:rsidRPr="009D5A1F">
        <w:t>–</w:t>
      </w:r>
      <w:r w:rsidRPr="009D5A1F">
        <w:tab/>
        <w:t>võttes arvesse kodukorra artikli 5 lõiget 2, artikli 6 lõiget 1 ja artiklit 9,</w:t>
      </w:r>
    </w:p>
    <w:p w:rsidR="009E2022" w:rsidRPr="009D5A1F" w:rsidP="009E2022" w14:paraId="59058B85" w14:textId="77777777">
      <w:pPr>
        <w:pStyle w:val="NormalHanging12a"/>
      </w:pPr>
      <w:r w:rsidRPr="009D5A1F">
        <w:t>–</w:t>
      </w:r>
      <w:r w:rsidRPr="009D5A1F">
        <w:tab/>
        <w:t>võttes arvesse õiguskomisjoni raportit (A10-0154/2026),</w:t>
      </w:r>
    </w:p>
    <w:p w:rsidR="009E2022" w:rsidRPr="009D5A1F" w:rsidP="009E2022" w14:paraId="44C65338" w14:textId="65FEAEFC">
      <w:pPr>
        <w:pStyle w:val="NormalHanging12a"/>
      </w:pPr>
      <w:r w:rsidRPr="009D5A1F">
        <w:t>A.</w:t>
      </w:r>
      <w:r w:rsidRPr="009D5A1F">
        <w:tab/>
      </w:r>
      <w:bookmarkStart w:id="8" w:name="_Hlk223949138"/>
      <w:r w:rsidRPr="009D5A1F">
        <w:t xml:space="preserve">arvestades, et </w:t>
      </w:r>
      <w:r w:rsidRPr="009D5A1F" w:rsidR="00CA6FAD">
        <w:t>6. mail 2025. aastal edastas välisasjade, väliskaubanduse ja arengukoostöö föderaalamet riigiprokuratuuri</w:t>
      </w:r>
      <w:r w:rsidRPr="009D5A1F">
        <w:t xml:space="preserve"> </w:t>
      </w:r>
      <w:bookmarkStart w:id="9" w:name="_Hlk210982066"/>
      <w:r w:rsidRPr="009D5A1F">
        <w:t>16. aprilli 2025</w:t>
      </w:r>
      <w:bookmarkEnd w:id="9"/>
      <w:r w:rsidRPr="009D5A1F" w:rsidR="00CA6FAD">
        <w:t>. aasta</w:t>
      </w:r>
      <w:r w:rsidRPr="009D5A1F">
        <w:t xml:space="preserve"> taotluse võtta ära </w:t>
      </w:r>
      <w:r w:rsidRPr="009D5A1F">
        <w:t xml:space="preserve">Itaaliast valitud Euroopa Parlamendi liikme </w:t>
      </w:r>
      <w:r w:rsidRPr="009D5A1F">
        <w:t>Fulvio</w:t>
      </w:r>
      <w:r w:rsidRPr="009D5A1F">
        <w:t xml:space="preserve"> </w:t>
      </w:r>
      <w:r w:rsidRPr="009D5A1F">
        <w:t>Martusciello</w:t>
      </w:r>
      <w:r w:rsidRPr="009D5A1F">
        <w:t xml:space="preserve"> puutumatus seoses väidetavat korruptsioonijuhtumit puudutava kriminaalmenetlusega, mida tema suhtes alustada soovitakse;</w:t>
      </w:r>
      <w:bookmarkEnd w:id="8"/>
    </w:p>
    <w:p w:rsidR="009E2022" w:rsidRPr="009D5A1F" w:rsidP="009E2022" w14:paraId="07736663" w14:textId="70DBA103">
      <w:pPr>
        <w:pStyle w:val="NormalHanging12a"/>
      </w:pPr>
      <w:r w:rsidRPr="009D5A1F">
        <w:t>B.</w:t>
      </w:r>
      <w:r w:rsidRPr="009D5A1F">
        <w:tab/>
      </w:r>
      <w:bookmarkStart w:id="10" w:name="_Hlk223949179"/>
      <w:r w:rsidRPr="009D5A1F">
        <w:t xml:space="preserve">arvestades, et äriühingut Huawei käsitleva ulatusliku uurimise tulemusel saadi väidetavalt kaalukaid tõendeid, mis näitasid, et eksisteerib kuritegelik organisatsioon, mille tegevuse väidetav eesmärk oli mõjutada </w:t>
      </w:r>
      <w:r w:rsidRPr="009D5A1F" w:rsidR="00CA6FAD">
        <w:t>liidu</w:t>
      </w:r>
      <w:r w:rsidRPr="009D5A1F">
        <w:t xml:space="preserve"> institutsioonide otsuseid Euroopa Parlamendi liikmetele altkäemaksu andmisega; arvestades, et see uurimine näib olevat paljastanud mitu väidetavat korruptiivset tegu, mis eeldatavalt pandi korrapäraselt toime aastatel 2021–2024; arvestades, et korruptsiooniskeem toimis väidetavalt mitmes vormis, muu hulgas näiteks kutsuti Euroopa Parlamendi liikmeid Huawei toetatavatele üritustele, et saada vastutasuks sellele äriühingule soodsaid poliitilisi otsuseid, ning tehti mõõdutundetuid kingitusi, näiteks kattes toitlustus- ja reisikulud või jagades korduvalt kutseid jalgpallimatšidele, millel ei ole Euroopa Parlamendi tööga mingit seost;</w:t>
      </w:r>
      <w:bookmarkEnd w:id="10"/>
    </w:p>
    <w:p w:rsidR="009E2022" w:rsidRPr="009D5A1F" w:rsidP="009E2022" w14:paraId="712B8BAD" w14:textId="1F1989EB">
      <w:pPr>
        <w:pStyle w:val="NormalHanging12a"/>
      </w:pPr>
      <w:bookmarkStart w:id="11" w:name="_Hlk223949214"/>
      <w:r w:rsidRPr="009D5A1F">
        <w:t>C.</w:t>
      </w:r>
      <w:r w:rsidRPr="009D5A1F">
        <w:tab/>
        <w:t xml:space="preserve">arvestades, et puutumatuse äravõtmise taotlusest ilmneb, et mitu Euroopa Parlamendi liiget saatsid 2021. aasta veebruaris kolmele Euroopa Komisjoni volinikule kirja, mille eesmärk oli mõjutada </w:t>
      </w:r>
      <w:r w:rsidRPr="009D5A1F" w:rsidR="00CA6FAD">
        <w:t>liidu</w:t>
      </w:r>
      <w:r w:rsidRPr="009D5A1F">
        <w:t xml:space="preserve"> poliitikat 5G-võrkude kasutuselevõtul Euroopas, eelkõige seoses kolmandate riikide ettevõtete, näiteks Huawei toetamisega; arvestades, et uurimisest nähtub selge plaan alates kirja koostamisest kuni selle väljasaatmise, mõju ja sellega seotud arveldusteni, mis kõik näib kinnitavat, et kiri oli üks lüli ahelas, mis selgelt ületas mõjutamise või lobitöö piirid ja mida võib eeldatavalt pidada korruptsiooniskeemi osaks; arvestades, et väidetavalt oli kirja koostamise peamine toetaja </w:t>
      </w:r>
      <w:r w:rsidRPr="009D5A1F">
        <w:t>Fulvio</w:t>
      </w:r>
      <w:r w:rsidRPr="009D5A1F">
        <w:t xml:space="preserve"> </w:t>
      </w:r>
      <w:r w:rsidRPr="009D5A1F">
        <w:t>Martusciello</w:t>
      </w:r>
      <w:r w:rsidRPr="009D5A1F">
        <w:t>, kes kirjale esimesena alla kirjutas ja kellele väidetavalt maksti selle eest, et ta oma poliitilist mõju ära kasutades korruptsioonis osaleks, kusjuures väidetava kokkuleppe varjamiseks püüti raha liikumise jälgi põhjalikult segada;</w:t>
      </w:r>
    </w:p>
    <w:p w:rsidR="009E2022" w:rsidRPr="009D5A1F" w:rsidP="009E2022" w14:paraId="2E9A5007" w14:textId="5F03D7F1">
      <w:pPr>
        <w:pStyle w:val="NormalHanging12a"/>
      </w:pPr>
      <w:r w:rsidRPr="009D5A1F">
        <w:t>D.</w:t>
      </w:r>
      <w:r w:rsidRPr="009D5A1F">
        <w:tab/>
      </w:r>
      <w:bookmarkEnd w:id="11"/>
      <w:r w:rsidRPr="009D5A1F">
        <w:t xml:space="preserve">arvestades, et väidetavalt tegeles </w:t>
      </w:r>
      <w:r w:rsidRPr="009D5A1F">
        <w:t>Fulvio</w:t>
      </w:r>
      <w:r w:rsidRPr="009D5A1F">
        <w:t xml:space="preserve"> </w:t>
      </w:r>
      <w:r w:rsidRPr="009D5A1F">
        <w:t>Martusciello</w:t>
      </w:r>
      <w:r w:rsidRPr="009D5A1F">
        <w:t xml:space="preserve"> eeldatava korruptsiooniskeemi raames aktiivselt Huawei huvide edendamisega, esitades </w:t>
      </w:r>
      <w:r w:rsidRPr="009D5A1F" w:rsidR="00CA6FAD">
        <w:t xml:space="preserve">liidu </w:t>
      </w:r>
      <w:r w:rsidRPr="009D5A1F">
        <w:t xml:space="preserve">konkurentsipoliitikat käsitleva resolutsiooni eelnõu kohta muudatusettepanekuid, mis näivad olevat sõnastatud Huawei huvides ja mis koostati ajavahemikul 2021. aasta jaanuarist märtsini, st samal ajal </w:t>
      </w:r>
      <w:r w:rsidRPr="009D5A1F" w:rsidR="00CA6FAD">
        <w:t xml:space="preserve">põhjenduspunktis C osutatud </w:t>
      </w:r>
      <w:r w:rsidRPr="009D5A1F">
        <w:t>kirja koostamise ja väljasaatmisega; arvestades, et ta hõlbustas ka oma valimisringkonna üliõpilaste osalemist Huawei akadeemias, et saada hääli enda tagasivalimiseks Euroopa Parlamenti;</w:t>
      </w:r>
    </w:p>
    <w:p w:rsidR="009E2022" w:rsidRPr="009D5A1F" w:rsidP="009E2022" w14:paraId="70FCF0D6" w14:textId="318014F0">
      <w:pPr>
        <w:pStyle w:val="NormalHanging12a"/>
      </w:pPr>
      <w:bookmarkStart w:id="12" w:name="_Hlk223949297"/>
      <w:r w:rsidRPr="009D5A1F">
        <w:t>E.</w:t>
      </w:r>
      <w:r w:rsidRPr="009D5A1F">
        <w:tab/>
        <w:t xml:space="preserve">arvestades, et </w:t>
      </w:r>
      <w:r w:rsidRPr="009D5A1F">
        <w:t>Fulvio</w:t>
      </w:r>
      <w:r w:rsidRPr="009D5A1F">
        <w:t xml:space="preserve"> </w:t>
      </w:r>
      <w:r w:rsidRPr="009D5A1F">
        <w:t>Martusciello</w:t>
      </w:r>
      <w:r w:rsidRPr="009D5A1F">
        <w:t xml:space="preserve"> valiti </w:t>
      </w:r>
      <w:r w:rsidRPr="009D5A1F" w:rsidR="00350BCB">
        <w:t xml:space="preserve">Euroopa Parlamenti tagasi </w:t>
      </w:r>
      <w:r w:rsidRPr="009D5A1F">
        <w:t xml:space="preserve">2024. aasta juunis toimunud Euroopa Parlamendi valimistel ja ta oli </w:t>
      </w:r>
      <w:r w:rsidRPr="009D5A1F" w:rsidR="00CA6FAD">
        <w:t xml:space="preserve">seega </w:t>
      </w:r>
      <w:r w:rsidRPr="009D5A1F">
        <w:t>väidetava süüteo toimepanemise ajal Euroopa Parlamendi liige;</w:t>
      </w:r>
    </w:p>
    <w:p w:rsidR="009E2022" w:rsidRPr="009D5A1F" w:rsidP="009E2022" w14:paraId="32B028D8" w14:textId="19B0139B">
      <w:pPr>
        <w:pStyle w:val="NormalHanging12a"/>
      </w:pPr>
      <w:r w:rsidRPr="009D5A1F">
        <w:t>F.</w:t>
      </w:r>
      <w:r w:rsidRPr="009D5A1F">
        <w:tab/>
        <w:t xml:space="preserve">arvestades, et esiteks ei saa </w:t>
      </w:r>
      <w:r w:rsidRPr="009D5A1F" w:rsidR="00350BCB">
        <w:t>Euroopa P</w:t>
      </w:r>
      <w:r w:rsidRPr="009D5A1F">
        <w:t>arlamenti võrdsustada kohtuga ja teiseks ei tohi parlamendiliiget pidada puutumatuse äravõtmise menetluse raames süüdistatavaks</w:t>
      </w:r>
      <w:r>
        <w:rPr>
          <w:vertAlign w:val="superscript"/>
        </w:rPr>
        <w:footnoteReference w:id="3"/>
      </w:r>
      <w:r w:rsidRPr="009D5A1F">
        <w:t>;</w:t>
      </w:r>
    </w:p>
    <w:p w:rsidR="009E2022" w:rsidRPr="009D5A1F" w:rsidP="009E2022" w14:paraId="2B1BBDE9" w14:textId="12ECE1AD">
      <w:pPr>
        <w:pStyle w:val="NormalHanging12a"/>
      </w:pPr>
      <w:r w:rsidRPr="009D5A1F">
        <w:t>G.</w:t>
      </w:r>
      <w:r w:rsidRPr="009D5A1F">
        <w:tab/>
        <w:t xml:space="preserve">arvestades, et protokollis nr 7 (Euroopa Liidu privileegide ja immuniteetide kohta) sätestatud puutumatuse eesmärk on kaitsta </w:t>
      </w:r>
      <w:r w:rsidRPr="009D5A1F" w:rsidR="00350BCB">
        <w:t>Euroopa P</w:t>
      </w:r>
      <w:r w:rsidRPr="009D5A1F">
        <w:t>arlamenti ja selle liikmeid kohtumenetluse eest, milles käsitletakse parlamendiliikme kohustuste täitmisega seotud tegevust, mida ei saa parlamendiliikme kohustustest eristada;</w:t>
      </w:r>
    </w:p>
    <w:p w:rsidR="009E2022" w:rsidRPr="009D5A1F" w:rsidP="009E2022" w14:paraId="62516C82" w14:textId="77777777">
      <w:pPr>
        <w:pStyle w:val="NormalHanging12a"/>
      </w:pPr>
      <w:r w:rsidRPr="009D5A1F">
        <w:t>H.</w:t>
      </w:r>
      <w:r w:rsidRPr="009D5A1F">
        <w:tab/>
        <w:t>arvestades, et kodukorra artikli 5 lõike 2 kohaselt ei ole parlamendiliikme puutumatus parlamendiliikme isiklik eesõigus, vaid Euroopa Parlamendi kui terviku ja selle liikmete sõltumatuse tagatis;</w:t>
      </w:r>
    </w:p>
    <w:p w:rsidR="009E2022" w:rsidRPr="009D5A1F" w:rsidP="009E2022" w14:paraId="68BCA166" w14:textId="249A5E73">
      <w:pPr>
        <w:pStyle w:val="NormalHanging12a"/>
      </w:pPr>
      <w:r w:rsidRPr="009D5A1F">
        <w:t>I.</w:t>
      </w:r>
      <w:r w:rsidRPr="009D5A1F">
        <w:tab/>
        <w:t xml:space="preserve">arvestades, et protokolli nr 7 (Euroopa Liidu privileegide ja immuniteetide kohta) artiklis 8 on sätestatud, et Euroopa Parlamendi liikmeid ei või üle kuulata, </w:t>
      </w:r>
      <w:r w:rsidRPr="009D5A1F" w:rsidR="00350BCB">
        <w:t>neid kinni pidada</w:t>
      </w:r>
      <w:r w:rsidRPr="009D5A1F">
        <w:t xml:space="preserve"> ega neid kohtumenetlusele allutada nende poolt oma kohustuste täitmisel avaldatud arvamuste või antud häälte tõttu; arvestades, et väidetav süütegu ei ole seotud </w:t>
      </w:r>
      <w:r w:rsidRPr="009D5A1F">
        <w:t>Fulvio</w:t>
      </w:r>
      <w:r w:rsidRPr="009D5A1F">
        <w:t xml:space="preserve"> </w:t>
      </w:r>
      <w:r w:rsidRPr="009D5A1F">
        <w:t>Martusciello</w:t>
      </w:r>
      <w:r w:rsidRPr="009D5A1F">
        <w:t xml:space="preserve"> kohustuste täitmisel avaldatud arvamuste ega antud häältega kõnealuse protokolli artikli 8 tähenduses;</w:t>
      </w:r>
    </w:p>
    <w:p w:rsidR="009E2022" w:rsidRPr="009D5A1F" w:rsidP="009E2022" w14:paraId="2788AEA8" w14:textId="3FFB4E67">
      <w:pPr>
        <w:pStyle w:val="NormalHanging12a"/>
      </w:pPr>
      <w:r w:rsidRPr="009D5A1F">
        <w:t>J.</w:t>
      </w:r>
      <w:r w:rsidRPr="009D5A1F">
        <w:tab/>
        <w:t>arvestades, et protokolli nr 7 (Euroopa Liidu privileegide ja immuniteetide kohta) artikli 9 esimese lõigu punktis b on sätestatud, et Euroopa Parlamendi</w:t>
      </w:r>
      <w:r w:rsidRPr="009D5A1F" w:rsidR="00350BCB">
        <w:t xml:space="preserve"> istungjärkude ajal on</w:t>
      </w:r>
      <w:r w:rsidRPr="009D5A1F">
        <w:t xml:space="preserve"> </w:t>
      </w:r>
      <w:r w:rsidRPr="009D5A1F" w:rsidR="00350BCB">
        <w:t>parlamendi</w:t>
      </w:r>
      <w:r w:rsidRPr="009D5A1F">
        <w:t xml:space="preserve">liikmetel teise liikmesriigi territooriumil immuniteet </w:t>
      </w:r>
      <w:r w:rsidRPr="009D5A1F" w:rsidR="00350BCB">
        <w:t xml:space="preserve">kinnipidamise </w:t>
      </w:r>
      <w:r w:rsidRPr="009D5A1F">
        <w:t>ja kohtumenetluse suhtes;</w:t>
      </w:r>
    </w:p>
    <w:p w:rsidR="009E2022" w:rsidRPr="009D5A1F" w:rsidP="009E2022" w14:paraId="41A12C63" w14:textId="1C9C5438">
      <w:pPr>
        <w:pStyle w:val="NormalHanging12a"/>
      </w:pPr>
      <w:r w:rsidRPr="009D5A1F">
        <w:t>K.</w:t>
      </w:r>
      <w:r w:rsidRPr="009D5A1F">
        <w:tab/>
        <w:t xml:space="preserve">arvestades, et see uurimine puudutas paljusid isikuid, mitte ainult </w:t>
      </w:r>
      <w:r w:rsidRPr="009D5A1F">
        <w:t>Fulvio</w:t>
      </w:r>
      <w:r w:rsidRPr="009D5A1F">
        <w:t xml:space="preserve"> </w:t>
      </w:r>
      <w:r w:rsidRPr="009D5A1F">
        <w:t>Martusciellot</w:t>
      </w:r>
      <w:r w:rsidRPr="009D5A1F">
        <w:t xml:space="preserve">; </w:t>
      </w:r>
      <w:bookmarkStart w:id="13" w:name="_Hlk228970940"/>
      <w:r w:rsidRPr="009D5A1F">
        <w:t xml:space="preserve">arvestades, et </w:t>
      </w:r>
      <w:r w:rsidRPr="009D5A1F">
        <w:t>Fulvio</w:t>
      </w:r>
      <w:r w:rsidRPr="009D5A1F">
        <w:t xml:space="preserve"> </w:t>
      </w:r>
      <w:r w:rsidRPr="009D5A1F">
        <w:t>Martusciello</w:t>
      </w:r>
      <w:r w:rsidRPr="009D5A1F">
        <w:t xml:space="preserve"> puutumatuse äravõtmise taotlus näib</w:t>
      </w:r>
      <w:bookmarkEnd w:id="13"/>
      <w:r w:rsidRPr="009D5A1F">
        <w:t xml:space="preserve"> tulenevat väidetava korruptiivse tegevuse laiemast uurimisest ega tundu olevat suunatud tema poliitilise tegevuse vastu; arvestades, et Euroopa Parlament ei ole selle juhtumi puhul leidnud tõendeid </w:t>
      </w:r>
      <w:r w:rsidRPr="009D5A1F">
        <w:rPr>
          <w:i/>
        </w:rPr>
        <w:t>fumus</w:t>
      </w:r>
      <w:r w:rsidRPr="009D5A1F">
        <w:rPr>
          <w:i/>
        </w:rPr>
        <w:t xml:space="preserve"> </w:t>
      </w:r>
      <w:r w:rsidRPr="009D5A1F">
        <w:rPr>
          <w:i/>
        </w:rPr>
        <w:t>persecutionis</w:t>
      </w:r>
      <w:r w:rsidRPr="009D5A1F">
        <w:t>’e</w:t>
      </w:r>
      <w:r w:rsidRPr="009D5A1F">
        <w:t xml:space="preserve"> kohta, st ei ole alust arvata, et kõnealuse kohtumenetluse eesmärk oleks kahjustada </w:t>
      </w:r>
      <w:r w:rsidRPr="009D5A1F">
        <w:t>Fulvio</w:t>
      </w:r>
      <w:r w:rsidRPr="009D5A1F">
        <w:t xml:space="preserve"> </w:t>
      </w:r>
      <w:r w:rsidRPr="009D5A1F">
        <w:t>Martusciello</w:t>
      </w:r>
      <w:r w:rsidRPr="009D5A1F">
        <w:t xml:space="preserve"> kui Euroopa Parlamendi liikme poliitilist tegevust</w:t>
      </w:r>
      <w:r w:rsidRPr="009D5A1F" w:rsidR="00482684">
        <w:t xml:space="preserve"> ja seega Euroopa Parlamendi sõltumatust</w:t>
      </w:r>
      <w:r w:rsidRPr="009D5A1F">
        <w:t>;</w:t>
      </w:r>
    </w:p>
    <w:bookmarkEnd w:id="12"/>
    <w:p w:rsidR="009E2022" w:rsidRPr="009D5A1F" w:rsidP="009E2022" w14:paraId="5F30A522" w14:textId="77777777">
      <w:pPr>
        <w:pStyle w:val="NormalHanging12a"/>
      </w:pPr>
      <w:r w:rsidRPr="009D5A1F">
        <w:t>1.</w:t>
      </w:r>
      <w:r w:rsidRPr="009D5A1F">
        <w:tab/>
      </w:r>
      <w:bookmarkStart w:id="14" w:name="_Hlk223949317"/>
      <w:r w:rsidRPr="009D5A1F">
        <w:t>otsustab</w:t>
      </w:r>
      <w:bookmarkEnd w:id="14"/>
      <w:r w:rsidRPr="009D5A1F">
        <w:t xml:space="preserve"> </w:t>
      </w:r>
      <w:r w:rsidRPr="009D5A1F">
        <w:t>Fulvio</w:t>
      </w:r>
      <w:r w:rsidRPr="009D5A1F">
        <w:t xml:space="preserve"> </w:t>
      </w:r>
      <w:r w:rsidRPr="009D5A1F">
        <w:t>Martusciello</w:t>
      </w:r>
      <w:r w:rsidRPr="009D5A1F">
        <w:t xml:space="preserve"> puutumatuse ära võtta;</w:t>
      </w:r>
    </w:p>
    <w:p w:rsidR="00E365E1" w:rsidRPr="009D5A1F" w:rsidP="00CA6FAD" w14:paraId="150D8C0C" w14:textId="0655D0DA">
      <w:pPr>
        <w:pStyle w:val="NormalHanging12a"/>
      </w:pPr>
      <w:r w:rsidRPr="009D5A1F">
        <w:t>2.</w:t>
      </w:r>
      <w:r w:rsidRPr="009D5A1F">
        <w:tab/>
        <w:t xml:space="preserve">teeb presidendile ülesandeks edastada käesolev otsus ja vastutava parlamendikomisjoni raport viivitamata Belgia Kuningriigi pädevale ametiasutusele ja </w:t>
      </w:r>
      <w:r w:rsidRPr="009D5A1F">
        <w:t>Fulvio</w:t>
      </w:r>
      <w:r w:rsidRPr="009D5A1F">
        <w:t xml:space="preserve"> </w:t>
      </w:r>
      <w:r w:rsidRPr="009D5A1F">
        <w:t>Martusciellole</w:t>
      </w:r>
      <w:r w:rsidRPr="009D5A1F">
        <w:t>.</w:t>
      </w:r>
    </w:p>
    <w:sectPr w:rsidSect="009204F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204F6" w14:paraId="71A6EC3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204F6" w14:paraId="0747289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204F6" w14:paraId="2B312C5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94FF1" w:rsidRPr="009204F6" w14:paraId="51B832B9" w14:textId="77777777">
      <w:r w:rsidRPr="009204F6">
        <w:separator/>
      </w:r>
    </w:p>
  </w:footnote>
  <w:footnote w:type="continuationSeparator" w:id="1">
    <w:p w:rsidR="00294FF1" w:rsidRPr="009204F6" w14:paraId="7515B0C9" w14:textId="77777777">
      <w:r w:rsidRPr="009204F6">
        <w:continuationSeparator/>
      </w:r>
    </w:p>
  </w:footnote>
  <w:footnote w:id="2">
    <w:p w:rsidR="009E2022" w:rsidRPr="009204F6" w:rsidP="009204F6" w14:paraId="559BA494" w14:textId="5E2083A4">
      <w:pPr>
        <w:pStyle w:val="FootnoteText"/>
        <w:ind w:left="567" w:hanging="567"/>
        <w:rPr>
          <w:sz w:val="24"/>
          <w:lang w:val="et-EE"/>
        </w:rPr>
      </w:pPr>
      <w:r w:rsidRPr="009204F6">
        <w:rPr>
          <w:rStyle w:val="FootnoteReference"/>
          <w:sz w:val="24"/>
          <w:lang w:val="et-EE"/>
        </w:rPr>
        <w:footnoteRef/>
      </w:r>
      <w:r w:rsidRPr="009204F6" w:rsidR="009204F6">
        <w:rPr>
          <w:sz w:val="24"/>
          <w:lang w:val="et-EE"/>
        </w:rPr>
        <w:t xml:space="preserve"> </w:t>
      </w:r>
      <w:r w:rsidRPr="009204F6" w:rsidR="009204F6">
        <w:rPr>
          <w:sz w:val="24"/>
          <w:lang w:val="et-EE"/>
        </w:rPr>
        <w:tab/>
      </w:r>
      <w:r w:rsidRPr="009204F6">
        <w:rPr>
          <w:sz w:val="24"/>
          <w:lang w:val="et-EE"/>
        </w:rPr>
        <w:t xml:space="preserve">Kohtuotsus, Euroopa Kohus, 21. oktoober 2008, </w:t>
      </w:r>
      <w:r w:rsidRPr="009204F6">
        <w:rPr>
          <w:sz w:val="24"/>
          <w:lang w:val="et-EE"/>
        </w:rPr>
        <w:t>Marra</w:t>
      </w:r>
      <w:r w:rsidRPr="009204F6">
        <w:rPr>
          <w:sz w:val="24"/>
          <w:lang w:val="et-EE"/>
        </w:rPr>
        <w:t xml:space="preserve"> </w:t>
      </w:r>
      <w:r w:rsidRPr="009204F6">
        <w:rPr>
          <w:i/>
          <w:sz w:val="24"/>
          <w:lang w:val="et-EE"/>
        </w:rPr>
        <w:t>vs.</w:t>
      </w:r>
      <w:r w:rsidRPr="009204F6">
        <w:rPr>
          <w:sz w:val="24"/>
          <w:lang w:val="et-EE"/>
        </w:rPr>
        <w:t xml:space="preserve"> De </w:t>
      </w:r>
      <w:r w:rsidRPr="009204F6">
        <w:rPr>
          <w:sz w:val="24"/>
          <w:lang w:val="et-EE"/>
        </w:rPr>
        <w:t>Gregorio</w:t>
      </w:r>
      <w:r w:rsidRPr="009204F6">
        <w:rPr>
          <w:sz w:val="24"/>
          <w:lang w:val="et-EE"/>
        </w:rPr>
        <w:t xml:space="preserve"> ja </w:t>
      </w:r>
      <w:r w:rsidRPr="009204F6">
        <w:rPr>
          <w:sz w:val="24"/>
          <w:lang w:val="et-EE"/>
        </w:rPr>
        <w:t>Clemente</w:t>
      </w:r>
      <w:r w:rsidRPr="009204F6">
        <w:rPr>
          <w:sz w:val="24"/>
          <w:lang w:val="et-EE"/>
        </w:rPr>
        <w:t>, C</w:t>
      </w:r>
      <w:r w:rsidRPr="009204F6">
        <w:rPr>
          <w:sz w:val="24"/>
          <w:lang w:val="et-EE"/>
        </w:rPr>
        <w:noBreakHyphen/>
        <w:t xml:space="preserve">200/07 ja C-201/07, ECLI:EU:C:2008:579; kohtuotsus, </w:t>
      </w:r>
      <w:r w:rsidRPr="009204F6">
        <w:rPr>
          <w:sz w:val="24"/>
          <w:lang w:val="et-EE"/>
        </w:rPr>
        <w:t>Üldkohus</w:t>
      </w:r>
      <w:r w:rsidRPr="009204F6">
        <w:rPr>
          <w:sz w:val="24"/>
          <w:lang w:val="et-EE"/>
        </w:rPr>
        <w:t xml:space="preserve">, 19. märts 2010, </w:t>
      </w:r>
      <w:r w:rsidRPr="009204F6">
        <w:rPr>
          <w:sz w:val="24"/>
          <w:lang w:val="et-EE"/>
        </w:rPr>
        <w:t>Gollnisch</w:t>
      </w:r>
      <w:r w:rsidRPr="009204F6">
        <w:rPr>
          <w:sz w:val="24"/>
          <w:lang w:val="et-EE"/>
        </w:rPr>
        <w:t xml:space="preserve"> </w:t>
      </w:r>
      <w:r w:rsidRPr="009204F6">
        <w:rPr>
          <w:i/>
          <w:sz w:val="24"/>
          <w:lang w:val="et-EE"/>
        </w:rPr>
        <w:t>vs</w:t>
      </w:r>
      <w:r w:rsidRPr="009204F6">
        <w:rPr>
          <w:sz w:val="24"/>
          <w:lang w:val="et-EE"/>
        </w:rPr>
        <w:t xml:space="preserve">. parlament, T-42/06, ECLI:EU:T:2010:102; kohtuotsus, Euroopa Kohus, 6. september 2011, </w:t>
      </w:r>
      <w:r w:rsidRPr="009204F6">
        <w:rPr>
          <w:sz w:val="24"/>
          <w:lang w:val="et-EE"/>
        </w:rPr>
        <w:t>Patriciello</w:t>
      </w:r>
      <w:r w:rsidRPr="009204F6">
        <w:rPr>
          <w:sz w:val="24"/>
          <w:lang w:val="et-EE"/>
        </w:rPr>
        <w:t xml:space="preserve">, C-163/10, ECLI: EU:C:2011:543; kohtuotsus, </w:t>
      </w:r>
      <w:r w:rsidRPr="009204F6">
        <w:rPr>
          <w:sz w:val="24"/>
          <w:lang w:val="et-EE"/>
        </w:rPr>
        <w:t>Üldkohus</w:t>
      </w:r>
      <w:r w:rsidRPr="009204F6">
        <w:rPr>
          <w:sz w:val="24"/>
          <w:lang w:val="et-EE"/>
        </w:rPr>
        <w:t xml:space="preserve">, 17. jaanuar 2013, </w:t>
      </w:r>
      <w:r w:rsidRPr="009204F6">
        <w:rPr>
          <w:sz w:val="24"/>
          <w:lang w:val="et-EE"/>
        </w:rPr>
        <w:t>Gollnisch</w:t>
      </w:r>
      <w:r w:rsidRPr="009204F6">
        <w:rPr>
          <w:sz w:val="24"/>
          <w:lang w:val="et-EE"/>
        </w:rPr>
        <w:t xml:space="preserve"> </w:t>
      </w:r>
      <w:r w:rsidRPr="009204F6">
        <w:rPr>
          <w:i/>
          <w:sz w:val="24"/>
          <w:lang w:val="et-EE"/>
        </w:rPr>
        <w:t>vs</w:t>
      </w:r>
      <w:r w:rsidRPr="009204F6">
        <w:rPr>
          <w:sz w:val="24"/>
          <w:lang w:val="et-EE"/>
        </w:rPr>
        <w:t xml:space="preserve">. parlament, T-346/11 ja T-347/11, ECLI:EU:T:2013:23; kohtuotsus, Euroopa Kohus, 19. detsember 2019, </w:t>
      </w:r>
      <w:r w:rsidRPr="009204F6">
        <w:rPr>
          <w:sz w:val="24"/>
          <w:lang w:val="et-EE"/>
        </w:rPr>
        <w:t>Junqueras</w:t>
      </w:r>
      <w:r w:rsidRPr="009204F6">
        <w:rPr>
          <w:sz w:val="24"/>
          <w:lang w:val="et-EE"/>
        </w:rPr>
        <w:t xml:space="preserve"> </w:t>
      </w:r>
      <w:r w:rsidRPr="009204F6">
        <w:rPr>
          <w:sz w:val="24"/>
          <w:lang w:val="et-EE"/>
        </w:rPr>
        <w:t>Vies</w:t>
      </w:r>
      <w:r w:rsidRPr="009204F6">
        <w:rPr>
          <w:sz w:val="24"/>
          <w:lang w:val="et-EE"/>
        </w:rPr>
        <w:t>, C-502/19, ECLI:EU:C:2019:1115.</w:t>
      </w:r>
    </w:p>
  </w:footnote>
  <w:footnote w:id="3">
    <w:p w:rsidR="009E2022" w:rsidRPr="009204F6" w:rsidP="009204F6" w14:paraId="4F059409" w14:textId="2AF087BF">
      <w:pPr>
        <w:pStyle w:val="FootnoteText"/>
        <w:ind w:left="567" w:hanging="567"/>
        <w:rPr>
          <w:sz w:val="24"/>
          <w:lang w:val="et-EE"/>
        </w:rPr>
      </w:pPr>
      <w:r w:rsidRPr="009204F6">
        <w:rPr>
          <w:rStyle w:val="FootnoteReference"/>
          <w:sz w:val="24"/>
          <w:lang w:val="et-EE"/>
        </w:rPr>
        <w:footnoteRef/>
      </w:r>
      <w:r w:rsidRPr="009204F6" w:rsidR="009204F6">
        <w:rPr>
          <w:sz w:val="24"/>
          <w:lang w:val="et-EE"/>
        </w:rPr>
        <w:t xml:space="preserve"> </w:t>
      </w:r>
      <w:r w:rsidRPr="009204F6" w:rsidR="009204F6">
        <w:rPr>
          <w:sz w:val="24"/>
          <w:lang w:val="et-EE"/>
        </w:rPr>
        <w:tab/>
      </w:r>
      <w:r w:rsidRPr="009204F6">
        <w:rPr>
          <w:sz w:val="24"/>
          <w:lang w:val="et-EE"/>
        </w:rPr>
        <w:t xml:space="preserve">Kohtuotsus, </w:t>
      </w:r>
      <w:r w:rsidRPr="009204F6">
        <w:rPr>
          <w:sz w:val="24"/>
          <w:lang w:val="et-EE"/>
        </w:rPr>
        <w:t>Üldkohus</w:t>
      </w:r>
      <w:r w:rsidRPr="009204F6">
        <w:rPr>
          <w:sz w:val="24"/>
          <w:lang w:val="et-EE"/>
        </w:rPr>
        <w:t xml:space="preserve">, 30. aprill 2019, </w:t>
      </w:r>
      <w:r w:rsidRPr="009204F6">
        <w:rPr>
          <w:sz w:val="24"/>
          <w:lang w:val="et-EE"/>
        </w:rPr>
        <w:t>Briois</w:t>
      </w:r>
      <w:r w:rsidRPr="009204F6">
        <w:rPr>
          <w:sz w:val="24"/>
          <w:lang w:val="et-EE"/>
        </w:rPr>
        <w:t xml:space="preserve"> </w:t>
      </w:r>
      <w:r w:rsidRPr="009204F6">
        <w:rPr>
          <w:i/>
          <w:sz w:val="24"/>
          <w:lang w:val="et-EE"/>
        </w:rPr>
        <w:t>vs</w:t>
      </w:r>
      <w:r w:rsidRPr="009204F6">
        <w:rPr>
          <w:sz w:val="24"/>
          <w:lang w:val="et-EE"/>
        </w:rPr>
        <w:t>. 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204F6" w14:paraId="31D569A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204F6" w14:paraId="4A12C7A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204F6" w14:paraId="49DF3C4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4350002">
    <w:abstractNumId w:val="9"/>
  </w:num>
  <w:num w:numId="2" w16cid:durableId="1817138135">
    <w:abstractNumId w:val="9"/>
  </w:num>
  <w:num w:numId="3" w16cid:durableId="1493175330">
    <w:abstractNumId w:val="7"/>
  </w:num>
  <w:num w:numId="4" w16cid:durableId="857541575">
    <w:abstractNumId w:val="7"/>
  </w:num>
  <w:num w:numId="5" w16cid:durableId="147325613">
    <w:abstractNumId w:val="6"/>
  </w:num>
  <w:num w:numId="6" w16cid:durableId="1110777507">
    <w:abstractNumId w:val="6"/>
  </w:num>
  <w:num w:numId="7" w16cid:durableId="1102459509">
    <w:abstractNumId w:val="5"/>
  </w:num>
  <w:num w:numId="8" w16cid:durableId="1768116821">
    <w:abstractNumId w:val="5"/>
  </w:num>
  <w:num w:numId="9" w16cid:durableId="1042555915">
    <w:abstractNumId w:val="4"/>
  </w:num>
  <w:num w:numId="10" w16cid:durableId="743601076">
    <w:abstractNumId w:val="4"/>
  </w:num>
  <w:num w:numId="11" w16cid:durableId="427774015">
    <w:abstractNumId w:val="8"/>
  </w:num>
  <w:num w:numId="12" w16cid:durableId="2033922421">
    <w:abstractNumId w:val="8"/>
  </w:num>
  <w:num w:numId="13" w16cid:durableId="1496409391">
    <w:abstractNumId w:val="3"/>
  </w:num>
  <w:num w:numId="14" w16cid:durableId="1254894374">
    <w:abstractNumId w:val="3"/>
  </w:num>
  <w:num w:numId="15" w16cid:durableId="1692955040">
    <w:abstractNumId w:val="2"/>
  </w:num>
  <w:num w:numId="16" w16cid:durableId="370419441">
    <w:abstractNumId w:val="2"/>
  </w:num>
  <w:num w:numId="17" w16cid:durableId="528684163">
    <w:abstractNumId w:val="1"/>
  </w:num>
  <w:num w:numId="18" w16cid:durableId="901915114">
    <w:abstractNumId w:val="1"/>
  </w:num>
  <w:num w:numId="19" w16cid:durableId="1388532381">
    <w:abstractNumId w:val="0"/>
  </w:num>
  <w:num w:numId="20" w16cid:durableId="364060711">
    <w:abstractNumId w:val="0"/>
  </w:num>
  <w:num w:numId="21" w16cid:durableId="527523139">
    <w:abstractNumId w:val="9"/>
  </w:num>
  <w:num w:numId="22" w16cid:durableId="207648463">
    <w:abstractNumId w:val="7"/>
  </w:num>
  <w:num w:numId="23" w16cid:durableId="1417632529">
    <w:abstractNumId w:val="6"/>
  </w:num>
  <w:num w:numId="24" w16cid:durableId="235550121">
    <w:abstractNumId w:val="5"/>
  </w:num>
  <w:num w:numId="25" w16cid:durableId="1969125676">
    <w:abstractNumId w:val="4"/>
  </w:num>
  <w:num w:numId="26" w16cid:durableId="1765807358">
    <w:abstractNumId w:val="8"/>
  </w:num>
  <w:num w:numId="27" w16cid:durableId="1101149835">
    <w:abstractNumId w:val="3"/>
  </w:num>
  <w:num w:numId="28" w16cid:durableId="1277561830">
    <w:abstractNumId w:val="2"/>
  </w:num>
  <w:num w:numId="29" w16cid:durableId="1657760800">
    <w:abstractNumId w:val="1"/>
  </w:num>
  <w:num w:numId="30" w16cid:durableId="1771929080">
    <w:abstractNumId w:val="0"/>
  </w:num>
  <w:num w:numId="31" w16cid:durableId="1429547231">
    <w:abstractNumId w:val="9"/>
  </w:num>
  <w:num w:numId="32" w16cid:durableId="703872695">
    <w:abstractNumId w:val="7"/>
  </w:num>
  <w:num w:numId="33" w16cid:durableId="1953004057">
    <w:abstractNumId w:val="6"/>
  </w:num>
  <w:num w:numId="34" w16cid:durableId="1075857652">
    <w:abstractNumId w:val="5"/>
  </w:num>
  <w:num w:numId="35" w16cid:durableId="769856939">
    <w:abstractNumId w:val="4"/>
  </w:num>
  <w:num w:numId="36" w16cid:durableId="1549342281">
    <w:abstractNumId w:val="8"/>
  </w:num>
  <w:num w:numId="37" w16cid:durableId="1984845520">
    <w:abstractNumId w:val="3"/>
  </w:num>
  <w:num w:numId="38" w16cid:durableId="683165174">
    <w:abstractNumId w:val="2"/>
  </w:num>
  <w:num w:numId="39" w16cid:durableId="1355762824">
    <w:abstractNumId w:val="1"/>
  </w:num>
  <w:num w:numId="40" w16cid:durableId="15087809">
    <w:abstractNumId w:val="0"/>
  </w:num>
  <w:num w:numId="41" w16cid:durableId="25715705">
    <w:abstractNumId w:val="10"/>
  </w:num>
  <w:num w:numId="42" w16cid:durableId="777069456">
    <w:abstractNumId w:val="10"/>
  </w:num>
  <w:num w:numId="43" w16cid:durableId="1202979940">
    <w:abstractNumId w:val="10"/>
  </w:num>
  <w:num w:numId="44" w16cid:durableId="8347603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FF1"/>
    <w:rsid w:val="00002272"/>
    <w:rsid w:val="00064002"/>
    <w:rsid w:val="000677B9"/>
    <w:rsid w:val="000831BA"/>
    <w:rsid w:val="000A42CC"/>
    <w:rsid w:val="000E7DD9"/>
    <w:rsid w:val="0010095E"/>
    <w:rsid w:val="00125B37"/>
    <w:rsid w:val="00187494"/>
    <w:rsid w:val="001F32AE"/>
    <w:rsid w:val="002767FF"/>
    <w:rsid w:val="00294FF1"/>
    <w:rsid w:val="002B18FE"/>
    <w:rsid w:val="002B5493"/>
    <w:rsid w:val="00343214"/>
    <w:rsid w:val="00350BCB"/>
    <w:rsid w:val="00361C00"/>
    <w:rsid w:val="00395FA1"/>
    <w:rsid w:val="003E15D4"/>
    <w:rsid w:val="00411CCE"/>
    <w:rsid w:val="0041666E"/>
    <w:rsid w:val="00421060"/>
    <w:rsid w:val="00471C19"/>
    <w:rsid w:val="00482684"/>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0886"/>
    <w:rsid w:val="009204F6"/>
    <w:rsid w:val="00930C23"/>
    <w:rsid w:val="0093193B"/>
    <w:rsid w:val="009509D8"/>
    <w:rsid w:val="00950B64"/>
    <w:rsid w:val="00981893"/>
    <w:rsid w:val="009D5A1F"/>
    <w:rsid w:val="009E2022"/>
    <w:rsid w:val="00A1687D"/>
    <w:rsid w:val="00A43E52"/>
    <w:rsid w:val="00A4678D"/>
    <w:rsid w:val="00A602A7"/>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6FAD"/>
    <w:rsid w:val="00CC2357"/>
    <w:rsid w:val="00CF071A"/>
    <w:rsid w:val="00D058B8"/>
    <w:rsid w:val="00D56C11"/>
    <w:rsid w:val="00D834A0"/>
    <w:rsid w:val="00D872DF"/>
    <w:rsid w:val="00D91E21"/>
    <w:rsid w:val="00DA7FCD"/>
    <w:rsid w:val="00E365E1"/>
    <w:rsid w:val="00E45AAB"/>
    <w:rsid w:val="00E820A4"/>
    <w:rsid w:val="00EB006A"/>
    <w:rsid w:val="00EB4772"/>
    <w:rsid w:val="00ED169E"/>
    <w:rsid w:val="00ED4235"/>
    <w:rsid w:val="00EE2925"/>
    <w:rsid w:val="00F04346"/>
    <w:rsid w:val="00F075DC"/>
    <w:rsid w:val="00F149E9"/>
    <w:rsid w:val="00F5134D"/>
    <w:rsid w:val="00F74202"/>
    <w:rsid w:val="00F87713"/>
    <w:rsid w:val="00FB4360"/>
    <w:rsid w:val="00FD0C70"/>
  </w:rsids>
  <w:docVars>
    <w:docVar w:name="dvdocse" w:val="A10-0154/2026"/>
    <w:docVar w:name="dvlangue" w:val="ET"/>
    <w:docVar w:name="dvnumam" w:val="0"/>
    <w:docVar w:name="dvpe" w:val="788.823"/>
    <w:docVar w:name="dvrapporteur" w:val="Raportöör: "/>
    <w:docVar w:name="dvtitre" w:val="Euroopa Parlamendi .... 2026. aasta otsus Fulvio Martusciello puutumatuse äravõtmise taotluse kohta(2025/2099(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9BFC4A7"/>
  <w15:chartTrackingRefBased/>
  <w15:docId w15:val="{8C216CEA-BE74-4E6D-BF18-E96B03100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E2022"/>
    <w:pPr>
      <w:spacing w:after="240"/>
      <w:ind w:left="567" w:hanging="567"/>
    </w:pPr>
  </w:style>
  <w:style w:type="paragraph" w:customStyle="1" w:styleId="EPComma">
    <w:name w:val="EPComma"/>
    <w:basedOn w:val="Normal"/>
    <w:rsid w:val="009E2022"/>
    <w:pPr>
      <w:spacing w:before="480" w:after="240"/>
    </w:pPr>
  </w:style>
  <w:style w:type="paragraph" w:styleId="Revision">
    <w:name w:val="Revision"/>
    <w:hidden/>
    <w:uiPriority w:val="99"/>
    <w:semiHidden/>
    <w:rsid w:val="00CA6FAD"/>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802</Words>
  <Characters>5823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2026-06-16T11:38:00Z</dcterms:created>
  <dcterms:modified xsi:type="dcterms:W3CDTF">2026-06-16T11:38:00Z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A10-0154/2026</vt:lpwstr>
  </property>
  <property fmtid="{D5CDD505-2E9C-101B-9397-08002B2CF9AE}" pid="4" name="&lt;Type&gt;">
    <vt:lpwstr>RR</vt:lpwstr>
  </property>
</Properties>
</file>