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41AFD12" w14:textId="77777777" w:rsidTr="0010095E">
        <w:tblPrEx>
          <w:tblW w:w="9072" w:type="dxa"/>
          <w:tblLook w:val="01E0"/>
        </w:tblPrEx>
        <w:trPr>
          <w:trHeight w:hRule="exact" w:val="1418"/>
        </w:trPr>
        <w:tc>
          <w:tcPr>
            <w:tcW w:w="6804" w:type="dxa"/>
            <w:shd w:val="clear" w:color="auto" w:fill="auto"/>
            <w:vAlign w:val="center"/>
          </w:tcPr>
          <w:p w:rsidR="00751A4A" w:rsidRPr="002712F0" w:rsidP="0010095E" w14:paraId="750517A5" w14:textId="77777777">
            <w:pPr>
              <w:pStyle w:val="EPName"/>
            </w:pPr>
            <w:r w:rsidRPr="002712F0">
              <w:t>Európai Parlament</w:t>
            </w:r>
          </w:p>
          <w:p w:rsidR="00751A4A" w:rsidRPr="002712F0" w:rsidP="005F1B17" w14:paraId="5F69094E" w14:textId="77777777">
            <w:pPr>
              <w:pStyle w:val="EPTerm"/>
              <w:rPr>
                <w:rStyle w:val="HideTWBExt"/>
                <w:noProof w:val="0"/>
                <w:vanish w:val="0"/>
                <w:color w:val="auto"/>
              </w:rPr>
            </w:pPr>
            <w:r w:rsidRPr="002712F0">
              <w:t>2024</w:t>
            </w:r>
            <w:r w:rsidRPr="002712F0" w:rsidR="00817416">
              <w:t>-202</w:t>
            </w:r>
            <w:r w:rsidRPr="002712F0">
              <w:t>9</w:t>
            </w:r>
          </w:p>
        </w:tc>
        <w:tc>
          <w:tcPr>
            <w:tcW w:w="2268" w:type="dxa"/>
            <w:shd w:val="clear" w:color="auto" w:fill="auto"/>
          </w:tcPr>
          <w:p w:rsidR="00751A4A" w:rsidRPr="002712F0" w:rsidP="0010095E" w14:paraId="5B96D29F" w14:textId="77777777">
            <w:pPr>
              <w:pStyle w:val="EPLogo"/>
            </w:pPr>
            <w:r w:rsidRPr="002712F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712F0" w:rsidP="004C5D52" w14:paraId="5A6B772D" w14:textId="77777777">
      <w:pPr>
        <w:pStyle w:val="LineTop"/>
      </w:pPr>
    </w:p>
    <w:p w:rsidR="00680577" w:rsidRPr="002712F0" w:rsidP="00680577" w14:paraId="67C7D8CE" w14:textId="77777777">
      <w:pPr>
        <w:pStyle w:val="EPBodyTA1"/>
      </w:pPr>
      <w:r w:rsidRPr="002712F0">
        <w:t>ELFOGADOTT SZÖVEGEK</w:t>
      </w:r>
    </w:p>
    <w:p w:rsidR="00D058B8" w:rsidRPr="002712F0" w:rsidP="00D058B8" w14:paraId="78D54068" w14:textId="77777777">
      <w:pPr>
        <w:pStyle w:val="LineBottom"/>
      </w:pPr>
    </w:p>
    <w:p w:rsidR="00DC043B" w:rsidRPr="002712F0" w:rsidP="00DC043B" w14:paraId="2814D35D" w14:textId="0B9B3553">
      <w:pPr>
        <w:pStyle w:val="ATHeading1"/>
      </w:pPr>
      <w:bookmarkStart w:id="0" w:name="TANumber"/>
      <w:r w:rsidRPr="002712F0">
        <w:t>P10_</w:t>
      </w:r>
      <w:r w:rsidRPr="002712F0">
        <w:t>TA(</w:t>
      </w:r>
      <w:r w:rsidRPr="002712F0">
        <w:t>2026)0</w:t>
      </w:r>
      <w:r w:rsidRPr="002712F0" w:rsidR="002712F0">
        <w:t>194</w:t>
      </w:r>
      <w:bookmarkEnd w:id="0"/>
    </w:p>
    <w:p w:rsidR="00886F03" w:rsidRPr="002712F0" w:rsidP="00886F03" w14:paraId="425A94EA" w14:textId="46FC894A">
      <w:pPr>
        <w:pStyle w:val="ATHeading2"/>
      </w:pPr>
      <w:bookmarkStart w:id="1" w:name="title"/>
      <w:r w:rsidRPr="002712F0">
        <w:t xml:space="preserve">A </w:t>
      </w:r>
      <w:r w:rsidRPr="002712F0">
        <w:t>Fulvio</w:t>
      </w:r>
      <w:r w:rsidRPr="002712F0">
        <w:t xml:space="preserve"> </w:t>
      </w:r>
      <w:r w:rsidRPr="002712F0">
        <w:t>Martusciello</w:t>
      </w:r>
      <w:r w:rsidRPr="002712F0">
        <w:t xml:space="preserve"> mentelmi jogának felfüggesztésére irányuló kérelem</w:t>
      </w:r>
      <w:bookmarkEnd w:id="1"/>
    </w:p>
    <w:p w:rsidR="00DC043B" w:rsidRPr="002712F0" w:rsidP="00DC043B" w14:paraId="2F8F2190" w14:textId="77777777">
      <w:pPr>
        <w:rPr>
          <w:i/>
          <w:vanish/>
        </w:rPr>
      </w:pPr>
      <w:r>
        <w:rPr>
          <w:i/>
        </w:rPr>
        <w:fldChar w:fldCharType="begin"/>
      </w:r>
      <w:r w:rsidRPr="002712F0">
        <w:rPr>
          <w:i/>
        </w:rPr>
        <w:instrText xml:space="preserve"> TC"(</w:instrText>
      </w:r>
      <w:bookmarkStart w:id="2" w:name="DocNumber"/>
      <w:r w:rsidRPr="002712F0">
        <w:rPr>
          <w:i/>
        </w:rPr>
        <w:instrText>A10-0154/2026</w:instrText>
      </w:r>
      <w:bookmarkEnd w:id="2"/>
      <w:r w:rsidRPr="002712F0">
        <w:rPr>
          <w:i/>
        </w:rPr>
        <w:instrText xml:space="preserve"> - Előadó: Dominik Tarczyński)"\l3 \n&gt; \* MERGEFORMAT </w:instrText>
      </w:r>
      <w:r>
        <w:rPr>
          <w:i/>
        </w:rPr>
        <w:fldChar w:fldCharType="end"/>
      </w:r>
    </w:p>
    <w:p w:rsidR="00DC043B" w:rsidRPr="002712F0" w:rsidP="00DC043B" w14:paraId="2107526D" w14:textId="77777777">
      <w:pPr>
        <w:rPr>
          <w:vanish/>
        </w:rPr>
      </w:pPr>
      <w:bookmarkStart w:id="3" w:name="Commission"/>
      <w:r w:rsidRPr="002712F0">
        <w:rPr>
          <w:vanish/>
        </w:rPr>
        <w:t>Jogi Bizottság</w:t>
      </w:r>
      <w:bookmarkEnd w:id="3"/>
    </w:p>
    <w:p w:rsidR="00DC043B" w:rsidRPr="002712F0" w:rsidP="00DC043B" w14:paraId="30F1F385" w14:textId="77777777">
      <w:pPr>
        <w:rPr>
          <w:vanish/>
        </w:rPr>
      </w:pPr>
      <w:bookmarkStart w:id="4" w:name="PE"/>
      <w:r w:rsidRPr="002712F0">
        <w:rPr>
          <w:vanish/>
        </w:rPr>
        <w:t>PE788.823</w:t>
      </w:r>
      <w:bookmarkEnd w:id="4"/>
    </w:p>
    <w:p w:rsidR="00DC043B" w:rsidRPr="002712F0" w:rsidP="00DC043B" w14:paraId="4D17F993" w14:textId="56C31243">
      <w:pPr>
        <w:pStyle w:val="ATHeading3"/>
      </w:pPr>
      <w:bookmarkStart w:id="5" w:name="Sujet"/>
      <w:r w:rsidRPr="002712F0">
        <w:t xml:space="preserve">Az Európai Parlament 2026. </w:t>
      </w:r>
      <w:r w:rsidRPr="002712F0" w:rsidR="00886F03">
        <w:t>június</w:t>
      </w:r>
      <w:r w:rsidRPr="002712F0">
        <w:t xml:space="preserve"> </w:t>
      </w:r>
      <w:r w:rsidRPr="002712F0" w:rsidR="00A37F73">
        <w:t>16-</w:t>
      </w:r>
      <w:r w:rsidRPr="002712F0">
        <w:t xml:space="preserve">i határozata a </w:t>
      </w:r>
      <w:r w:rsidRPr="002712F0">
        <w:t>Fulvio</w:t>
      </w:r>
      <w:r w:rsidRPr="002712F0">
        <w:t xml:space="preserve"> </w:t>
      </w:r>
      <w:r w:rsidRPr="002712F0">
        <w:t>Martusciello</w:t>
      </w:r>
      <w:r w:rsidRPr="002712F0">
        <w:t xml:space="preserve"> mentelmi jogának felfüggesztésére irányuló kérelemről</w:t>
      </w:r>
      <w:bookmarkEnd w:id="5"/>
      <w:r w:rsidRPr="002712F0">
        <w:t xml:space="preserve"> </w:t>
      </w:r>
      <w:bookmarkStart w:id="6" w:name="References"/>
      <w:r w:rsidRPr="002712F0">
        <w:t>(2025/2099(IMM))</w:t>
      </w:r>
      <w:bookmarkEnd w:id="6"/>
    </w:p>
    <w:p w:rsidR="009C0265" w:rsidRPr="002712F0" w:rsidP="009C0265" w14:paraId="0B8FC143" w14:textId="77777777">
      <w:pPr>
        <w:pStyle w:val="EPComma"/>
      </w:pPr>
      <w:bookmarkStart w:id="7" w:name="TextBodyBegin"/>
      <w:bookmarkEnd w:id="7"/>
      <w:r w:rsidRPr="002712F0">
        <w:rPr>
          <w:i/>
        </w:rPr>
        <w:t>Az Európai Parlament</w:t>
      </w:r>
      <w:r w:rsidRPr="002712F0">
        <w:t>,</w:t>
      </w:r>
    </w:p>
    <w:p w:rsidR="009C0265" w:rsidRPr="002712F0" w:rsidP="005F639E" w14:paraId="24F5D93E" w14:textId="795611B4">
      <w:pPr>
        <w:pStyle w:val="NormalHanging12a"/>
        <w:widowControl/>
      </w:pPr>
      <w:r w:rsidRPr="002712F0">
        <w:t>–</w:t>
      </w:r>
      <w:r w:rsidRPr="002712F0">
        <w:tab/>
        <w:t xml:space="preserve">tekintettel a belga szövetségi ügyészségnek a </w:t>
      </w:r>
      <w:r w:rsidRPr="002712F0">
        <w:t>Fulvio</w:t>
      </w:r>
      <w:r w:rsidRPr="002712F0">
        <w:t xml:space="preserve"> </w:t>
      </w:r>
      <w:r w:rsidRPr="002712F0">
        <w:t>Martusciello</w:t>
      </w:r>
      <w:r w:rsidRPr="002712F0">
        <w:t xml:space="preserve"> ellen folytatott büntetőeljárással összefüggésben benyújtott 2025. április 16-i, a belga szövetségi külügyi, külkereskedelmi és fejlesztési együttműködési minisztérium 2025. május 6-i levelében </w:t>
      </w:r>
      <w:r w:rsidRPr="002712F0">
        <w:t>eljuttatott,</w:t>
      </w:r>
      <w:r w:rsidRPr="002712F0">
        <w:t xml:space="preserve"> és 2025. május 21-én a Parlamentben bejelentett, a </w:t>
      </w:r>
      <w:r w:rsidRPr="002712F0">
        <w:t>Fulvio</w:t>
      </w:r>
      <w:r w:rsidRPr="002712F0">
        <w:t xml:space="preserve"> </w:t>
      </w:r>
      <w:r w:rsidRPr="002712F0">
        <w:t>Martusciello</w:t>
      </w:r>
      <w:r w:rsidRPr="002712F0">
        <w:t xml:space="preserve"> mentelmi jogának felfüggesztésére irányuló kérelemre,</w:t>
      </w:r>
    </w:p>
    <w:p w:rsidR="009C0265" w:rsidRPr="002712F0" w:rsidP="005F639E" w14:paraId="069BF851" w14:textId="77777777">
      <w:pPr>
        <w:pStyle w:val="NormalHanging12a"/>
        <w:widowControl/>
        <w:rPr>
          <w:bCs/>
        </w:rPr>
      </w:pPr>
      <w:r w:rsidRPr="002712F0">
        <w:t>–</w:t>
      </w:r>
      <w:r w:rsidRPr="002712F0">
        <w:tab/>
        <w:t xml:space="preserve">miután eljárási szabályzata 9. cikkének (6) bekezdésével összhangban 2026. március 24-én meghallgatta </w:t>
      </w:r>
      <w:r w:rsidRPr="002712F0">
        <w:t>Fulvio</w:t>
      </w:r>
      <w:r w:rsidRPr="002712F0">
        <w:t xml:space="preserve"> </w:t>
      </w:r>
      <w:r w:rsidRPr="002712F0">
        <w:t>Martusciellót</w:t>
      </w:r>
      <w:r w:rsidRPr="002712F0">
        <w:t>,</w:t>
      </w:r>
    </w:p>
    <w:p w:rsidR="009C0265" w:rsidRPr="002712F0" w:rsidP="005F639E" w14:paraId="2891F845" w14:textId="77777777">
      <w:pPr>
        <w:pStyle w:val="NormalHanging12a"/>
        <w:widowControl/>
      </w:pPr>
      <w:r w:rsidRPr="002712F0">
        <w:t>–</w:t>
      </w:r>
      <w:r w:rsidRPr="002712F0">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rsidR="009C0265" w:rsidRPr="002712F0" w:rsidP="005F639E" w14:paraId="02EE356E" w14:textId="77777777">
      <w:pPr>
        <w:pStyle w:val="NormalHanging12a"/>
        <w:widowControl/>
      </w:pPr>
      <w:r w:rsidRPr="002712F0">
        <w:t>–</w:t>
      </w:r>
      <w:r w:rsidRPr="002712F0">
        <w:tab/>
        <w:t>tekintettel az Európai Unió Bírósága által 2008. október 21-én, 2010. március 19-én, 2011. szeptember 6-án, 2013. január 17-én és 2019. december 19-én hozott ítéletekre</w:t>
      </w:r>
      <w:r>
        <w:rPr>
          <w:vertAlign w:val="superscript"/>
        </w:rPr>
        <w:footnoteReference w:id="2"/>
      </w:r>
      <w:r w:rsidRPr="002712F0">
        <w:t>,</w:t>
      </w:r>
    </w:p>
    <w:p w:rsidR="009C0265" w:rsidRPr="002712F0" w:rsidP="005F639E" w14:paraId="07845F95" w14:textId="77777777">
      <w:pPr>
        <w:pStyle w:val="NormalHanging12a"/>
        <w:widowControl/>
      </w:pPr>
      <w:r w:rsidRPr="002712F0">
        <w:t>–</w:t>
      </w:r>
      <w:r w:rsidRPr="002712F0">
        <w:tab/>
        <w:t>tekintettel eljárási szabályzata 5. cikkének (2) bekezdésére, 6. cikkének (1) bekezdésére és 9. cikkére,</w:t>
      </w:r>
    </w:p>
    <w:p w:rsidR="009C0265" w:rsidRPr="002712F0" w:rsidP="005F639E" w14:paraId="7C538775" w14:textId="77777777">
      <w:pPr>
        <w:pStyle w:val="NormalHanging12a"/>
        <w:widowControl/>
      </w:pPr>
      <w:r w:rsidRPr="002712F0">
        <w:t>–</w:t>
      </w:r>
      <w:r w:rsidRPr="002712F0">
        <w:tab/>
        <w:t>tekintettel a Jogi Bizottság jelentésére (A10-0154/2026),</w:t>
      </w:r>
    </w:p>
    <w:p w:rsidR="009C0265" w:rsidRPr="002712F0" w:rsidP="005F639E" w14:paraId="2B808A68" w14:textId="3992A09F">
      <w:pPr>
        <w:pStyle w:val="NormalHanging12a"/>
        <w:widowControl/>
      </w:pPr>
      <w:r w:rsidRPr="002712F0">
        <w:t>A.</w:t>
      </w:r>
      <w:r w:rsidRPr="002712F0">
        <w:tab/>
      </w:r>
      <w:bookmarkStart w:id="8" w:name="_Hlk223949138"/>
      <w:r w:rsidRPr="002712F0">
        <w:t xml:space="preserve">mivel </w:t>
      </w:r>
      <w:bookmarkStart w:id="9" w:name="_Hlk210982066"/>
      <w:r w:rsidRPr="002712F0" w:rsidR="0043513D">
        <w:t xml:space="preserve">2025. május 6-án a belga szövetségi külügyi, külkereskedelmi és fejlesztési együttműködési minisztérium továbbította </w:t>
      </w:r>
      <w:bookmarkEnd w:id="9"/>
      <w:r w:rsidRPr="002712F0">
        <w:t xml:space="preserve">a szövetségi ügyész </w:t>
      </w:r>
      <w:r w:rsidRPr="002712F0" w:rsidR="0043513D">
        <w:t xml:space="preserve">2025. április 16-i kérelmét </w:t>
      </w:r>
      <w:r w:rsidRPr="002712F0">
        <w:t>Fulvio</w:t>
      </w:r>
      <w:r w:rsidRPr="002712F0">
        <w:t xml:space="preserve"> </w:t>
      </w:r>
      <w:r w:rsidRPr="002712F0">
        <w:t>Martusciello</w:t>
      </w:r>
      <w:r w:rsidRPr="002712F0">
        <w:t>, Olaszországban megválasztott európai parlamenti képviselő mentelmi jogának felfüggesztés</w:t>
      </w:r>
      <w:r w:rsidRPr="002712F0" w:rsidR="008A7C8F">
        <w:t>e iránt</w:t>
      </w:r>
      <w:r w:rsidRPr="002712F0" w:rsidR="0043513D">
        <w:t>,</w:t>
      </w:r>
      <w:r w:rsidRPr="002712F0">
        <w:t xml:space="preserve"> az állítólagos korrupció miatt </w:t>
      </w:r>
      <w:r w:rsidRPr="002712F0" w:rsidR="008A7C8F">
        <w:t xml:space="preserve">ellene </w:t>
      </w:r>
      <w:r w:rsidRPr="002712F0">
        <w:t>indítandó büntetőeljárással kapcsolatban;</w:t>
      </w:r>
      <w:bookmarkEnd w:id="8"/>
    </w:p>
    <w:p w:rsidR="009C0265" w:rsidRPr="002712F0" w:rsidP="005F639E" w14:paraId="7D4A8C86" w14:textId="77777777">
      <w:pPr>
        <w:pStyle w:val="NormalHanging12a"/>
        <w:widowControl/>
      </w:pPr>
      <w:r w:rsidRPr="002712F0">
        <w:t>B.</w:t>
      </w:r>
      <w:r w:rsidRPr="002712F0">
        <w:tab/>
      </w:r>
      <w:bookmarkStart w:id="10" w:name="_Hlk223949179"/>
      <w:r w:rsidRPr="002712F0">
        <w:t xml:space="preserve">mivel a </w:t>
      </w:r>
      <w:r w:rsidRPr="002712F0">
        <w:t>Huawei</w:t>
      </w:r>
      <w:r w:rsidRPr="002712F0">
        <w:t xml:space="preserve"> vállalattal kapcsolatos széles körű vizsgálat állítólag komoly bizonyítékot szolgáltatott egy olyan bűnszervezet létezésére, amelynek célja állítólag az volt, hogy az európai parlamenti képviselők megvesztegetése révén befolyásolja az uniós intézmények döntéseit; mivel úgy tűnik, hogy ez a vizsgálat számos állítólagos korrupciós cselekményre derített fényt, amelyeket 2021 és 2024 között feltehetően rendszeresen követtek el; mivel a korrupciós rendszer állítólag különböző formákat öltött, beleértve az európai parlamenti képviselők meghívását a </w:t>
      </w:r>
      <w:r w:rsidRPr="002712F0">
        <w:t>Huawei</w:t>
      </w:r>
      <w:r w:rsidRPr="002712F0">
        <w:t xml:space="preserve"> által támogatott eseményekre, állítólag azért cserébe, hogy az e vállalatnak kedvező politikai álláspontot képviseljenek, valamint túlságosan értékes ajándékok átadását, például az étkezési és utazási költségek fedezését vagy labdarúgó-mérkőzésekre való, az Európai Parlament keretein kívül történő rendszeres meghívásokat;</w:t>
      </w:r>
      <w:bookmarkEnd w:id="10"/>
    </w:p>
    <w:p w:rsidR="009C0265" w:rsidRPr="002712F0" w:rsidP="005F639E" w14:paraId="2FFDDB3B" w14:textId="77777777">
      <w:pPr>
        <w:pStyle w:val="NormalHanging12a"/>
        <w:widowControl/>
      </w:pPr>
      <w:bookmarkStart w:id="11" w:name="_Hlk223949214"/>
      <w:r w:rsidRPr="002712F0">
        <w:t>C.</w:t>
      </w:r>
      <w:r w:rsidRPr="002712F0">
        <w:tab/>
        <w:t xml:space="preserve">mivel a mentelmi jog felfüggesztésére irányuló kérelem szerint 2021 februárjában több európai parlamenti képviselő levelet küldött három biztosnak azzal a céllal, hogy befolyásolja az 5G európai bevezetésével kapcsolatos uniós politikát, különösen az olyan nem uniós vállalatok támogatásával kapcsolatban, mint a </w:t>
      </w:r>
      <w:r w:rsidRPr="002712F0">
        <w:t>Huawei</w:t>
      </w:r>
      <w:r w:rsidRPr="002712F0">
        <w:t xml:space="preserve">; mivel úgy tűnik, hogy a vizsgálat egyértelműen meg tudta határozni a levél létrejöttétől annak terjesztéséig, hatásáig és számlázásáig vezető utat, és látszólag megerősítette, hogy a levél egy olyan folyamat része volt, amely túlmutatott a befolyásgyakorláson vagy lobbizáson, és ehelyett állítólag egy korrupt megállapodás részét képezte; mivel állítólag a levél megszövegezésének fő támogatója </w:t>
      </w:r>
      <w:r w:rsidRPr="002712F0">
        <w:t>Fulvio</w:t>
      </w:r>
      <w:r w:rsidRPr="002712F0">
        <w:t xml:space="preserve"> </w:t>
      </w:r>
      <w:r w:rsidRPr="002712F0">
        <w:t>Martusciello</w:t>
      </w:r>
      <w:r w:rsidRPr="002712F0">
        <w:t xml:space="preserve"> volt, aki a levél első aláírója, és akit állítólag összetett pénzügyi folyamatokon keresztül – amelyek célja az állítólagos megállapodás leplezése volt – azért fizettek, hogy politikai befolyásának gyakorlása során korrupciót kövessen el;</w:t>
      </w:r>
    </w:p>
    <w:p w:rsidR="009C0265" w:rsidRPr="002712F0" w:rsidP="005F639E" w14:paraId="38D0254D" w14:textId="1F4C7709">
      <w:pPr>
        <w:pStyle w:val="NormalHanging12a"/>
        <w:widowControl/>
      </w:pPr>
      <w:r w:rsidRPr="002712F0">
        <w:t>D.</w:t>
      </w:r>
      <w:r w:rsidRPr="002712F0">
        <w:tab/>
      </w:r>
      <w:bookmarkEnd w:id="11"/>
      <w:r w:rsidRPr="002712F0">
        <w:t xml:space="preserve">mivel azt is állítják, hogy </w:t>
      </w:r>
      <w:r w:rsidRPr="002712F0">
        <w:t>Fulvio</w:t>
      </w:r>
      <w:r w:rsidRPr="002712F0">
        <w:t xml:space="preserve"> </w:t>
      </w:r>
      <w:r w:rsidRPr="002712F0">
        <w:t>Martusciello</w:t>
      </w:r>
      <w:r w:rsidRPr="002712F0">
        <w:t xml:space="preserve"> aktívan részt vett a </w:t>
      </w:r>
      <w:r w:rsidRPr="002712F0">
        <w:t>Huawei</w:t>
      </w:r>
      <w:r w:rsidRPr="002712F0">
        <w:t xml:space="preserve"> érdekeinek előmozdításában, potenciálisan az állítólagos korrupt megállapodás részeként azáltal, hogy módosításokat terjesztett elő egy, az uniós versenypolitikáról szóló állásfoglalás-tervezethez, amelyet úgy tűnik, hogy a </w:t>
      </w:r>
      <w:r w:rsidRPr="002712F0">
        <w:t>Huawei</w:t>
      </w:r>
      <w:r w:rsidRPr="002712F0">
        <w:t xml:space="preserve"> érdekében fogalmaztak meg, és amelyet 2021 januárja és 2021 márciusa között – azaz a</w:t>
      </w:r>
      <w:r w:rsidRPr="002712F0" w:rsidR="0043513D">
        <w:t xml:space="preserve"> C. preambulumbekezdésben említett</w:t>
      </w:r>
      <w:r w:rsidRPr="002712F0">
        <w:t xml:space="preserve"> levél megírásával és terjesztésével azonos időkeretben – készítettek, valamint azáltal, hogy a választókerületéből származó diákok számára megkönnyítette a </w:t>
      </w:r>
      <w:r w:rsidRPr="002712F0">
        <w:t>Huawei</w:t>
      </w:r>
      <w:r w:rsidRPr="002712F0">
        <w:t xml:space="preserve"> Akadémián való részvételt annak érdekében, hogy szavazatokat szerezzen a Parlamentbe való újraválasztásához;</w:t>
      </w:r>
    </w:p>
    <w:p w:rsidR="009C0265" w:rsidRPr="002712F0" w:rsidP="005F639E" w14:paraId="2433BDA9" w14:textId="537F5F46">
      <w:pPr>
        <w:pStyle w:val="NormalHanging12a"/>
        <w:widowControl/>
      </w:pPr>
      <w:bookmarkStart w:id="12" w:name="_Hlk223949297"/>
      <w:r w:rsidRPr="002712F0">
        <w:t>E.</w:t>
      </w:r>
      <w:r w:rsidRPr="002712F0">
        <w:tab/>
        <w:t xml:space="preserve">mivel </w:t>
      </w:r>
      <w:r w:rsidRPr="002712F0">
        <w:t>Fulvio</w:t>
      </w:r>
      <w:r w:rsidRPr="002712F0">
        <w:t xml:space="preserve"> </w:t>
      </w:r>
      <w:r w:rsidRPr="002712F0">
        <w:t>Martusciellót</w:t>
      </w:r>
      <w:r w:rsidRPr="002712F0">
        <w:t xml:space="preserve"> a 2024. júniusi európai választásokon újraválasztották az Európai Parlamentbe, </w:t>
      </w:r>
      <w:r w:rsidRPr="002712F0" w:rsidR="0043513D">
        <w:t xml:space="preserve">ezért </w:t>
      </w:r>
      <w:r w:rsidRPr="002712F0">
        <w:t>az állítólagos bűncselekmény idején európai parlamenti képviselő volt;</w:t>
      </w:r>
    </w:p>
    <w:p w:rsidR="009C0265" w:rsidRPr="002712F0" w:rsidP="005F639E" w14:paraId="6FFFC932" w14:textId="619AC681">
      <w:pPr>
        <w:pStyle w:val="NormalHanging12a"/>
        <w:widowControl/>
      </w:pPr>
      <w:r w:rsidRPr="002712F0">
        <w:t>F.</w:t>
      </w:r>
      <w:r w:rsidRPr="002712F0">
        <w:tab/>
        <w:t xml:space="preserve">mivel a Parlament nem töltheti be bíróság szerepét, a mentelmi jog felfüggesztésére irányuló eljárásban az érintett képviselő </w:t>
      </w:r>
      <w:r w:rsidRPr="002712F0" w:rsidR="00886F03">
        <w:t xml:space="preserve">pedig </w:t>
      </w:r>
      <w:r w:rsidRPr="002712F0">
        <w:t xml:space="preserve">nem tekinthető </w:t>
      </w:r>
      <w:r w:rsidRPr="002712F0" w:rsidR="008A7C8F">
        <w:t>„</w:t>
      </w:r>
      <w:r w:rsidRPr="002712F0">
        <w:t>vádlottnak</w:t>
      </w:r>
      <w:r w:rsidRPr="002712F0" w:rsidR="008A7C8F">
        <w:t>”</w:t>
      </w:r>
      <w:r>
        <w:rPr>
          <w:vertAlign w:val="superscript"/>
        </w:rPr>
        <w:footnoteReference w:id="3"/>
      </w:r>
      <w:r w:rsidRPr="002712F0">
        <w:t>;</w:t>
      </w:r>
    </w:p>
    <w:p w:rsidR="009C0265" w:rsidRPr="002712F0" w:rsidP="005F639E" w14:paraId="42D663F9" w14:textId="77777777">
      <w:pPr>
        <w:pStyle w:val="NormalHanging12a"/>
        <w:widowControl/>
      </w:pPr>
      <w:r w:rsidRPr="002712F0">
        <w:t>G.</w:t>
      </w:r>
      <w:r w:rsidRPr="002712F0">
        <w:tab/>
        <w:t>mivel az Európai Unió kiváltságairól és mentességeiről szóló 7.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w:t>
      </w:r>
    </w:p>
    <w:p w:rsidR="009C0265" w:rsidRPr="002712F0" w:rsidP="005F639E" w14:paraId="35C61502" w14:textId="77777777">
      <w:pPr>
        <w:pStyle w:val="NormalHanging12a"/>
        <w:widowControl/>
      </w:pPr>
      <w:r w:rsidRPr="002712F0">
        <w:t>H.</w:t>
      </w:r>
      <w:r w:rsidRPr="002712F0">
        <w:tab/>
        <w:t>mivel eljárási szabályzata 5. cikkének (2) bekezdésével összhangban a parlamenti mentelmi jog nem a képviselők személyes kiváltsága, hanem a teljes Európai Parlament és az egyes képviselők függetlenségének biztosítéka;</w:t>
      </w:r>
    </w:p>
    <w:p w:rsidR="009C0265" w:rsidRPr="002712F0" w:rsidP="005F639E" w14:paraId="0B20C77F" w14:textId="77777777">
      <w:pPr>
        <w:pStyle w:val="NormalHanging12a"/>
        <w:widowControl/>
      </w:pPr>
      <w:r w:rsidRPr="002712F0">
        <w:t>I.</w:t>
      </w:r>
      <w:r w:rsidRPr="002712F0">
        <w:tab/>
        <w:t xml:space="preserve">mivel az Európai Unió kiváltságairól és mentességeiről szóló 7. jegyzőkönyv 8. cikke szerint feladataik ellátása során kifejtett véleményük vagy leadott szavazatuk miatt az Európai Parlament tagjai ellen nem folytatható vizsgálat, nem vehetők őrizetbe, és nem vonhatók bírósági eljárás alá; mivel az állítólagos bűncselekmény nem a </w:t>
      </w:r>
      <w:r w:rsidRPr="002712F0">
        <w:t>Fulvio</w:t>
      </w:r>
      <w:r w:rsidRPr="002712F0">
        <w:t xml:space="preserve"> </w:t>
      </w:r>
      <w:r w:rsidRPr="002712F0">
        <w:t>Martusciello</w:t>
      </w:r>
      <w:r w:rsidRPr="002712F0">
        <w:t xml:space="preserve"> által az említett jegyzőkönyv 8. cikke szerinti feladatainak ellátása során kifejtett véleményre vagy leadott szavazatra vonatkozik;</w:t>
      </w:r>
    </w:p>
    <w:p w:rsidR="009C0265" w:rsidRPr="002712F0" w:rsidP="005F639E" w14:paraId="0391F77B" w14:textId="09BE3A01">
      <w:pPr>
        <w:pStyle w:val="NormalHanging12a"/>
        <w:widowControl/>
      </w:pPr>
      <w:r w:rsidRPr="002712F0">
        <w:t>J.</w:t>
      </w:r>
      <w:r w:rsidRPr="002712F0">
        <w:tab/>
        <w:t xml:space="preserve">mivel az Európai Unió kiváltságairól és mentességeiről szóló 7. jegyzőkönyv 9. cikke első bekezdésének b) pontja szerint az </w:t>
      </w:r>
      <w:r w:rsidRPr="002712F0" w:rsidR="00F84D3B">
        <w:t xml:space="preserve">Európai Parlament </w:t>
      </w:r>
      <w:r w:rsidRPr="002712F0" w:rsidR="00F84D3B">
        <w:t>ülésszakainak</w:t>
      </w:r>
      <w:r w:rsidRPr="002712F0" w:rsidR="00F84D3B">
        <w:t xml:space="preserve"> ideje alatt, az Európai Parlament tagjai</w:t>
      </w:r>
      <w:r w:rsidRPr="002712F0" w:rsidR="00F84D3B">
        <w:t xml:space="preserve"> </w:t>
      </w:r>
      <w:r w:rsidRPr="002712F0">
        <w:t>a saját tagállamuktól eltérő bármely tagállam területén mentességet élveznek mindenfajta őrizetbe vételre és bírósági eljárásra vonatkozó intézkedés alól;</w:t>
      </w:r>
    </w:p>
    <w:p w:rsidR="009C0265" w:rsidRPr="002712F0" w:rsidP="005F639E" w14:paraId="11CFE0D5" w14:textId="6CEB9237">
      <w:pPr>
        <w:pStyle w:val="NormalHanging12a"/>
        <w:widowControl/>
      </w:pPr>
      <w:r w:rsidRPr="002712F0">
        <w:t>K.</w:t>
      </w:r>
      <w:r w:rsidRPr="002712F0">
        <w:tab/>
        <w:t xml:space="preserve">mivel a vizsgálat számos személyt érintett, és nem csak </w:t>
      </w:r>
      <w:r w:rsidRPr="002712F0">
        <w:t>Fulvio</w:t>
      </w:r>
      <w:r w:rsidRPr="002712F0">
        <w:t xml:space="preserve"> </w:t>
      </w:r>
      <w:r w:rsidRPr="002712F0">
        <w:t>Martusciellót</w:t>
      </w:r>
      <w:r w:rsidRPr="002712F0">
        <w:t xml:space="preserve">; </w:t>
      </w:r>
      <w:bookmarkStart w:id="13" w:name="_Hlk228970940"/>
      <w:r w:rsidRPr="002712F0">
        <w:t xml:space="preserve">mivel úgy tűnik, hogy a </w:t>
      </w:r>
      <w:r w:rsidRPr="002712F0">
        <w:t>Fulvio</w:t>
      </w:r>
      <w:r w:rsidRPr="002712F0">
        <w:t xml:space="preserve"> </w:t>
      </w:r>
      <w:r w:rsidRPr="002712F0">
        <w:t>Martusciello</w:t>
      </w:r>
      <w:r w:rsidRPr="002712F0">
        <w:t xml:space="preserve"> mentelmi jogának felfüggesztésére irányuló kérelem</w:t>
      </w:r>
      <w:bookmarkEnd w:id="13"/>
      <w:r w:rsidRPr="002712F0">
        <w:t xml:space="preserve"> az állítólagos korrupt gyakorlatok szélesebb körű kivizsgálásából ered, és nem irányul célzottan a képviselő politikai tevékenységére; mivel a Parlament nem talált bizonyítékot </w:t>
      </w:r>
      <w:r w:rsidRPr="002712F0">
        <w:rPr>
          <w:i/>
          <w:iCs/>
        </w:rPr>
        <w:t>fumus</w:t>
      </w:r>
      <w:r w:rsidRPr="002712F0">
        <w:rPr>
          <w:i/>
          <w:iCs/>
        </w:rPr>
        <w:t xml:space="preserve"> </w:t>
      </w:r>
      <w:r w:rsidRPr="002712F0">
        <w:rPr>
          <w:i/>
          <w:iCs/>
        </w:rPr>
        <w:t>persecutionis</w:t>
      </w:r>
      <w:r w:rsidRPr="002712F0">
        <w:t xml:space="preserve"> fennállására, azaz nem tűnik úgy, hogy a</w:t>
      </w:r>
      <w:r w:rsidRPr="002712F0" w:rsidR="00F84D3B">
        <w:t>z</w:t>
      </w:r>
      <w:r w:rsidRPr="002712F0">
        <w:t xml:space="preserve"> eljárás mögött </w:t>
      </w:r>
      <w:r w:rsidRPr="002712F0" w:rsidR="00F84D3B">
        <w:t>meg</w:t>
      </w:r>
      <w:r w:rsidRPr="002712F0">
        <w:t>húzód</w:t>
      </w:r>
      <w:r w:rsidRPr="002712F0" w:rsidR="00F84D3B">
        <w:t>ó</w:t>
      </w:r>
      <w:r w:rsidRPr="002712F0">
        <w:t xml:space="preserve"> </w:t>
      </w:r>
      <w:r w:rsidRPr="002712F0" w:rsidR="00F84D3B">
        <w:t xml:space="preserve">szándék </w:t>
      </w:r>
      <w:r w:rsidRPr="002712F0">
        <w:t>Fulvio</w:t>
      </w:r>
      <w:r w:rsidRPr="002712F0">
        <w:t xml:space="preserve"> </w:t>
      </w:r>
      <w:r w:rsidRPr="002712F0">
        <w:t>Martusciello</w:t>
      </w:r>
      <w:r w:rsidRPr="002712F0">
        <w:t xml:space="preserve"> európai parlamenti képviselőként folytatott politikai tevékenység</w:t>
      </w:r>
      <w:r w:rsidRPr="002712F0" w:rsidR="00F84D3B">
        <w:t xml:space="preserve">ének, és ezáltal a Parlament függetlenségének </w:t>
      </w:r>
      <w:r w:rsidRPr="002712F0" w:rsidR="00E24E05">
        <w:t>megsértésére</w:t>
      </w:r>
      <w:r w:rsidRPr="002712F0" w:rsidR="00F84D3B">
        <w:t xml:space="preserve"> irányulna</w:t>
      </w:r>
      <w:r w:rsidRPr="002712F0">
        <w:t>;</w:t>
      </w:r>
    </w:p>
    <w:bookmarkEnd w:id="12"/>
    <w:p w:rsidR="009C0265" w:rsidRPr="002712F0" w:rsidP="005F639E" w14:paraId="6EF1193A" w14:textId="77777777">
      <w:pPr>
        <w:pStyle w:val="NormalHanging12a"/>
        <w:widowControl/>
      </w:pPr>
      <w:r w:rsidRPr="002712F0">
        <w:t>1.</w:t>
      </w:r>
      <w:r w:rsidRPr="002712F0">
        <w:tab/>
      </w:r>
      <w:bookmarkStart w:id="14" w:name="_Hlk223949317"/>
      <w:r w:rsidRPr="002712F0">
        <w:t xml:space="preserve">úgy határoz, hogy felfüggeszti </w:t>
      </w:r>
      <w:r w:rsidRPr="002712F0">
        <w:t>Fulvio</w:t>
      </w:r>
      <w:r w:rsidRPr="002712F0">
        <w:t xml:space="preserve"> </w:t>
      </w:r>
      <w:r w:rsidRPr="002712F0">
        <w:t>Martusciello</w:t>
      </w:r>
      <w:r w:rsidRPr="002712F0">
        <w:t xml:space="preserve"> mentelmi jogát</w:t>
      </w:r>
      <w:bookmarkEnd w:id="14"/>
      <w:r w:rsidRPr="002712F0">
        <w:t>;</w:t>
      </w:r>
    </w:p>
    <w:p w:rsidR="00B37B9B" w:rsidRPr="00B37B9B" w:rsidP="005F639E" w14:paraId="3261BBB5" w14:textId="5DCE808C">
      <w:pPr>
        <w:pStyle w:val="NormalHanging12a"/>
        <w:widowControl/>
      </w:pPr>
      <w:r w:rsidRPr="002712F0">
        <w:t>2.</w:t>
      </w:r>
      <w:r w:rsidRPr="002712F0">
        <w:tab/>
        <w:t xml:space="preserve">utasítja elnökét, hogy haladéktalanul továbbítsa ezt a határozatot és </w:t>
      </w:r>
      <w:r w:rsidRPr="002712F0" w:rsidR="00E24E05">
        <w:t xml:space="preserve">az </w:t>
      </w:r>
      <w:r w:rsidRPr="002712F0">
        <w:t xml:space="preserve">illetékes bizottság jelentését a Belga Királyság illetékes </w:t>
      </w:r>
      <w:r w:rsidRPr="002712F0" w:rsidR="00E24E05">
        <w:t xml:space="preserve">hatóságainak </w:t>
      </w:r>
      <w:r w:rsidRPr="002712F0">
        <w:t xml:space="preserve">és </w:t>
      </w:r>
      <w:r w:rsidRPr="002712F0">
        <w:t>Fulvio</w:t>
      </w:r>
      <w:r w:rsidRPr="002712F0">
        <w:t xml:space="preserve"> </w:t>
      </w:r>
      <w:r w:rsidRPr="002712F0">
        <w:t>Martusciellónak</w:t>
      </w:r>
      <w:r w:rsidRPr="002712F0">
        <w:t>.</w:t>
      </w:r>
    </w:p>
    <w:p w:rsidR="00E365E1" w:rsidRPr="00B37B9B" w:rsidP="005F639E" w14:paraId="4B9A8CFC" w14:textId="71699C3A">
      <w:pPr>
        <w:widowControl/>
        <w:spacing w:after="240"/>
        <w:ind w:left="567" w:hanging="567"/>
      </w:pPr>
    </w:p>
    <w:sectPr w:rsidSect="00B37B9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37B9B" w14:paraId="1E9149F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37B9B" w14:paraId="7426237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37B9B" w14:paraId="493B648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C043B" w:rsidRPr="00B37B9B" w14:paraId="4DD0AE58" w14:textId="77777777">
      <w:r w:rsidRPr="00B37B9B">
        <w:separator/>
      </w:r>
    </w:p>
  </w:footnote>
  <w:footnote w:type="continuationSeparator" w:id="1">
    <w:p w:rsidR="00DC043B" w:rsidRPr="00B37B9B" w14:paraId="4DC6E88A" w14:textId="77777777">
      <w:r w:rsidRPr="00B37B9B">
        <w:continuationSeparator/>
      </w:r>
    </w:p>
  </w:footnote>
  <w:footnote w:id="2">
    <w:p w:rsidR="009C0265" w:rsidRPr="005F639E" w:rsidP="00B37B9B" w14:paraId="237254FF" w14:textId="6968778C">
      <w:pPr>
        <w:pStyle w:val="FootnoteText"/>
        <w:ind w:left="567" w:hanging="567"/>
        <w:rPr>
          <w:sz w:val="24"/>
          <w:lang w:val="hu-HU"/>
        </w:rPr>
      </w:pPr>
      <w:r w:rsidRPr="005F639E">
        <w:rPr>
          <w:rStyle w:val="FootnoteReference"/>
          <w:sz w:val="24"/>
          <w:lang w:val="hu-HU"/>
        </w:rPr>
        <w:footnoteRef/>
      </w:r>
      <w:r w:rsidRPr="005F639E" w:rsidR="00B37B9B">
        <w:rPr>
          <w:sz w:val="24"/>
          <w:lang w:val="hu-HU"/>
        </w:rPr>
        <w:t xml:space="preserve"> </w:t>
      </w:r>
      <w:r w:rsidRPr="005F639E" w:rsidR="00B37B9B">
        <w:rPr>
          <w:sz w:val="24"/>
          <w:lang w:val="hu-HU"/>
        </w:rPr>
        <w:tab/>
      </w:r>
      <w:r w:rsidRPr="005F639E">
        <w:rPr>
          <w:sz w:val="24"/>
          <w:lang w:val="hu-HU"/>
        </w:rPr>
        <w:t xml:space="preserve">A Bíróság 2008. október 21-i ítélete, Marra kontra De </w:t>
      </w:r>
      <w:r w:rsidRPr="005F639E">
        <w:rPr>
          <w:sz w:val="24"/>
          <w:lang w:val="hu-HU"/>
        </w:rPr>
        <w:t>Gregorio</w:t>
      </w:r>
      <w:r w:rsidRPr="005F639E">
        <w:rPr>
          <w:sz w:val="24"/>
          <w:lang w:val="hu-HU"/>
        </w:rPr>
        <w:t xml:space="preserve"> és </w:t>
      </w:r>
      <w:r w:rsidRPr="005F639E">
        <w:rPr>
          <w:sz w:val="24"/>
          <w:lang w:val="hu-HU"/>
        </w:rPr>
        <w:t>Clemente</w:t>
      </w:r>
      <w:r w:rsidRPr="005F639E">
        <w:rPr>
          <w:sz w:val="24"/>
          <w:lang w:val="hu-HU"/>
        </w:rPr>
        <w:t xml:space="preserve">, C 200/07. és C-201/07., ECLI:EU:C:2008:579; a Törvényszék 2010. március 19-i ítélete, </w:t>
      </w:r>
      <w:r w:rsidRPr="005F639E">
        <w:rPr>
          <w:sz w:val="24"/>
          <w:lang w:val="hu-HU"/>
        </w:rPr>
        <w:t>Gollnisch</w:t>
      </w:r>
      <w:r w:rsidRPr="005F639E">
        <w:rPr>
          <w:sz w:val="24"/>
          <w:lang w:val="hu-HU"/>
        </w:rPr>
        <w:t xml:space="preserve"> kontra Európai Parlament, T-42/06, ECLI:EU:T:2010:102; a Bíróság 2011. szeptember 6-i ítélete, </w:t>
      </w:r>
      <w:r w:rsidRPr="005F639E">
        <w:rPr>
          <w:sz w:val="24"/>
          <w:lang w:val="hu-HU"/>
        </w:rPr>
        <w:t>Patriciello</w:t>
      </w:r>
      <w:r w:rsidRPr="005F639E">
        <w:rPr>
          <w:sz w:val="24"/>
          <w:lang w:val="hu-HU"/>
        </w:rPr>
        <w:t xml:space="preserve">-ügy, C-163/10, ECLI: EU:C:2011:543; a Törvényszék 2013. január 17-i ítélete, </w:t>
      </w:r>
      <w:r w:rsidRPr="005F639E">
        <w:rPr>
          <w:sz w:val="24"/>
          <w:lang w:val="hu-HU"/>
        </w:rPr>
        <w:t>Gollnisch</w:t>
      </w:r>
      <w:r w:rsidRPr="005F639E">
        <w:rPr>
          <w:sz w:val="24"/>
          <w:lang w:val="hu-HU"/>
        </w:rPr>
        <w:t xml:space="preserve"> kontra Parlament, T-346/11 és T-347/11, ECLI:EU:T:2013:23; a Bíróság 2019. december 19-i ítélete, </w:t>
      </w:r>
      <w:r w:rsidRPr="005F639E">
        <w:rPr>
          <w:sz w:val="24"/>
          <w:lang w:val="hu-HU"/>
        </w:rPr>
        <w:t>Junqueras</w:t>
      </w:r>
      <w:r w:rsidRPr="005F639E">
        <w:rPr>
          <w:sz w:val="24"/>
          <w:lang w:val="hu-HU"/>
        </w:rPr>
        <w:t xml:space="preserve"> </w:t>
      </w:r>
      <w:r w:rsidRPr="005F639E">
        <w:rPr>
          <w:sz w:val="24"/>
          <w:lang w:val="hu-HU"/>
        </w:rPr>
        <w:t>Vies</w:t>
      </w:r>
      <w:r w:rsidRPr="005F639E">
        <w:rPr>
          <w:sz w:val="24"/>
          <w:lang w:val="hu-HU"/>
        </w:rPr>
        <w:t>, C-502/19, ECLI:EU:C:2019:1115.</w:t>
      </w:r>
    </w:p>
  </w:footnote>
  <w:footnote w:id="3">
    <w:p w:rsidR="009C0265" w:rsidRPr="005F639E" w:rsidP="00B37B9B" w14:paraId="74337228" w14:textId="2A119D73">
      <w:pPr>
        <w:pStyle w:val="FootnoteText"/>
        <w:ind w:left="567" w:hanging="567"/>
        <w:rPr>
          <w:sz w:val="24"/>
          <w:lang w:val="hu-HU"/>
        </w:rPr>
      </w:pPr>
      <w:r w:rsidRPr="005F639E">
        <w:rPr>
          <w:rStyle w:val="FootnoteReference"/>
          <w:sz w:val="24"/>
          <w:lang w:val="hu-HU"/>
        </w:rPr>
        <w:footnoteRef/>
      </w:r>
      <w:r w:rsidRPr="005F639E" w:rsidR="00B37B9B">
        <w:rPr>
          <w:sz w:val="24"/>
          <w:lang w:val="hu-HU"/>
        </w:rPr>
        <w:t xml:space="preserve"> </w:t>
      </w:r>
      <w:r w:rsidRPr="005F639E" w:rsidR="00B37B9B">
        <w:rPr>
          <w:sz w:val="24"/>
          <w:lang w:val="hu-HU"/>
        </w:rPr>
        <w:tab/>
      </w:r>
      <w:r w:rsidRPr="005F639E">
        <w:rPr>
          <w:sz w:val="24"/>
          <w:lang w:val="hu-HU"/>
        </w:rPr>
        <w:t xml:space="preserve">A Törvényszék 2019. április 30-i ítélete, </w:t>
      </w:r>
      <w:r w:rsidRPr="005F639E">
        <w:rPr>
          <w:sz w:val="24"/>
          <w:lang w:val="hu-HU"/>
        </w:rPr>
        <w:t>Briois</w:t>
      </w:r>
      <w:r w:rsidRPr="005F639E">
        <w:rPr>
          <w:sz w:val="24"/>
          <w:lang w:val="hu-HU"/>
        </w:rPr>
        <w:t xml:space="preserve"> kontra Európai Parlament, T-214/18, ECLI:</w:t>
      </w:r>
      <w:r w:rsidRPr="005F639E">
        <w:rPr>
          <w:sz w:val="24"/>
          <w:lang w:val="hu-HU"/>
        </w:rPr>
        <w:t>EU:T</w:t>
      </w:r>
      <w:r w:rsidRPr="005F639E">
        <w:rPr>
          <w:sz w:val="24"/>
          <w:lang w:val="hu-HU"/>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37B9B" w14:paraId="642237F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37B9B" w14:paraId="593C43D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37B9B" w14:paraId="6E7DD67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2035978">
    <w:abstractNumId w:val="9"/>
  </w:num>
  <w:num w:numId="2" w16cid:durableId="1485126094">
    <w:abstractNumId w:val="9"/>
  </w:num>
  <w:num w:numId="3" w16cid:durableId="1838617756">
    <w:abstractNumId w:val="7"/>
  </w:num>
  <w:num w:numId="4" w16cid:durableId="112017958">
    <w:abstractNumId w:val="7"/>
  </w:num>
  <w:num w:numId="5" w16cid:durableId="1928541115">
    <w:abstractNumId w:val="6"/>
  </w:num>
  <w:num w:numId="6" w16cid:durableId="889850488">
    <w:abstractNumId w:val="6"/>
  </w:num>
  <w:num w:numId="7" w16cid:durableId="891502203">
    <w:abstractNumId w:val="5"/>
  </w:num>
  <w:num w:numId="8" w16cid:durableId="1528565852">
    <w:abstractNumId w:val="5"/>
  </w:num>
  <w:num w:numId="9" w16cid:durableId="686369824">
    <w:abstractNumId w:val="4"/>
  </w:num>
  <w:num w:numId="10" w16cid:durableId="146866600">
    <w:abstractNumId w:val="4"/>
  </w:num>
  <w:num w:numId="11" w16cid:durableId="1049770438">
    <w:abstractNumId w:val="8"/>
  </w:num>
  <w:num w:numId="12" w16cid:durableId="822621680">
    <w:abstractNumId w:val="8"/>
  </w:num>
  <w:num w:numId="13" w16cid:durableId="2028872021">
    <w:abstractNumId w:val="3"/>
  </w:num>
  <w:num w:numId="14" w16cid:durableId="1540121180">
    <w:abstractNumId w:val="3"/>
  </w:num>
  <w:num w:numId="15" w16cid:durableId="1480267714">
    <w:abstractNumId w:val="2"/>
  </w:num>
  <w:num w:numId="16" w16cid:durableId="663893209">
    <w:abstractNumId w:val="2"/>
  </w:num>
  <w:num w:numId="17" w16cid:durableId="1947738192">
    <w:abstractNumId w:val="1"/>
  </w:num>
  <w:num w:numId="18" w16cid:durableId="39599097">
    <w:abstractNumId w:val="1"/>
  </w:num>
  <w:num w:numId="19" w16cid:durableId="1110854528">
    <w:abstractNumId w:val="0"/>
  </w:num>
  <w:num w:numId="20" w16cid:durableId="1149788655">
    <w:abstractNumId w:val="0"/>
  </w:num>
  <w:num w:numId="21" w16cid:durableId="1878540063">
    <w:abstractNumId w:val="9"/>
  </w:num>
  <w:num w:numId="22" w16cid:durableId="2015111223">
    <w:abstractNumId w:val="7"/>
  </w:num>
  <w:num w:numId="23" w16cid:durableId="667102000">
    <w:abstractNumId w:val="6"/>
  </w:num>
  <w:num w:numId="24" w16cid:durableId="968245491">
    <w:abstractNumId w:val="5"/>
  </w:num>
  <w:num w:numId="25" w16cid:durableId="354886830">
    <w:abstractNumId w:val="4"/>
  </w:num>
  <w:num w:numId="26" w16cid:durableId="1977950109">
    <w:abstractNumId w:val="8"/>
  </w:num>
  <w:num w:numId="27" w16cid:durableId="744647033">
    <w:abstractNumId w:val="3"/>
  </w:num>
  <w:num w:numId="28" w16cid:durableId="805439854">
    <w:abstractNumId w:val="2"/>
  </w:num>
  <w:num w:numId="29" w16cid:durableId="679357951">
    <w:abstractNumId w:val="1"/>
  </w:num>
  <w:num w:numId="30" w16cid:durableId="1144539880">
    <w:abstractNumId w:val="0"/>
  </w:num>
  <w:num w:numId="31" w16cid:durableId="1403940550">
    <w:abstractNumId w:val="9"/>
  </w:num>
  <w:num w:numId="32" w16cid:durableId="1074353300">
    <w:abstractNumId w:val="7"/>
  </w:num>
  <w:num w:numId="33" w16cid:durableId="624046888">
    <w:abstractNumId w:val="6"/>
  </w:num>
  <w:num w:numId="34" w16cid:durableId="425812354">
    <w:abstractNumId w:val="5"/>
  </w:num>
  <w:num w:numId="35" w16cid:durableId="557982214">
    <w:abstractNumId w:val="4"/>
  </w:num>
  <w:num w:numId="36" w16cid:durableId="1591893831">
    <w:abstractNumId w:val="8"/>
  </w:num>
  <w:num w:numId="37" w16cid:durableId="1483545044">
    <w:abstractNumId w:val="3"/>
  </w:num>
  <w:num w:numId="38" w16cid:durableId="2052685178">
    <w:abstractNumId w:val="2"/>
  </w:num>
  <w:num w:numId="39" w16cid:durableId="1258363978">
    <w:abstractNumId w:val="1"/>
  </w:num>
  <w:num w:numId="40" w16cid:durableId="184443667">
    <w:abstractNumId w:val="0"/>
  </w:num>
  <w:num w:numId="41" w16cid:durableId="982463546">
    <w:abstractNumId w:val="10"/>
  </w:num>
  <w:num w:numId="42" w16cid:durableId="1981686079">
    <w:abstractNumId w:val="10"/>
  </w:num>
  <w:num w:numId="43" w16cid:durableId="1898122867">
    <w:abstractNumId w:val="10"/>
  </w:num>
  <w:num w:numId="44" w16cid:durableId="4232621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43B"/>
    <w:rsid w:val="00002272"/>
    <w:rsid w:val="00064002"/>
    <w:rsid w:val="000677B9"/>
    <w:rsid w:val="000831BA"/>
    <w:rsid w:val="000A42CC"/>
    <w:rsid w:val="000E7DD9"/>
    <w:rsid w:val="0010095E"/>
    <w:rsid w:val="00125B37"/>
    <w:rsid w:val="00187494"/>
    <w:rsid w:val="001F32AE"/>
    <w:rsid w:val="002712F0"/>
    <w:rsid w:val="002767FF"/>
    <w:rsid w:val="002B18FE"/>
    <w:rsid w:val="002B5493"/>
    <w:rsid w:val="00343214"/>
    <w:rsid w:val="00361C00"/>
    <w:rsid w:val="00395FA1"/>
    <w:rsid w:val="003E15D4"/>
    <w:rsid w:val="00411CCE"/>
    <w:rsid w:val="0041666E"/>
    <w:rsid w:val="00421060"/>
    <w:rsid w:val="0043513D"/>
    <w:rsid w:val="00471C19"/>
    <w:rsid w:val="004867E3"/>
    <w:rsid w:val="00494A28"/>
    <w:rsid w:val="004C0004"/>
    <w:rsid w:val="004C5D52"/>
    <w:rsid w:val="0050519A"/>
    <w:rsid w:val="005072A1"/>
    <w:rsid w:val="00514517"/>
    <w:rsid w:val="00545827"/>
    <w:rsid w:val="00560270"/>
    <w:rsid w:val="005C2568"/>
    <w:rsid w:val="005F1B17"/>
    <w:rsid w:val="005F639E"/>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F03"/>
    <w:rsid w:val="00887B3E"/>
    <w:rsid w:val="008A7C8F"/>
    <w:rsid w:val="008C2AC6"/>
    <w:rsid w:val="00912059"/>
    <w:rsid w:val="00930C23"/>
    <w:rsid w:val="0093193B"/>
    <w:rsid w:val="009509D8"/>
    <w:rsid w:val="00950B64"/>
    <w:rsid w:val="00981893"/>
    <w:rsid w:val="009C0265"/>
    <w:rsid w:val="00A1687D"/>
    <w:rsid w:val="00A37F73"/>
    <w:rsid w:val="00A43E52"/>
    <w:rsid w:val="00A4678D"/>
    <w:rsid w:val="00A778C7"/>
    <w:rsid w:val="00AB441E"/>
    <w:rsid w:val="00AB6293"/>
    <w:rsid w:val="00AE0928"/>
    <w:rsid w:val="00AF396B"/>
    <w:rsid w:val="00AF3B82"/>
    <w:rsid w:val="00B12E95"/>
    <w:rsid w:val="00B22876"/>
    <w:rsid w:val="00B37B9B"/>
    <w:rsid w:val="00B558F0"/>
    <w:rsid w:val="00BD48FE"/>
    <w:rsid w:val="00BD7BD8"/>
    <w:rsid w:val="00BE6ADC"/>
    <w:rsid w:val="00C04F30"/>
    <w:rsid w:val="00C05BFE"/>
    <w:rsid w:val="00C23CD4"/>
    <w:rsid w:val="00C61C0C"/>
    <w:rsid w:val="00C941CB"/>
    <w:rsid w:val="00CC2357"/>
    <w:rsid w:val="00CF071A"/>
    <w:rsid w:val="00D058B8"/>
    <w:rsid w:val="00D56C11"/>
    <w:rsid w:val="00D834A0"/>
    <w:rsid w:val="00D872DF"/>
    <w:rsid w:val="00D91E21"/>
    <w:rsid w:val="00DA7FCD"/>
    <w:rsid w:val="00DB0673"/>
    <w:rsid w:val="00DC043B"/>
    <w:rsid w:val="00E24E05"/>
    <w:rsid w:val="00E365E1"/>
    <w:rsid w:val="00E820A4"/>
    <w:rsid w:val="00EB006A"/>
    <w:rsid w:val="00EB4772"/>
    <w:rsid w:val="00ED169E"/>
    <w:rsid w:val="00ED4235"/>
    <w:rsid w:val="00F04346"/>
    <w:rsid w:val="00F075DC"/>
    <w:rsid w:val="00F149E9"/>
    <w:rsid w:val="00F5134D"/>
    <w:rsid w:val="00F74202"/>
    <w:rsid w:val="00F84D3B"/>
    <w:rsid w:val="00F87713"/>
    <w:rsid w:val="00FB4360"/>
    <w:rsid w:val="00FD0C70"/>
  </w:rsids>
  <w:docVars>
    <w:docVar w:name="dvdocse" w:val="A10-0154/2026"/>
    <w:docVar w:name="dvlangue" w:val="HU"/>
    <w:docVar w:name="dvnumam" w:val="0"/>
    <w:docVar w:name="dvpe" w:val="788.823"/>
    <w:docVar w:name="dvrapporteur" w:val="Előadó: "/>
    <w:docVar w:name="dvtitre" w:val="Az Európai Parlament 2026.  ...-i határozata a Fulvio Martusciello mentelmi jogának felfüggesztésére irányuló kérelemről(2025/2099(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A0547B7"/>
  <w15:chartTrackingRefBased/>
  <w15:docId w15:val="{9C4155BD-F5F1-4E91-939C-0DEB0511E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C0265"/>
    <w:pPr>
      <w:spacing w:after="240"/>
      <w:ind w:left="567" w:hanging="567"/>
    </w:pPr>
  </w:style>
  <w:style w:type="paragraph" w:customStyle="1" w:styleId="EPComma">
    <w:name w:val="EPComma"/>
    <w:basedOn w:val="Normal"/>
    <w:rsid w:val="009C0265"/>
    <w:pPr>
      <w:spacing w:before="480" w:after="240"/>
    </w:pPr>
  </w:style>
  <w:style w:type="paragraph" w:styleId="Revision">
    <w:name w:val="Revision"/>
    <w:hidden/>
    <w:uiPriority w:val="99"/>
    <w:semiHidden/>
    <w:rsid w:val="00886F03"/>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858</Words>
  <Characters>6228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2026-06-16T10:51:00Z</dcterms:created>
  <dcterms:modified xsi:type="dcterms:W3CDTF">2026-06-16T10:51:00Z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A10-0154/2026</vt:lpwstr>
  </property>
  <property fmtid="{D5CDD505-2E9C-101B-9397-08002B2CF9AE}" pid="4" name="&lt;Type&gt;">
    <vt:lpwstr>RR</vt:lpwstr>
  </property>
</Properties>
</file>