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55CF6A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7FBB" w:rsidP="0010095E" w14:paraId="32E56F1E" w14:textId="77777777">
            <w:pPr>
              <w:pStyle w:val="EPName"/>
            </w:pPr>
            <w:r w:rsidRPr="00057FBB">
              <w:t>Parlamento europeo</w:t>
            </w:r>
          </w:p>
          <w:p w:rsidR="00751A4A" w:rsidRPr="00057FBB" w:rsidP="005F1B17" w14:paraId="26E49A5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7FBB">
              <w:t>2024</w:t>
            </w:r>
            <w:r w:rsidRPr="00057FBB" w:rsidR="00817416">
              <w:t>-202</w:t>
            </w:r>
            <w:r w:rsidRPr="00057FB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57FBB" w:rsidP="0010095E" w14:paraId="2B026156" w14:textId="77777777">
            <w:pPr>
              <w:pStyle w:val="EPLogo"/>
            </w:pPr>
            <w:r w:rsidRPr="00057FB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7FBB" w:rsidP="004C5D52" w14:paraId="2A6E8F40" w14:textId="77777777">
      <w:pPr>
        <w:pStyle w:val="LineTop"/>
      </w:pPr>
    </w:p>
    <w:p w:rsidR="00680577" w:rsidRPr="00057FBB" w:rsidP="00680577" w14:paraId="6E7A6164" w14:textId="77777777">
      <w:pPr>
        <w:pStyle w:val="EPBodyTA1"/>
      </w:pPr>
      <w:r w:rsidRPr="00057FBB">
        <w:t>TESTI APPROVATI</w:t>
      </w:r>
    </w:p>
    <w:p w:rsidR="00D058B8" w:rsidRPr="00057FBB" w:rsidP="00D058B8" w14:paraId="67F71CAE" w14:textId="77777777">
      <w:pPr>
        <w:pStyle w:val="LineBottom"/>
      </w:pPr>
    </w:p>
    <w:p w:rsidR="00701D59" w:rsidRPr="00057FBB" w:rsidP="00701D59" w14:paraId="0E143A06" w14:textId="58B980F4">
      <w:pPr>
        <w:pStyle w:val="ATHeading1"/>
      </w:pPr>
      <w:bookmarkStart w:id="0" w:name="TANumber"/>
      <w:r w:rsidRPr="00057FBB">
        <w:t>P10_TA(2026)0</w:t>
      </w:r>
      <w:bookmarkEnd w:id="0"/>
      <w:r w:rsidRPr="00057FBB" w:rsidR="00057FBB">
        <w:t>194</w:t>
      </w:r>
    </w:p>
    <w:p w:rsidR="00701D59" w:rsidRPr="00057FBB" w:rsidP="00701D59" w14:paraId="3902A07E" w14:textId="581D7C96">
      <w:pPr>
        <w:pStyle w:val="ATHeading2"/>
      </w:pPr>
      <w:r w:rsidRPr="00057FBB">
        <w:t>Richiesta di revoca dell'immunità di Fulvio Martusciello</w:t>
      </w:r>
    </w:p>
    <w:p w:rsidR="00701D59" w:rsidRPr="00057FBB" w:rsidP="00701D59" w14:paraId="34D3D0F9" w14:textId="77777777">
      <w:pPr>
        <w:rPr>
          <w:i/>
          <w:vanish/>
        </w:rPr>
      </w:pPr>
      <w:r>
        <w:rPr>
          <w:i/>
        </w:rPr>
        <w:fldChar w:fldCharType="begin"/>
      </w:r>
      <w:r w:rsidRPr="00057FBB">
        <w:rPr>
          <w:i/>
        </w:rPr>
        <w:instrText xml:space="preserve"> TC"(</w:instrText>
      </w:r>
      <w:bookmarkStart w:id="1" w:name="DocNumber"/>
      <w:r w:rsidRPr="00057FBB">
        <w:rPr>
          <w:i/>
        </w:rPr>
        <w:instrText>A10-0154/2026</w:instrText>
      </w:r>
      <w:bookmarkEnd w:id="1"/>
      <w:r w:rsidRPr="00057FBB">
        <w:rPr>
          <w:i/>
        </w:rPr>
        <w:instrText xml:space="preserve"> - Relatore: Dominik Tarczyński)"\l3 \n&gt; \* MERGEFORMAT </w:instrText>
      </w:r>
      <w:r>
        <w:rPr>
          <w:i/>
        </w:rPr>
        <w:fldChar w:fldCharType="end"/>
      </w:r>
    </w:p>
    <w:p w:rsidR="00701D59" w:rsidRPr="00057FBB" w:rsidP="00701D59" w14:paraId="3D04BA12" w14:textId="77777777">
      <w:pPr>
        <w:rPr>
          <w:vanish/>
        </w:rPr>
      </w:pPr>
      <w:bookmarkStart w:id="2" w:name="Commission"/>
      <w:r w:rsidRPr="00057FBB">
        <w:rPr>
          <w:vanish/>
        </w:rPr>
        <w:t>Commissione giuridica</w:t>
      </w:r>
      <w:bookmarkEnd w:id="2"/>
    </w:p>
    <w:p w:rsidR="00701D59" w:rsidRPr="00057FBB" w:rsidP="00701D59" w14:paraId="796327AA" w14:textId="77777777">
      <w:pPr>
        <w:rPr>
          <w:vanish/>
        </w:rPr>
      </w:pPr>
      <w:bookmarkStart w:id="3" w:name="PE"/>
      <w:r w:rsidRPr="00057FBB">
        <w:rPr>
          <w:vanish/>
        </w:rPr>
        <w:t>PE788.823</w:t>
      </w:r>
      <w:bookmarkEnd w:id="3"/>
    </w:p>
    <w:p w:rsidR="00701D59" w:rsidRPr="00057FBB" w:rsidP="00057FBB" w14:paraId="4B8F4EA0" w14:textId="3FB09682">
      <w:pPr>
        <w:pStyle w:val="ATHeading3"/>
      </w:pPr>
      <w:bookmarkStart w:id="4" w:name="Sujet"/>
      <w:r w:rsidRPr="00057FBB">
        <w:t xml:space="preserve">Decisione del Parlamento europeo del </w:t>
      </w:r>
      <w:r w:rsidRPr="00057FBB" w:rsidR="00887FD9">
        <w:t xml:space="preserve">16 giugno </w:t>
      </w:r>
      <w:r w:rsidRPr="00057FBB">
        <w:t>2026 sulla richiesta di revoca dell'immunità di Fulvio Martusciello</w:t>
      </w:r>
      <w:bookmarkEnd w:id="4"/>
      <w:r w:rsidRPr="00057FBB">
        <w:t xml:space="preserve"> </w:t>
      </w:r>
      <w:bookmarkStart w:id="5" w:name="References"/>
      <w:r w:rsidRPr="00057FBB">
        <w:t>(2025/2099(IMM))</w:t>
      </w:r>
      <w:bookmarkEnd w:id="5"/>
    </w:p>
    <w:p w:rsidR="00726941" w:rsidRPr="00057FBB" w:rsidP="00726941" w14:paraId="69DBD19A" w14:textId="77777777">
      <w:pPr>
        <w:pStyle w:val="EPComma"/>
      </w:pPr>
      <w:bookmarkStart w:id="6" w:name="TextBodyBegin"/>
      <w:bookmarkEnd w:id="6"/>
      <w:r w:rsidRPr="00057FBB">
        <w:rPr>
          <w:i/>
        </w:rPr>
        <w:t>Il Parlamento europeo</w:t>
      </w:r>
      <w:r w:rsidRPr="00057FBB">
        <w:t>,</w:t>
      </w:r>
    </w:p>
    <w:p w:rsidR="00726941" w:rsidRPr="00057FBB" w:rsidP="00726941" w14:paraId="3104EE7E" w14:textId="4B14CADC">
      <w:pPr>
        <w:pStyle w:val="NormalHanging12a"/>
      </w:pPr>
      <w:r w:rsidRPr="00057FBB">
        <w:t>–</w:t>
      </w:r>
      <w:r w:rsidRPr="00057FBB">
        <w:tab/>
        <w:t xml:space="preserve">vista la richiesta di revoca dell'immunità di Fulvio Martusciello, ricevuta con lettera in data 6 maggio 2025 dal </w:t>
      </w:r>
      <w:r w:rsidRPr="00057FBB" w:rsidR="00887FD9">
        <w:t>s</w:t>
      </w:r>
      <w:r w:rsidRPr="00057FBB">
        <w:t xml:space="preserve">ervizio pubblico federale belga </w:t>
      </w:r>
      <w:r w:rsidRPr="00057FBB" w:rsidR="00887FD9">
        <w:t>per gli a</w:t>
      </w:r>
      <w:r w:rsidRPr="00057FBB">
        <w:t>ffari esteri,</w:t>
      </w:r>
      <w:r w:rsidRPr="00057FBB" w:rsidR="00887FD9">
        <w:t xml:space="preserve"> il</w:t>
      </w:r>
      <w:r w:rsidRPr="00057FBB">
        <w:t xml:space="preserve"> commercio estero e </w:t>
      </w:r>
      <w:r w:rsidRPr="00057FBB" w:rsidR="00887FD9">
        <w:t xml:space="preserve">la </w:t>
      </w:r>
      <w:r w:rsidRPr="00057FBB">
        <w:t xml:space="preserve">cooperazione allo sviluppo, recante una richiesta della </w:t>
      </w:r>
      <w:r w:rsidRPr="00057FBB" w:rsidR="00841304">
        <w:t xml:space="preserve">procura </w:t>
      </w:r>
      <w:r w:rsidRPr="00057FBB">
        <w:t>federale belga, in data 16 aprile 2025, nel quadro di un procedimento penale da avviare a carico di Fulvio Martusciello, e comunicata in Aula il 21 maggio 2025,</w:t>
      </w:r>
    </w:p>
    <w:p w:rsidR="00726941" w:rsidRPr="00057FBB" w:rsidP="00726941" w14:paraId="253E20AE" w14:textId="77777777">
      <w:pPr>
        <w:pStyle w:val="NormalHanging12a"/>
      </w:pPr>
      <w:r w:rsidRPr="00057FBB">
        <w:t>–</w:t>
      </w:r>
      <w:r w:rsidRPr="00057FBB">
        <w:tab/>
        <w:t>avendo ascoltato Fulvio Martusciello il 24 marzo 2026 a norma dell'articolo 9, paragrafo 6, del suo regolamento,</w:t>
      </w:r>
    </w:p>
    <w:p w:rsidR="00726941" w:rsidRPr="00057FBB" w:rsidP="00726941" w14:paraId="5B7882EF" w14:textId="77777777">
      <w:pPr>
        <w:pStyle w:val="NormalHanging12a"/>
      </w:pPr>
      <w:r w:rsidRPr="00057FBB">
        <w:t>–</w:t>
      </w:r>
      <w:r w:rsidRPr="00057FBB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:rsidR="00726941" w:rsidRPr="00057FBB" w:rsidP="00726941" w14:paraId="3943EEDB" w14:textId="77777777">
      <w:pPr>
        <w:pStyle w:val="NormalHanging12a"/>
      </w:pPr>
      <w:r w:rsidRPr="00057FBB">
        <w:t>–</w:t>
      </w:r>
      <w:r w:rsidRPr="00057FBB">
        <w:tab/>
        <w:t>viste le sentenze pronunciate dalla Corte di giustizia dell'Unione europea il 21 ottobre 2008, il 19 marzo 2010, il 6 settembre 2011, il 17 gennaio 2013 e il 19 dicembre 2019</w:t>
      </w:r>
      <w:r>
        <w:rPr>
          <w:vertAlign w:val="superscript"/>
        </w:rPr>
        <w:footnoteReference w:id="2"/>
      </w:r>
      <w:r w:rsidRPr="00057FBB">
        <w:t>,</w:t>
      </w:r>
    </w:p>
    <w:p w:rsidR="00726941" w:rsidRPr="00057FBB" w:rsidP="00726941" w14:paraId="7E2F0DD6" w14:textId="77777777">
      <w:pPr>
        <w:pStyle w:val="NormalHanging12a"/>
      </w:pPr>
      <w:r w:rsidRPr="00057FBB">
        <w:t>–</w:t>
      </w:r>
      <w:r w:rsidRPr="00057FBB">
        <w:tab/>
        <w:t>visti l'articolo 5, paragrafo 2, l'articolo 6, paragrafo 1, e l'articolo 9 del suo regolamento,</w:t>
      </w:r>
    </w:p>
    <w:p w:rsidR="00726941" w:rsidRPr="00057FBB" w:rsidP="00726941" w14:paraId="6E32D97A" w14:textId="77777777">
      <w:pPr>
        <w:pStyle w:val="NormalHanging12a"/>
      </w:pPr>
      <w:r w:rsidRPr="00057FBB">
        <w:t>–</w:t>
      </w:r>
      <w:r w:rsidRPr="00057FBB">
        <w:tab/>
        <w:t>vista la relazione della commissione giuridica (A10</w:t>
      </w:r>
      <w:r w:rsidRPr="00057FBB">
        <w:noBreakHyphen/>
        <w:t>0154/2026),</w:t>
      </w:r>
    </w:p>
    <w:p w:rsidR="00726941" w:rsidRPr="00057FBB" w:rsidP="00726941" w14:paraId="2FCE1E93" w14:textId="763BDF53">
      <w:pPr>
        <w:pStyle w:val="NormalHanging12a"/>
      </w:pPr>
      <w:r w:rsidRPr="00057FBB">
        <w:t>A.</w:t>
      </w:r>
      <w:r w:rsidRPr="00057FBB">
        <w:tab/>
      </w:r>
      <w:bookmarkStart w:id="7" w:name="_Hlk223949138"/>
      <w:r w:rsidRPr="00057FBB">
        <w:t xml:space="preserve">considerando che il </w:t>
      </w:r>
      <w:bookmarkStart w:id="8" w:name="_Hlk210982066"/>
      <w:r w:rsidRPr="00057FBB" w:rsidR="00887FD9">
        <w:t xml:space="preserve">6 maggio 2025 il servizio pubblico federale belga per gli affari esteri, il commercio estero e la cooperazione allo sviluppo ha trasmesso una richiesta </w:t>
      </w:r>
      <w:r w:rsidRPr="00057FBB" w:rsidR="00887FD9">
        <w:t xml:space="preserve">del procuratore federale </w:t>
      </w:r>
      <w:r w:rsidRPr="00057FBB" w:rsidR="00841304">
        <w:t>datata</w:t>
      </w:r>
      <w:r w:rsidRPr="00057FBB" w:rsidR="00887FD9">
        <w:t xml:space="preserve"> </w:t>
      </w:r>
      <w:r w:rsidRPr="00057FBB">
        <w:t>16 aprile 2025</w:t>
      </w:r>
      <w:bookmarkEnd w:id="8"/>
      <w:r w:rsidRPr="00057FBB">
        <w:t xml:space="preserve"> </w:t>
      </w:r>
      <w:r w:rsidRPr="00057FBB" w:rsidR="00887FD9">
        <w:t>per</w:t>
      </w:r>
      <w:r w:rsidRPr="00057FBB">
        <w:t xml:space="preserve"> la revoca dell'immunità di Fulvio Martusciello, deputato al Parlamento europeo eletto in Italia, nel quadro di un procedimento penale da avviare a suo carico per presunta corruzione;</w:t>
      </w:r>
      <w:bookmarkEnd w:id="7"/>
    </w:p>
    <w:p w:rsidR="00726941" w:rsidRPr="00057FBB" w:rsidP="00726941" w14:paraId="1177AD9E" w14:textId="159F9FF0">
      <w:pPr>
        <w:pStyle w:val="NormalHanging12a"/>
      </w:pPr>
      <w:r w:rsidRPr="00057FBB">
        <w:t>B.</w:t>
      </w:r>
      <w:r w:rsidRPr="00057FBB">
        <w:tab/>
      </w:r>
      <w:bookmarkStart w:id="9" w:name="_Hlk223949179"/>
      <w:r w:rsidRPr="00057FBB">
        <w:t>considerando che da un</w:t>
      </w:r>
      <w:r w:rsidRPr="00057FBB" w:rsidR="00841304">
        <w:t>'ampia</w:t>
      </w:r>
      <w:r w:rsidRPr="00057FBB">
        <w:t xml:space="preserve"> indagine riguardante la società Huawei sarebbero emerse gravi </w:t>
      </w:r>
      <w:r w:rsidRPr="00057FBB" w:rsidR="00841304">
        <w:t xml:space="preserve">indizi circa </w:t>
      </w:r>
      <w:r w:rsidRPr="00057FBB">
        <w:t>l'esistenza di un'organizzazione criminale il cui scopo sarebbe stato quello di influenzare le decisioni delle istituzioni dell'U</w:t>
      </w:r>
      <w:r w:rsidRPr="00057FBB" w:rsidR="005D2F0F">
        <w:t>nione</w:t>
      </w:r>
      <w:r w:rsidRPr="00057FBB">
        <w:t xml:space="preserve"> dedicandosi alla corruzione di deputati al Parlamento europeo; che </w:t>
      </w:r>
      <w:r w:rsidRPr="00057FBB" w:rsidR="00887FD9">
        <w:t xml:space="preserve">tale indagine </w:t>
      </w:r>
      <w:r w:rsidRPr="00057FBB">
        <w:t xml:space="preserve">sembrerebbe aver portato alla luce diversi atti di presunta corruzione che si presume siano stati commessi regolarmente dal 2021 al 2024; che il sistema corruttivo avrebbe assunto varie forme, tra cui l'invito di deputati al Parlamento europeo a eventi finanziati da Huawei, presumibilmente in cambio dell'assunzione di posizioni politiche a favore di tale società, e doni eccessivi quali spese di vitto e viaggio o inviti </w:t>
      </w:r>
      <w:r w:rsidRPr="00057FBB" w:rsidR="00841304">
        <w:t xml:space="preserve">ricorrenti </w:t>
      </w:r>
      <w:r w:rsidRPr="00057FBB">
        <w:t>a partite di calcio al di fuori del quadro del Parlamento europeo;</w:t>
      </w:r>
      <w:bookmarkEnd w:id="9"/>
    </w:p>
    <w:p w:rsidR="00726941" w:rsidRPr="00057FBB" w:rsidP="00726941" w14:paraId="374C536D" w14:textId="15976D14">
      <w:pPr>
        <w:pStyle w:val="NormalHanging12a"/>
      </w:pPr>
      <w:bookmarkStart w:id="10" w:name="_Hlk223949214"/>
      <w:r w:rsidRPr="00057FBB">
        <w:t>C.</w:t>
      </w:r>
      <w:r w:rsidRPr="00057FBB">
        <w:tab/>
        <w:t xml:space="preserve">considerando che, secondo la richiesta di revoca dell'immunità, nel febbraio 2021 diversi deputati al Parlamento europeo hanno inviato una lettera a tre commissari al fine di influenzare la politica </w:t>
      </w:r>
      <w:r w:rsidRPr="00057FBB" w:rsidR="005D2F0F">
        <w:t xml:space="preserve">dell'Unione </w:t>
      </w:r>
      <w:r w:rsidRPr="00057FBB">
        <w:t xml:space="preserve">sull'introduzione del 5G in Europa, in particolare in relazione al sostegno alle imprese di paesi terzi come Huawei; che dall'indagine sembra si sia potuto dimostrare un chiaro disegno </w:t>
      </w:r>
      <w:r w:rsidRPr="00057FBB" w:rsidR="00841304">
        <w:t xml:space="preserve">a partire </w:t>
      </w:r>
      <w:r w:rsidRPr="00057FBB">
        <w:t>dalla creazione della lettera alla sua diffusione, impatto e fatturazione, confermando apparentemente che la lettera avrebbe fatto parte di un circuito che andava oltre l'esercizio di influenza o l'attività di lobbying, al contrario i</w:t>
      </w:r>
      <w:r w:rsidRPr="00057FBB" w:rsidR="00841304">
        <w:t>n</w:t>
      </w:r>
      <w:r w:rsidRPr="00057FBB">
        <w:t xml:space="preserve">scrivendosi presumibilmente in un </w:t>
      </w:r>
      <w:r w:rsidRPr="00057FBB" w:rsidR="00841304">
        <w:t>all'interno di un accordo di tipo corruttivo</w:t>
      </w:r>
      <w:r w:rsidRPr="00057FBB" w:rsidR="00C34E6C">
        <w:t>;</w:t>
      </w:r>
      <w:r w:rsidRPr="00057FBB">
        <w:t xml:space="preserve"> che il principale sostenitore della stesura della lettera sarebbe stato Fulvio Martusciello che è il primo firmatario della lettera e sarebbe stato pagato attraverso complessi circuiti finanziari con l'intento di mascherare il presunto accordo per </w:t>
      </w:r>
      <w:r w:rsidRPr="00057FBB" w:rsidR="00841304">
        <w:t xml:space="preserve">dedicarsi alla </w:t>
      </w:r>
      <w:r w:rsidRPr="00057FBB">
        <w:t>corruzione nell'esercizio della sua influenza politica;</w:t>
      </w:r>
    </w:p>
    <w:p w:rsidR="00726941" w:rsidRPr="00057FBB" w:rsidP="00726941" w14:paraId="06294BF3" w14:textId="3F848C93">
      <w:pPr>
        <w:pStyle w:val="NormalHanging12a"/>
      </w:pPr>
      <w:r w:rsidRPr="00057FBB">
        <w:t>D.</w:t>
      </w:r>
      <w:r w:rsidRPr="00057FBB">
        <w:tab/>
      </w:r>
      <w:bookmarkEnd w:id="10"/>
      <w:r w:rsidRPr="00057FBB">
        <w:t xml:space="preserve">considerando altresì che Fulvio Martusciello sarebbe stato attivamente impegnato nella promozione degli interessi di Huawei, potenzialmente come parte del </w:t>
      </w:r>
      <w:r w:rsidRPr="00057FBB" w:rsidR="00841304">
        <w:t>di un accordo di tipo corruttivo</w:t>
      </w:r>
      <w:r w:rsidRPr="00057FBB">
        <w:t xml:space="preserve">, attraverso la presentazione di emendamenti a un progetto di risoluzione sulla politica di concorrenza </w:t>
      </w:r>
      <w:r w:rsidRPr="00057FBB" w:rsidR="00B46C79">
        <w:t xml:space="preserve">dell'Unione </w:t>
      </w:r>
      <w:r w:rsidRPr="00057FBB">
        <w:t xml:space="preserve">che sembrano essere stati formulati nell'interesse di Huawei e redatti tra </w:t>
      </w:r>
      <w:r w:rsidRPr="00057FBB" w:rsidR="00841304">
        <w:t xml:space="preserve">il </w:t>
      </w:r>
      <w:r w:rsidRPr="00057FBB">
        <w:t xml:space="preserve">gennaio </w:t>
      </w:r>
      <w:r w:rsidRPr="00057FBB" w:rsidR="00841304">
        <w:t xml:space="preserve">del </w:t>
      </w:r>
      <w:r w:rsidRPr="00057FBB">
        <w:t xml:space="preserve">2021 e </w:t>
      </w:r>
      <w:r w:rsidRPr="00057FBB" w:rsidR="00841304">
        <w:t xml:space="preserve">il </w:t>
      </w:r>
      <w:r w:rsidRPr="00057FBB">
        <w:t xml:space="preserve">marzo </w:t>
      </w:r>
      <w:r w:rsidRPr="00057FBB" w:rsidR="00841304">
        <w:t xml:space="preserve">del </w:t>
      </w:r>
      <w:r w:rsidRPr="00057FBB">
        <w:t>2021</w:t>
      </w:r>
      <w:r w:rsidRPr="00057FBB" w:rsidR="00B46C79">
        <w:t>,</w:t>
      </w:r>
      <w:r w:rsidRPr="00057FBB">
        <w:t xml:space="preserve"> vale a dire nello stesso arco temporale della creazione e della diffusione della lettera </w:t>
      </w:r>
      <w:r w:rsidRPr="00057FBB" w:rsidR="00B46C79">
        <w:t>di cui al considerando C</w:t>
      </w:r>
      <w:r w:rsidRPr="00057FBB">
        <w:t xml:space="preserve">, </w:t>
      </w:r>
      <w:r w:rsidRPr="00057FBB" w:rsidR="00841304">
        <w:t>nonché</w:t>
      </w:r>
      <w:r w:rsidRPr="00057FBB">
        <w:t xml:space="preserve"> agevolando la partecipazione </w:t>
      </w:r>
      <w:r w:rsidRPr="00057FBB" w:rsidR="00B46C79">
        <w:t xml:space="preserve">all'Accademia di Huawei </w:t>
      </w:r>
      <w:r w:rsidRPr="00057FBB">
        <w:t>di studenti della sua circoscrizione con lo scopo di ottenere voti che consentissero la sua rielezione al Parlamento;</w:t>
      </w:r>
    </w:p>
    <w:p w:rsidR="00726941" w:rsidRPr="00057FBB" w:rsidP="00726941" w14:paraId="79536A76" w14:textId="5B11CC87">
      <w:pPr>
        <w:pStyle w:val="NormalHanging12a"/>
      </w:pPr>
      <w:bookmarkStart w:id="11" w:name="_Hlk223949297"/>
      <w:r w:rsidRPr="00057FBB">
        <w:t>E.</w:t>
      </w:r>
      <w:r w:rsidRPr="00057FBB">
        <w:tab/>
        <w:t xml:space="preserve">considerando che Fulvio Martusciello è stato </w:t>
      </w:r>
      <w:r w:rsidRPr="00057FBB" w:rsidR="00B46C79">
        <w:t>ri</w:t>
      </w:r>
      <w:r w:rsidRPr="00057FBB">
        <w:t>eletto al Parlamento europeo alle elezioni europee del giugno 2024 e che</w:t>
      </w:r>
      <w:r w:rsidRPr="00057FBB" w:rsidR="00B46C79">
        <w:t>, pertanto,</w:t>
      </w:r>
      <w:r w:rsidRPr="00057FBB">
        <w:t xml:space="preserve"> era deputato al Parlamento europeo all'epoca del presunto reato;</w:t>
      </w:r>
    </w:p>
    <w:p w:rsidR="00726941" w:rsidRPr="00057FBB" w:rsidP="00726941" w14:paraId="1028321F" w14:textId="77777777">
      <w:pPr>
        <w:pStyle w:val="NormalHanging12a"/>
      </w:pPr>
      <w:r w:rsidRPr="00057FBB">
        <w:t>F.</w:t>
      </w:r>
      <w:r w:rsidRPr="00057FBB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>
        <w:rPr>
          <w:vertAlign w:val="superscript"/>
        </w:rPr>
        <w:footnoteReference w:id="3"/>
      </w:r>
      <w:r w:rsidRPr="00057FBB">
        <w:t>;</w:t>
      </w:r>
    </w:p>
    <w:p w:rsidR="00726941" w:rsidRPr="00057FBB" w:rsidP="00726941" w14:paraId="71178F79" w14:textId="77777777">
      <w:pPr>
        <w:pStyle w:val="NormalHanging12a"/>
      </w:pPr>
      <w:r w:rsidRPr="00057FBB">
        <w:t>G.</w:t>
      </w:r>
      <w:r w:rsidRPr="00057FBB">
        <w:tab/>
        <w:t xml:space="preserve">considerando che l'immunità parlamentare prevista dal protocollo n. 7 sui privilegi e sulle immunità dell'Unione europea è intesa a proteggere il Parlamento e i deputati che </w:t>
      </w:r>
      <w:r w:rsidRPr="00057FBB">
        <w:t>lo compongono da procedimenti giudiziari relativi ad attività svolte nell'esercizio del mandato parlamentare e che non possono essere disgiunte da esso;</w:t>
      </w:r>
    </w:p>
    <w:p w:rsidR="00726941" w:rsidRPr="00057FBB" w:rsidP="00726941" w14:paraId="2FE80859" w14:textId="36D74A40">
      <w:pPr>
        <w:pStyle w:val="NormalHanging12a"/>
      </w:pPr>
      <w:r w:rsidRPr="00057FBB">
        <w:t>H.</w:t>
      </w:r>
      <w:r w:rsidRPr="00057FBB">
        <w:tab/>
        <w:t xml:space="preserve">considerando che, </w:t>
      </w:r>
      <w:r w:rsidRPr="00057FBB" w:rsidR="00B46C79">
        <w:t>conformemente</w:t>
      </w:r>
      <w:r w:rsidRPr="00057FBB">
        <w:t xml:space="preserve"> </w:t>
      </w:r>
      <w:r w:rsidRPr="00057FBB" w:rsidR="00B46C79">
        <w:t>a</w:t>
      </w:r>
      <w:r w:rsidRPr="00057FBB">
        <w:t>ll'articolo 5, paragrafo 2, del regolamento, l'immunità parlamentare non è un privilegio personale del deputato</w:t>
      </w:r>
      <w:r w:rsidRPr="00057FBB" w:rsidR="00B46C79">
        <w:t>,</w:t>
      </w:r>
      <w:r w:rsidRPr="00057FBB">
        <w:t xml:space="preserve"> ma una garanzia di indipendenza del Parlamento europeo in quanto istituzione e dei suoi membri;</w:t>
      </w:r>
    </w:p>
    <w:p w:rsidR="00726941" w:rsidRPr="00057FBB" w:rsidP="00726941" w14:paraId="73950DAE" w14:textId="7BDF5F96">
      <w:pPr>
        <w:pStyle w:val="NormalHanging12a"/>
      </w:pPr>
      <w:r w:rsidRPr="00057FBB">
        <w:t>I.</w:t>
      </w:r>
      <w:r w:rsidRPr="00057FBB">
        <w:tab/>
        <w:t>considerando che l'articolo 8 del protocollo n. 7 sui privilegi e sulle immunità dell'Unione europea prevede che i membri del Parlamento europeo non poss</w:t>
      </w:r>
      <w:r w:rsidRPr="00057FBB" w:rsidR="00B46C79">
        <w:t>o</w:t>
      </w:r>
      <w:r w:rsidRPr="00057FBB">
        <w:t xml:space="preserve">no essere ricercati, detenuti o perseguiti a motivo delle opinioni o dei voti espressi nell'esercizio delle loro funzioni; che il presunto reato non riguarda un'opinione o un voto espressi da Fulvio Martusciello nell'esercizio delle sue funzioni ai sensi dell'articolo 8 </w:t>
      </w:r>
      <w:r w:rsidRPr="00057FBB" w:rsidR="00B46C79">
        <w:t>di tale</w:t>
      </w:r>
      <w:r w:rsidRPr="00057FBB">
        <w:t xml:space="preserve"> protocollo;</w:t>
      </w:r>
    </w:p>
    <w:p w:rsidR="00726941" w:rsidRPr="00057FBB" w:rsidP="00726941" w14:paraId="383AB3C3" w14:textId="4812E2C1">
      <w:pPr>
        <w:pStyle w:val="NormalHanging12a"/>
      </w:pPr>
      <w:r w:rsidRPr="00057FBB">
        <w:t>J.</w:t>
      </w:r>
      <w:r w:rsidRPr="00057FBB">
        <w:tab/>
        <w:t>considerando che l'articolo 9, primo comma, lettera b), del protocollo n. 7 sui privilegi e sulle immunità dell'Unione europea stabilisce che</w:t>
      </w:r>
      <w:r w:rsidRPr="00057FBB" w:rsidR="00B46C79">
        <w:t>, per la durata delle sessioni del Parlamento europeo,</w:t>
      </w:r>
      <w:r w:rsidRPr="00057FBB">
        <w:t xml:space="preserve"> i </w:t>
      </w:r>
      <w:r w:rsidRPr="00057FBB" w:rsidR="00B46C79">
        <w:t>membri di esso</w:t>
      </w:r>
      <w:r w:rsidRPr="00057FBB">
        <w:t xml:space="preserve"> beneficiano, sul territorio di ogni altro Stato membro </w:t>
      </w:r>
      <w:r w:rsidRPr="00057FBB" w:rsidR="00841304">
        <w:t>diverso dal proprio</w:t>
      </w:r>
      <w:r w:rsidRPr="00057FBB">
        <w:t>, dell'esenzione da ogni provvedimento di detenzione e da ogni procedimento giudiziario;</w:t>
      </w:r>
    </w:p>
    <w:p w:rsidR="00726941" w:rsidRPr="00057FBB" w:rsidP="00726941" w14:paraId="3F0F1AE1" w14:textId="5406F144">
      <w:pPr>
        <w:pStyle w:val="NormalHanging12a"/>
      </w:pPr>
      <w:r w:rsidRPr="00057FBB">
        <w:t>K.</w:t>
      </w:r>
      <w:r w:rsidRPr="00057FBB">
        <w:tab/>
        <w:t xml:space="preserve">considerando che l'indagine ha riguardato molte persone e non solo Fulvio Martusciello; </w:t>
      </w:r>
      <w:bookmarkStart w:id="12" w:name="_Hlk228970940"/>
      <w:r w:rsidRPr="00057FBB">
        <w:t>che la richiesta di revoca dell'immunità di Fulvio Martusciello appare</w:t>
      </w:r>
      <w:bookmarkEnd w:id="12"/>
      <w:r w:rsidRPr="00057FBB">
        <w:t xml:space="preserve"> riconducibile a una più vasta indagine su presunte pratiche corruttive e non sembra prendere di mira la sua attività politica; che il Parlamento non ha riscontrato </w:t>
      </w:r>
      <w:r w:rsidRPr="00057FBB" w:rsidR="00B46C79">
        <w:t xml:space="preserve">alcuna </w:t>
      </w:r>
      <w:r w:rsidRPr="00057FBB">
        <w:t xml:space="preserve">prova di </w:t>
      </w:r>
      <w:r w:rsidRPr="00057FBB">
        <w:rPr>
          <w:i/>
          <w:iCs/>
        </w:rPr>
        <w:t xml:space="preserve">fumus </w:t>
      </w:r>
      <w:r w:rsidRPr="00057FBB">
        <w:rPr>
          <w:i/>
          <w:iCs/>
        </w:rPr>
        <w:t>persecutionis</w:t>
      </w:r>
      <w:r w:rsidRPr="00057FBB">
        <w:t xml:space="preserve">, ossia non si evince che l'intento alla base del procedimento giudiziario sia quello di recare pregiudizio all'attività politica di Fulvio Martusciello </w:t>
      </w:r>
      <w:r w:rsidRPr="00057FBB" w:rsidR="00B46C79">
        <w:t>in quanto membro del Parlamento europeo e di conseguenza all’indipendenza del Parlamento</w:t>
      </w:r>
      <w:r w:rsidRPr="00057FBB">
        <w:t>;</w:t>
      </w:r>
    </w:p>
    <w:bookmarkEnd w:id="11"/>
    <w:p w:rsidR="00726941" w:rsidRPr="00057FBB" w:rsidP="00726941" w14:paraId="4186F7D0" w14:textId="77777777">
      <w:pPr>
        <w:pStyle w:val="NormalHanging12a"/>
      </w:pPr>
      <w:r w:rsidRPr="00057FBB">
        <w:t>1.</w:t>
      </w:r>
      <w:r w:rsidRPr="00057FBB">
        <w:tab/>
      </w:r>
      <w:bookmarkStart w:id="13" w:name="_Hlk223949317"/>
      <w:r w:rsidRPr="00057FBB">
        <w:t>decide di revocare l'immunità</w:t>
      </w:r>
      <w:bookmarkEnd w:id="13"/>
      <w:r w:rsidRPr="00057FBB">
        <w:t xml:space="preserve"> di Fulvio Martusciello;</w:t>
      </w:r>
    </w:p>
    <w:p w:rsidR="008851CC" w:rsidRPr="00057FBB" w:rsidP="008851CC" w14:paraId="71DDCABD" w14:textId="64D67356">
      <w:pPr>
        <w:pStyle w:val="NormalHanging12a"/>
      </w:pPr>
      <w:r w:rsidRPr="00057FBB">
        <w:t>2.</w:t>
      </w:r>
      <w:r w:rsidRPr="00057FBB">
        <w:tab/>
        <w:t>incarica la sua Presidente di trasmettere immediatamente la presente decisione e la relazione della sua commissione competente all'autorità competente del Regno del Belgio e a Fulvio Martusciello.</w:t>
      </w:r>
    </w:p>
    <w:p w:rsidR="00E365E1" w:rsidRPr="00057FBB" w:rsidP="00701D59" w14:paraId="4291284C" w14:textId="030E9DA7"/>
    <w:sectPr w:rsidSect="008851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851CC" w14:paraId="5D42F00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851CC" w14:paraId="507E779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851CC" w14:paraId="69C9EAB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01D59" w:rsidRPr="008851CC" w14:paraId="1AA5BDA3" w14:textId="77777777">
      <w:r w:rsidRPr="008851CC">
        <w:separator/>
      </w:r>
    </w:p>
  </w:footnote>
  <w:footnote w:type="continuationSeparator" w:id="1">
    <w:p w:rsidR="00701D59" w:rsidRPr="008851CC" w14:paraId="47F1473F" w14:textId="77777777">
      <w:r w:rsidRPr="008851CC">
        <w:continuationSeparator/>
      </w:r>
    </w:p>
  </w:footnote>
  <w:footnote w:id="2">
    <w:p w:rsidR="00726941" w:rsidRPr="008851CC" w:rsidP="008851CC" w14:paraId="7DDAB197" w14:textId="6A28111C">
      <w:pPr>
        <w:pStyle w:val="FootnoteText"/>
        <w:ind w:left="567" w:hanging="567"/>
        <w:rPr>
          <w:sz w:val="24"/>
          <w:lang w:val="it-IT"/>
        </w:rPr>
      </w:pPr>
      <w:r w:rsidRPr="008851CC">
        <w:rPr>
          <w:rStyle w:val="FootnoteReference"/>
          <w:sz w:val="24"/>
          <w:lang w:val="it-IT"/>
        </w:rPr>
        <w:footnoteRef/>
      </w:r>
      <w:r w:rsidRPr="008851CC" w:rsidR="008851CC">
        <w:rPr>
          <w:sz w:val="24"/>
          <w:lang w:val="it-IT"/>
        </w:rPr>
        <w:t xml:space="preserve"> </w:t>
      </w:r>
      <w:r w:rsidRPr="008851CC" w:rsidR="008851CC">
        <w:rPr>
          <w:sz w:val="24"/>
          <w:lang w:val="it-IT"/>
        </w:rPr>
        <w:tab/>
      </w:r>
      <w:r w:rsidRPr="008851CC">
        <w:rPr>
          <w:sz w:val="24"/>
          <w:lang w:val="it-IT"/>
        </w:rPr>
        <w:t xml:space="preserve">Sentenza della Corte di giustizia del 21 ottobre 2008, </w:t>
      </w:r>
      <w:r w:rsidRPr="008851CC">
        <w:rPr>
          <w:i/>
          <w:iCs/>
          <w:sz w:val="24"/>
          <w:lang w:val="it-IT"/>
        </w:rPr>
        <w:t>Marra/De Gregorio e Clemente</w:t>
      </w:r>
      <w:r w:rsidRPr="008851CC">
        <w:rPr>
          <w:sz w:val="24"/>
          <w:lang w:val="it-IT"/>
        </w:rPr>
        <w:t xml:space="preserve">, C-200/07 e C-201/07, ECLI:EU:C:2008:579; sentenza del Tribunale del 19 marzo 2010, </w:t>
      </w:r>
      <w:r w:rsidRPr="008851CC">
        <w:rPr>
          <w:i/>
          <w:iCs/>
          <w:sz w:val="24"/>
          <w:lang w:val="it-IT"/>
        </w:rPr>
        <w:t>Gollnisch</w:t>
      </w:r>
      <w:r w:rsidRPr="008851CC">
        <w:rPr>
          <w:i/>
          <w:iCs/>
          <w:sz w:val="24"/>
          <w:lang w:val="it-IT"/>
        </w:rPr>
        <w:t>/Parlamento</w:t>
      </w:r>
      <w:r w:rsidRPr="008851CC">
        <w:rPr>
          <w:sz w:val="24"/>
          <w:lang w:val="it-IT"/>
        </w:rPr>
        <w:t xml:space="preserve">, T-42/06, ECLI:EU:T:2010:102; sentenza della Corte di giustizia del 6 settembre 2011, </w:t>
      </w:r>
      <w:r w:rsidRPr="008851CC">
        <w:rPr>
          <w:i/>
          <w:iCs/>
          <w:sz w:val="24"/>
          <w:lang w:val="it-IT"/>
        </w:rPr>
        <w:t>Patriciello</w:t>
      </w:r>
      <w:r w:rsidRPr="008851CC">
        <w:rPr>
          <w:sz w:val="24"/>
          <w:lang w:val="it-IT"/>
        </w:rPr>
        <w:t xml:space="preserve">, C-163/10, ECLI: EU:C:2011:543; sentenza del Tribunale del 17 gennaio 2013, </w:t>
      </w:r>
      <w:r w:rsidRPr="008851CC">
        <w:rPr>
          <w:i/>
          <w:iCs/>
          <w:sz w:val="24"/>
          <w:lang w:val="it-IT"/>
        </w:rPr>
        <w:t>Gollnisch</w:t>
      </w:r>
      <w:r w:rsidRPr="008851CC">
        <w:rPr>
          <w:i/>
          <w:iCs/>
          <w:sz w:val="24"/>
          <w:lang w:val="it-IT"/>
        </w:rPr>
        <w:t>/Parlamento</w:t>
      </w:r>
      <w:r w:rsidRPr="008851CC">
        <w:rPr>
          <w:sz w:val="24"/>
          <w:lang w:val="it-IT"/>
        </w:rPr>
        <w:t xml:space="preserve">, T-346/11 e T-347/11, ECLI:EU:T:2013:23; sentenza della Corte di giustizia del 19 dicembre 2019, </w:t>
      </w:r>
      <w:r w:rsidRPr="008851CC">
        <w:rPr>
          <w:i/>
          <w:iCs/>
          <w:sz w:val="24"/>
          <w:lang w:val="it-IT"/>
        </w:rPr>
        <w:t>Junqueras</w:t>
      </w:r>
      <w:r w:rsidRPr="008851CC">
        <w:rPr>
          <w:i/>
          <w:iCs/>
          <w:sz w:val="24"/>
          <w:lang w:val="it-IT"/>
        </w:rPr>
        <w:t xml:space="preserve"> </w:t>
      </w:r>
      <w:r w:rsidRPr="008851CC">
        <w:rPr>
          <w:i/>
          <w:iCs/>
          <w:sz w:val="24"/>
          <w:lang w:val="it-IT"/>
        </w:rPr>
        <w:t>Vies</w:t>
      </w:r>
      <w:r w:rsidRPr="008851CC">
        <w:rPr>
          <w:sz w:val="24"/>
          <w:lang w:val="it-IT"/>
        </w:rPr>
        <w:t>, C-502/19, ECLI:EU:C:2019:1115.</w:t>
      </w:r>
    </w:p>
  </w:footnote>
  <w:footnote w:id="3">
    <w:p w:rsidR="00726941" w:rsidRPr="008851CC" w:rsidP="008851CC" w14:paraId="49DBECDC" w14:textId="15C9911A">
      <w:pPr>
        <w:pStyle w:val="FootnoteText"/>
        <w:ind w:left="567" w:hanging="567"/>
        <w:rPr>
          <w:sz w:val="24"/>
          <w:lang w:val="it-IT"/>
        </w:rPr>
      </w:pPr>
      <w:r w:rsidRPr="008851CC">
        <w:rPr>
          <w:rStyle w:val="FootnoteReference"/>
          <w:sz w:val="24"/>
          <w:lang w:val="it-IT"/>
        </w:rPr>
        <w:footnoteRef/>
      </w:r>
      <w:r w:rsidRPr="008851CC" w:rsidR="008851CC">
        <w:rPr>
          <w:sz w:val="24"/>
          <w:lang w:val="it-IT"/>
        </w:rPr>
        <w:t xml:space="preserve"> </w:t>
      </w:r>
      <w:r w:rsidRPr="008851CC" w:rsidR="008851CC">
        <w:rPr>
          <w:sz w:val="24"/>
          <w:lang w:val="it-IT"/>
        </w:rPr>
        <w:tab/>
      </w:r>
      <w:r w:rsidRPr="008851CC">
        <w:rPr>
          <w:sz w:val="24"/>
          <w:lang w:val="it-IT"/>
        </w:rPr>
        <w:t xml:space="preserve">Sentenza del Tribunale del 30 aprile 2019, </w:t>
      </w:r>
      <w:r w:rsidRPr="008851CC">
        <w:rPr>
          <w:i/>
          <w:iCs/>
          <w:sz w:val="24"/>
          <w:lang w:val="it-IT"/>
        </w:rPr>
        <w:t>Briois</w:t>
      </w:r>
      <w:r w:rsidRPr="008851CC">
        <w:rPr>
          <w:i/>
          <w:iCs/>
          <w:sz w:val="24"/>
          <w:lang w:val="it-IT"/>
        </w:rPr>
        <w:t>/Parlamento</w:t>
      </w:r>
      <w:r w:rsidRPr="008851CC">
        <w:rPr>
          <w:sz w:val="24"/>
          <w:lang w:val="it-I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851CC" w14:paraId="4B9592B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851CC" w14:paraId="573BB86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851CC" w14:paraId="6BCD1D5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635112">
    <w:abstractNumId w:val="9"/>
  </w:num>
  <w:num w:numId="2" w16cid:durableId="1463964536">
    <w:abstractNumId w:val="9"/>
  </w:num>
  <w:num w:numId="3" w16cid:durableId="677660110">
    <w:abstractNumId w:val="7"/>
  </w:num>
  <w:num w:numId="4" w16cid:durableId="846290599">
    <w:abstractNumId w:val="7"/>
  </w:num>
  <w:num w:numId="5" w16cid:durableId="364140897">
    <w:abstractNumId w:val="6"/>
  </w:num>
  <w:num w:numId="6" w16cid:durableId="1303538668">
    <w:abstractNumId w:val="6"/>
  </w:num>
  <w:num w:numId="7" w16cid:durableId="367294522">
    <w:abstractNumId w:val="5"/>
  </w:num>
  <w:num w:numId="8" w16cid:durableId="1007711636">
    <w:abstractNumId w:val="5"/>
  </w:num>
  <w:num w:numId="9" w16cid:durableId="325977659">
    <w:abstractNumId w:val="4"/>
  </w:num>
  <w:num w:numId="10" w16cid:durableId="1712069966">
    <w:abstractNumId w:val="4"/>
  </w:num>
  <w:num w:numId="11" w16cid:durableId="397410307">
    <w:abstractNumId w:val="8"/>
  </w:num>
  <w:num w:numId="12" w16cid:durableId="620259095">
    <w:abstractNumId w:val="8"/>
  </w:num>
  <w:num w:numId="13" w16cid:durableId="1761753304">
    <w:abstractNumId w:val="3"/>
  </w:num>
  <w:num w:numId="14" w16cid:durableId="1105737257">
    <w:abstractNumId w:val="3"/>
  </w:num>
  <w:num w:numId="15" w16cid:durableId="1180849902">
    <w:abstractNumId w:val="2"/>
  </w:num>
  <w:num w:numId="16" w16cid:durableId="121921081">
    <w:abstractNumId w:val="2"/>
  </w:num>
  <w:num w:numId="17" w16cid:durableId="1468547527">
    <w:abstractNumId w:val="1"/>
  </w:num>
  <w:num w:numId="18" w16cid:durableId="1973366759">
    <w:abstractNumId w:val="1"/>
  </w:num>
  <w:num w:numId="19" w16cid:durableId="1461264391">
    <w:abstractNumId w:val="0"/>
  </w:num>
  <w:num w:numId="20" w16cid:durableId="914629319">
    <w:abstractNumId w:val="0"/>
  </w:num>
  <w:num w:numId="21" w16cid:durableId="1829318308">
    <w:abstractNumId w:val="9"/>
  </w:num>
  <w:num w:numId="22" w16cid:durableId="1262302771">
    <w:abstractNumId w:val="7"/>
  </w:num>
  <w:num w:numId="23" w16cid:durableId="917321714">
    <w:abstractNumId w:val="6"/>
  </w:num>
  <w:num w:numId="24" w16cid:durableId="1502699010">
    <w:abstractNumId w:val="5"/>
  </w:num>
  <w:num w:numId="25" w16cid:durableId="259220263">
    <w:abstractNumId w:val="4"/>
  </w:num>
  <w:num w:numId="26" w16cid:durableId="525023971">
    <w:abstractNumId w:val="8"/>
  </w:num>
  <w:num w:numId="27" w16cid:durableId="1300458624">
    <w:abstractNumId w:val="3"/>
  </w:num>
  <w:num w:numId="28" w16cid:durableId="1538004558">
    <w:abstractNumId w:val="2"/>
  </w:num>
  <w:num w:numId="29" w16cid:durableId="1611357415">
    <w:abstractNumId w:val="1"/>
  </w:num>
  <w:num w:numId="30" w16cid:durableId="2015567038">
    <w:abstractNumId w:val="0"/>
  </w:num>
  <w:num w:numId="31" w16cid:durableId="1903566322">
    <w:abstractNumId w:val="9"/>
  </w:num>
  <w:num w:numId="32" w16cid:durableId="941689443">
    <w:abstractNumId w:val="7"/>
  </w:num>
  <w:num w:numId="33" w16cid:durableId="403068969">
    <w:abstractNumId w:val="6"/>
  </w:num>
  <w:num w:numId="34" w16cid:durableId="627004962">
    <w:abstractNumId w:val="5"/>
  </w:num>
  <w:num w:numId="35" w16cid:durableId="1919316881">
    <w:abstractNumId w:val="4"/>
  </w:num>
  <w:num w:numId="36" w16cid:durableId="1475412184">
    <w:abstractNumId w:val="8"/>
  </w:num>
  <w:num w:numId="37" w16cid:durableId="700668487">
    <w:abstractNumId w:val="3"/>
  </w:num>
  <w:num w:numId="38" w16cid:durableId="2131701040">
    <w:abstractNumId w:val="2"/>
  </w:num>
  <w:num w:numId="39" w16cid:durableId="1916544689">
    <w:abstractNumId w:val="1"/>
  </w:num>
  <w:num w:numId="40" w16cid:durableId="1891571197">
    <w:abstractNumId w:val="0"/>
  </w:num>
  <w:num w:numId="41" w16cid:durableId="334845302">
    <w:abstractNumId w:val="10"/>
  </w:num>
  <w:num w:numId="42" w16cid:durableId="922493461">
    <w:abstractNumId w:val="10"/>
  </w:num>
  <w:num w:numId="43" w16cid:durableId="1130128482">
    <w:abstractNumId w:val="10"/>
  </w:num>
  <w:num w:numId="44" w16cid:durableId="15013845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D59"/>
    <w:rsid w:val="00002272"/>
    <w:rsid w:val="00057FB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0DB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9B0"/>
    <w:rsid w:val="00517DEF"/>
    <w:rsid w:val="00545827"/>
    <w:rsid w:val="00560270"/>
    <w:rsid w:val="005C2568"/>
    <w:rsid w:val="005D0AD4"/>
    <w:rsid w:val="005D2F0F"/>
    <w:rsid w:val="005F1B17"/>
    <w:rsid w:val="006037C0"/>
    <w:rsid w:val="006631B6"/>
    <w:rsid w:val="00680577"/>
    <w:rsid w:val="006F74FA"/>
    <w:rsid w:val="00701D59"/>
    <w:rsid w:val="0072694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304"/>
    <w:rsid w:val="00842779"/>
    <w:rsid w:val="00865F67"/>
    <w:rsid w:val="00881A7B"/>
    <w:rsid w:val="008840E5"/>
    <w:rsid w:val="008851CC"/>
    <w:rsid w:val="00887B3E"/>
    <w:rsid w:val="00887FD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C79"/>
    <w:rsid w:val="00B558F0"/>
    <w:rsid w:val="00BD48FE"/>
    <w:rsid w:val="00BD7BD8"/>
    <w:rsid w:val="00BE6ADC"/>
    <w:rsid w:val="00C05BFE"/>
    <w:rsid w:val="00C23CD4"/>
    <w:rsid w:val="00C34E6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E7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4/2026"/>
    <w:docVar w:name="dvlangue" w:val="IT"/>
    <w:docVar w:name="dvnumam" w:val="0"/>
    <w:docVar w:name="dvpe" w:val="788.823"/>
    <w:docVar w:name="dvrapporteur" w:val="Relatore: "/>
    <w:docVar w:name="dvtitre" w:val="Decisione del Parlamento europeo del ... 2026 sulla richiesta di revoca dell'immunità di Fulvio Martusciello(2025/2099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4CE3FCC"/>
  <w15:chartTrackingRefBased/>
  <w15:docId w15:val="{898B250C-807B-49E2-AD99-42A10671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26941"/>
    <w:pPr>
      <w:spacing w:after="240"/>
      <w:ind w:left="567" w:hanging="567"/>
    </w:pPr>
  </w:style>
  <w:style w:type="paragraph" w:customStyle="1" w:styleId="EPComma">
    <w:name w:val="EPComma"/>
    <w:basedOn w:val="Normal"/>
    <w:rsid w:val="00726941"/>
    <w:pPr>
      <w:spacing w:before="480" w:after="240"/>
    </w:pPr>
  </w:style>
  <w:style w:type="paragraph" w:styleId="Revision">
    <w:name w:val="Revision"/>
    <w:hidden/>
    <w:uiPriority w:val="99"/>
    <w:semiHidden/>
    <w:rsid w:val="00887FD9"/>
    <w:rPr>
      <w:sz w:val="24"/>
      <w:lang w:val="it-IT"/>
    </w:rPr>
  </w:style>
  <w:style w:type="character" w:styleId="CommentReference">
    <w:name w:val="annotation reference"/>
    <w:basedOn w:val="DefaultParagraphFont"/>
    <w:rsid w:val="00887F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7F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87FD9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887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87FD9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1038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2026-06-16T10:53:00Z</dcterms:created>
  <dcterms:modified xsi:type="dcterms:W3CDTF">2026-06-16T10:53:00Z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A10-0154/2026</vt:lpwstr>
  </property>
  <property fmtid="{D5CDD505-2E9C-101B-9397-08002B2CF9AE}" pid="4" name="&lt;Type&gt;">
    <vt:lpwstr>RR</vt:lpwstr>
  </property>
</Properties>
</file>