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5561C02" w14:textId="77777777" w:rsidTr="0010095E">
        <w:tblPrEx>
          <w:tblW w:w="9072" w:type="dxa"/>
          <w:tblLook w:val="01E0"/>
        </w:tblPrEx>
        <w:trPr>
          <w:trHeight w:hRule="exact" w:val="1418"/>
        </w:trPr>
        <w:tc>
          <w:tcPr>
            <w:tcW w:w="6804" w:type="dxa"/>
            <w:shd w:val="clear" w:color="auto" w:fill="auto"/>
            <w:vAlign w:val="center"/>
          </w:tcPr>
          <w:p w:rsidR="00751A4A" w:rsidRPr="00121559" w:rsidP="0010095E" w14:paraId="5C58ACDF" w14:textId="77777777">
            <w:pPr>
              <w:pStyle w:val="EPName"/>
            </w:pPr>
            <w:r w:rsidRPr="00121559">
              <w:t>Europos Parlamentas</w:t>
            </w:r>
          </w:p>
          <w:p w:rsidR="00751A4A" w:rsidRPr="00121559" w:rsidP="005F1B17" w14:paraId="50ECD6CE" w14:textId="77777777">
            <w:pPr>
              <w:pStyle w:val="EPTerm"/>
              <w:rPr>
                <w:rStyle w:val="HideTWBExt"/>
                <w:noProof w:val="0"/>
                <w:vanish w:val="0"/>
                <w:color w:val="auto"/>
              </w:rPr>
            </w:pPr>
            <w:r w:rsidRPr="00121559">
              <w:t>2024</w:t>
            </w:r>
            <w:r w:rsidRPr="00121559" w:rsidR="00817416">
              <w:t>-202</w:t>
            </w:r>
            <w:r w:rsidRPr="00121559">
              <w:t>9</w:t>
            </w:r>
          </w:p>
        </w:tc>
        <w:tc>
          <w:tcPr>
            <w:tcW w:w="2268" w:type="dxa"/>
            <w:shd w:val="clear" w:color="auto" w:fill="auto"/>
          </w:tcPr>
          <w:p w:rsidR="00751A4A" w:rsidRPr="00121559" w:rsidP="0010095E" w14:paraId="28F976FA" w14:textId="77777777">
            <w:pPr>
              <w:pStyle w:val="EPLogo"/>
            </w:pPr>
            <w:r w:rsidRPr="0012155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21559" w:rsidP="004C5D52" w14:paraId="537D1B45" w14:textId="77777777">
      <w:pPr>
        <w:pStyle w:val="LineTop"/>
      </w:pPr>
    </w:p>
    <w:p w:rsidR="00680577" w:rsidRPr="00121559" w:rsidP="00680577" w14:paraId="018BF5CB" w14:textId="77777777">
      <w:pPr>
        <w:pStyle w:val="EPBodyTA1"/>
      </w:pPr>
      <w:r w:rsidRPr="00121559">
        <w:t>PRIIMTI TEKSTAI</w:t>
      </w:r>
    </w:p>
    <w:p w:rsidR="00D058B8" w:rsidRPr="00121559" w:rsidP="00D058B8" w14:paraId="71612A69" w14:textId="77777777">
      <w:pPr>
        <w:pStyle w:val="LineBottom"/>
      </w:pPr>
    </w:p>
    <w:p w:rsidR="00E44B50" w:rsidRPr="00121559" w:rsidP="00E44B50" w14:paraId="37A4EACB" w14:textId="3DCBE405">
      <w:pPr>
        <w:pStyle w:val="ATHeading1"/>
      </w:pPr>
      <w:bookmarkStart w:id="0" w:name="TANumber"/>
      <w:r w:rsidRPr="00121559">
        <w:t>P10_TA(2026)0</w:t>
      </w:r>
      <w:r w:rsidR="007B156A">
        <w:t>194</w:t>
      </w:r>
      <w:bookmarkEnd w:id="0"/>
    </w:p>
    <w:p w:rsidR="00E44B50" w:rsidRPr="00E76F37" w:rsidP="00E44B50" w14:paraId="4CD03B4C" w14:textId="6F888F9D">
      <w:pPr>
        <w:pStyle w:val="ATHeading2"/>
      </w:pPr>
      <w:bookmarkStart w:id="1" w:name="title"/>
      <w:r w:rsidRPr="00005AB6">
        <w:t>Prašymas atšaukti Fulvio Martusciello imunitetą</w:t>
      </w:r>
      <w:bookmarkEnd w:id="1"/>
    </w:p>
    <w:p w:rsidR="00E44B50" w:rsidRPr="00121559" w:rsidP="00E44B50" w14:paraId="6B7FAC5F" w14:textId="77777777">
      <w:pPr>
        <w:rPr>
          <w:i/>
          <w:vanish/>
        </w:rPr>
      </w:pPr>
      <w:r>
        <w:rPr>
          <w:i/>
        </w:rPr>
        <w:fldChar w:fldCharType="begin"/>
      </w:r>
      <w:r w:rsidRPr="00121559">
        <w:rPr>
          <w:i/>
        </w:rPr>
        <w:instrText xml:space="preserve"> TC"(</w:instrText>
      </w:r>
      <w:bookmarkStart w:id="2" w:name="DocNumber"/>
      <w:r w:rsidRPr="00121559">
        <w:rPr>
          <w:i/>
        </w:rPr>
        <w:instrText>A10-0154/2026</w:instrText>
      </w:r>
      <w:bookmarkEnd w:id="2"/>
      <w:r w:rsidRPr="00121559">
        <w:rPr>
          <w:i/>
        </w:rPr>
        <w:instrText xml:space="preserve"> - Pranešėjas: Dominik Tarczyński)"\l3 \n&gt; \* MERGEFORMAT </w:instrText>
      </w:r>
      <w:r>
        <w:rPr>
          <w:i/>
        </w:rPr>
        <w:fldChar w:fldCharType="end"/>
      </w:r>
    </w:p>
    <w:p w:rsidR="00E44B50" w:rsidRPr="00121559" w:rsidP="00E44B50" w14:paraId="1C04A995" w14:textId="77777777">
      <w:pPr>
        <w:rPr>
          <w:vanish/>
        </w:rPr>
      </w:pPr>
      <w:bookmarkStart w:id="3" w:name="Commission"/>
      <w:r w:rsidRPr="00121559">
        <w:rPr>
          <w:vanish/>
        </w:rPr>
        <w:t>Teisės reikalų komitetas</w:t>
      </w:r>
      <w:bookmarkEnd w:id="3"/>
    </w:p>
    <w:p w:rsidR="00E44B50" w:rsidRPr="00121559" w:rsidP="00E44B50" w14:paraId="79EA7059" w14:textId="77777777">
      <w:pPr>
        <w:rPr>
          <w:vanish/>
        </w:rPr>
      </w:pPr>
      <w:bookmarkStart w:id="4" w:name="PE"/>
      <w:r w:rsidRPr="00121559">
        <w:rPr>
          <w:vanish/>
        </w:rPr>
        <w:t>PE788.823</w:t>
      </w:r>
      <w:bookmarkEnd w:id="4"/>
    </w:p>
    <w:p w:rsidR="00E44B50" w:rsidRPr="00121559" w:rsidP="00005AB6" w14:paraId="3977F01B" w14:textId="4EEBA9AB">
      <w:pPr>
        <w:pStyle w:val="ATHeading3"/>
      </w:pPr>
      <w:bookmarkStart w:id="5" w:name="Sujet"/>
      <w:r w:rsidRPr="00121559">
        <w:t xml:space="preserve">2026 m. </w:t>
      </w:r>
      <w:r w:rsidRPr="00121559" w:rsidR="000905CB">
        <w:t>birželio</w:t>
      </w:r>
      <w:r w:rsidRPr="00121559">
        <w:t xml:space="preserve"> </w:t>
      </w:r>
      <w:r w:rsidR="00075801">
        <w:t>16</w:t>
      </w:r>
      <w:r w:rsidRPr="00121559">
        <w:t xml:space="preserve"> d. Europos Parlamento sprendimas dėl prašymo atšaukti Fulvio Martusciello imunitetą</w:t>
      </w:r>
      <w:bookmarkEnd w:id="5"/>
      <w:r w:rsidRPr="00121559">
        <w:t xml:space="preserve"> </w:t>
      </w:r>
      <w:bookmarkStart w:id="6" w:name="References"/>
      <w:r w:rsidRPr="00121559">
        <w:t>(2025/2099(IMM))</w:t>
      </w:r>
      <w:bookmarkEnd w:id="6"/>
    </w:p>
    <w:p w:rsidR="00F01C5F" w:rsidRPr="00121559" w:rsidP="00F01C5F" w14:paraId="38257EB7" w14:textId="77777777">
      <w:pPr>
        <w:pStyle w:val="EPComma"/>
      </w:pPr>
      <w:bookmarkStart w:id="7" w:name="TextBodyBegin"/>
      <w:bookmarkEnd w:id="7"/>
      <w:r w:rsidRPr="00121559">
        <w:rPr>
          <w:i/>
        </w:rPr>
        <w:t>Europos Parlamentas</w:t>
      </w:r>
      <w:r w:rsidRPr="00121559">
        <w:t>,</w:t>
      </w:r>
    </w:p>
    <w:p w:rsidR="00F01C5F" w:rsidRPr="00121559" w:rsidP="00F01C5F" w14:paraId="117B1444" w14:textId="18D3F8A1">
      <w:pPr>
        <w:pStyle w:val="NormalHanging12a"/>
      </w:pPr>
      <w:r w:rsidRPr="00121559">
        <w:t>–</w:t>
      </w:r>
      <w:r w:rsidRPr="00121559">
        <w:tab/>
        <w:t>atsižvelgdamas į Belgijos federalinės užsienio reikalų, užsienio prekybos ir vystomojo bendradarbiavimo tarnybos 2025 m. gegužės 6 d. laišku, kuriuo perduodamas Belgijos federalinės prokuratūros 2025 m. balandžio 16 d. prašymas, pateiktą prašymą atšaukti Fulvio Martusciello imunitetą ryšium su jo atžvilgiu pradėtinu baudžiamuoju procesu, kuris buvo paskelbtas 2025 m. gegužės 21 d. plenariniame posėdyje,</w:t>
      </w:r>
    </w:p>
    <w:p w:rsidR="00F01C5F" w:rsidRPr="00121559" w:rsidP="00F01C5F" w14:paraId="39C529C1" w14:textId="77777777">
      <w:pPr>
        <w:pStyle w:val="NormalHanging12a"/>
        <w:rPr>
          <w:bCs/>
        </w:rPr>
      </w:pPr>
      <w:r w:rsidRPr="00121559">
        <w:t>–</w:t>
      </w:r>
      <w:r w:rsidRPr="00121559">
        <w:tab/>
        <w:t>2026 m. kovo 24 d. išklausęs Fulvio Martusciello paaiškinimų, kaip nurodyta Darbo tvarkos taisyklių 9 straipsnio 6 dalyje,</w:t>
      </w:r>
    </w:p>
    <w:p w:rsidR="00F01C5F" w:rsidRPr="00121559" w:rsidP="00F01C5F" w14:paraId="5BDF9BAA" w14:textId="77777777">
      <w:pPr>
        <w:pStyle w:val="NormalHanging12a"/>
      </w:pPr>
      <w:r w:rsidRPr="00121559">
        <w:t>–</w:t>
      </w:r>
      <w:r w:rsidRPr="00121559">
        <w:tab/>
        <w:t>atsižvelgdamas į Protokolo Nr. 7 dėl Europos Sąjungos privilegijų ir imunitetų 8 ir 9 straipsnius ir į 1976 m. rugsėjo 20 d. Akto dėl Europos Parlamento narių rinkimų remiantis tiesiogine visuotine rinkimų teise 6 straipsnio 2 dalį,</w:t>
      </w:r>
    </w:p>
    <w:p w:rsidR="00F01C5F" w:rsidRPr="00121559" w:rsidP="00F01C5F" w14:paraId="2C63BEB2" w14:textId="77777777">
      <w:pPr>
        <w:pStyle w:val="NormalHanging12a"/>
      </w:pPr>
      <w:r w:rsidRPr="00121559">
        <w:t>–</w:t>
      </w:r>
      <w:r w:rsidRPr="00121559">
        <w:tab/>
        <w:t>atsižvelgdamas į Europos Sąjungos Teisingumo Teismo 2008 m. spalio 21 d., 2010 m. kovo 19 d., 2011 m. rugsėjo 6 d., 2013 m. sausio 17 d. ir 2019 m. gruodžio 19 d. sprendimus</w:t>
      </w:r>
      <w:r>
        <w:rPr>
          <w:vertAlign w:val="superscript"/>
        </w:rPr>
        <w:footnoteReference w:id="2"/>
      </w:r>
      <w:r w:rsidRPr="00121559">
        <w:t>,</w:t>
      </w:r>
    </w:p>
    <w:p w:rsidR="00F01C5F" w:rsidRPr="00121559" w:rsidP="00F01C5F" w14:paraId="099788C3" w14:textId="77777777">
      <w:pPr>
        <w:pStyle w:val="NormalHanging12a"/>
      </w:pPr>
      <w:r w:rsidRPr="00121559">
        <w:t>–</w:t>
      </w:r>
      <w:r w:rsidRPr="00121559">
        <w:tab/>
        <w:t>atsižvelgdamas į Darbo tvarkos taisyklių 5 straipsnio 2 dalį, 6 straipsnio 1 dalį ir 9 straipsnį,</w:t>
      </w:r>
    </w:p>
    <w:p w:rsidR="00F01C5F" w:rsidRPr="00121559" w:rsidP="00F01C5F" w14:paraId="15664901" w14:textId="77777777">
      <w:pPr>
        <w:pStyle w:val="NormalHanging12a"/>
      </w:pPr>
      <w:r w:rsidRPr="00121559">
        <w:t>–</w:t>
      </w:r>
      <w:r w:rsidRPr="00121559">
        <w:tab/>
        <w:t>atsižvelgdamas į Teisės reikalų komiteto pranešimą (A10-0154/2026),</w:t>
      </w:r>
    </w:p>
    <w:p w:rsidR="00F01C5F" w:rsidRPr="00121559" w:rsidP="00F01C5F" w14:paraId="100B6CA1" w14:textId="4AB0E07B">
      <w:pPr>
        <w:pStyle w:val="NormalHanging12a"/>
      </w:pPr>
      <w:r w:rsidRPr="00121559">
        <w:t>A.</w:t>
      </w:r>
      <w:r w:rsidRPr="00121559">
        <w:tab/>
      </w:r>
      <w:bookmarkStart w:id="8" w:name="_Hlk223949138"/>
      <w:r w:rsidRPr="00121559">
        <w:t xml:space="preserve">kadangi </w:t>
      </w:r>
      <w:bookmarkStart w:id="9" w:name="_Hlk210982066"/>
      <w:r w:rsidRPr="00121559">
        <w:t xml:space="preserve">2025 m. </w:t>
      </w:r>
      <w:r w:rsidRPr="000451CE" w:rsidR="000451CE">
        <w:t>gegužės 6 d</w:t>
      </w:r>
      <w:r w:rsidRPr="005C42C7" w:rsidR="000451CE">
        <w:t xml:space="preserve">. Belgijos federalinės užsienio reikalų, užsienio prekybos ir vystomojo bendradarbiavimo tarnybos perdavė </w:t>
      </w:r>
      <w:bookmarkEnd w:id="9"/>
      <w:r w:rsidRPr="005C42C7" w:rsidR="00261D17">
        <w:t>f</w:t>
      </w:r>
      <w:r w:rsidRPr="005C42C7">
        <w:t>ederalinė</w:t>
      </w:r>
      <w:r w:rsidRPr="005C42C7" w:rsidR="000451CE">
        <w:t>s</w:t>
      </w:r>
      <w:r w:rsidRPr="005C42C7">
        <w:t xml:space="preserve"> prokurorė</w:t>
      </w:r>
      <w:r w:rsidRPr="005C42C7" w:rsidR="000451CE">
        <w:t>s</w:t>
      </w:r>
      <w:r w:rsidRPr="005C42C7">
        <w:t xml:space="preserve"> </w:t>
      </w:r>
      <w:r w:rsidRPr="00005AB6" w:rsidR="005C42C7">
        <w:t xml:space="preserve">2025 m. balandžio 16 d. </w:t>
      </w:r>
      <w:r w:rsidRPr="005C42C7">
        <w:t>prašymą atšaukti Italijoje išrinkto Europos Parlamento nario Fulvio Martusciello imunitetą ryšium su jo atžvilgiu pradėtinu baudžiamuoju procesu dėl galimos korupcijos;</w:t>
      </w:r>
      <w:bookmarkEnd w:id="8"/>
    </w:p>
    <w:p w:rsidR="00F01C5F" w:rsidRPr="00121559" w:rsidP="00F01C5F" w14:paraId="215317FC" w14:textId="0347555B">
      <w:pPr>
        <w:pStyle w:val="NormalHanging12a"/>
      </w:pPr>
      <w:r w:rsidRPr="00121559">
        <w:t>B.</w:t>
      </w:r>
      <w:r w:rsidRPr="00121559">
        <w:tab/>
      </w:r>
      <w:bookmarkStart w:id="10" w:name="_Hlk223949179"/>
      <w:r w:rsidRPr="00121559">
        <w:t xml:space="preserve">kadangi atlikus plataus masto tyrimą dėl įmonės „Huawei“ galimai gauta rimtų įrodymų, patvirtinančių, kad egzistuoja nusikalstamas susivienijimas, kurio tikslas, kaip įtariama, buvo daryti įtaką </w:t>
      </w:r>
      <w:r w:rsidR="00813B9F">
        <w:t>Sąjungos</w:t>
      </w:r>
      <w:r w:rsidRPr="00121559" w:rsidR="00813B9F">
        <w:t xml:space="preserve"> </w:t>
      </w:r>
      <w:r w:rsidRPr="00121559">
        <w:t>institucijų sprendimams dalyvaujant Europos Parlamento narių korupciniuose veiksmuose; kadangi panašu, kad atliekant tą tyrimą buvo atskleisti keli galimos korupcijos veiksmai, kurie, kaip įtariama, buvo reguliariai daromi nuo 2021 iki 2024 metų; kadangi korupcijos schema, kaip įtariama, pasireiškė įvairiomis formomis, įskaitant kvietimus Europos Parlamento nariams į įmonės „Huawei“ remiamus renginius, galimai kaip atlygį už tai, kad buvo laikomasi šiai įmonei palankios politinės pozicijos, ir pernelyg vertingas dovanas, pavyzdžiui, maitinimo ir kelionės išlaidų apmokėjimą arba reguliarius kvietimus į futbolo rungtynes už Europos Parlamento ribų;</w:t>
      </w:r>
      <w:bookmarkEnd w:id="10"/>
    </w:p>
    <w:p w:rsidR="00F01C5F" w:rsidRPr="00121559" w:rsidP="00F01C5F" w14:paraId="0BCBDA91" w14:textId="1851693C">
      <w:pPr>
        <w:pStyle w:val="NormalHanging12a"/>
      </w:pPr>
      <w:bookmarkStart w:id="11" w:name="_Hlk223949214"/>
      <w:r w:rsidRPr="00121559">
        <w:t>C.</w:t>
      </w:r>
      <w:r w:rsidRPr="00121559">
        <w:tab/>
        <w:t xml:space="preserve">kadangi prašyme atšaukti imunitetą nurodyta, kad 2021 m. vasario mėn. keli Europos Parlamento nariai nusiuntė laišką trims Komisijos nariams, siekdami paveikti </w:t>
      </w:r>
      <w:r w:rsidRPr="00813B9F" w:rsidR="00813B9F">
        <w:t xml:space="preserve">Sąjungos </w:t>
      </w:r>
      <w:r w:rsidRPr="00121559">
        <w:t xml:space="preserve">politiką 5G diegimo Europoje klausimu, visų pirma kiek tai susiję su parama tokioms ne </w:t>
      </w:r>
      <w:r w:rsidRPr="00813B9F" w:rsidR="00813B9F">
        <w:t xml:space="preserve">Sąjungos </w:t>
      </w:r>
      <w:r w:rsidRPr="00121559">
        <w:t>įmonėms kaip „Huawei“; kadangi panašu, kad atliekant tyrimą pavyko nustatyti aiškią seką nuo laiško sukūrimo iki jo išplatinimo, poveikio ir sąskaitų už jį išrašymo, o tai, regis, patvirtina, kad šis laiškas korupcijos kontekste yra veiklos, kuri aiškiai viršijo įtaką ar lobistinę veiklą, grandinės elementas ir galimai yra korupcinio susitarimo dalis; kadangi nurodyta, kad pagrindinis rėmėjas, pasisakantis už šio laiško rengimą, buvo Fulvio Martusciello, kuris yra pirmasis jį pasirašęs asmuo ir kuriam per sudėtingas finansines grandines, kuriomis buvo siekiama nuslėpti įtariamą susitarimą, galimai buvo sumokėta už korupcinius veiksmus naudojantis savo politine įtaka;</w:t>
      </w:r>
    </w:p>
    <w:p w:rsidR="00F01C5F" w:rsidRPr="00121559" w:rsidP="00F01C5F" w14:paraId="268CB31C" w14:textId="1EB00243">
      <w:pPr>
        <w:pStyle w:val="NormalHanging12a"/>
      </w:pPr>
      <w:r w:rsidRPr="00121559">
        <w:t>D.</w:t>
      </w:r>
      <w:r w:rsidRPr="00121559">
        <w:tab/>
      </w:r>
      <w:bookmarkEnd w:id="11"/>
      <w:r w:rsidRPr="00121559">
        <w:t xml:space="preserve">kadangi taip pat nurodyta, kad Fulvio Martusciello aktyvų įsitraukimą proteguojant įmonės „Huawei“ interesus, kuris potencialiai galėtų įsipaišyti į galimą korupcinį susitarimą, iliustruoja jo pateikti rezoliucijos dėl </w:t>
      </w:r>
      <w:r w:rsidRPr="00813B9F" w:rsidR="00813B9F">
        <w:t xml:space="preserve">Sąjungos </w:t>
      </w:r>
      <w:r w:rsidRPr="00121559">
        <w:t>konkurencijos politikos projekto pakeitimai, kurie, panašu, yra palankūs įmonei „Huawei“ ir yra surašyti laikotarpiu nuo 2021 m. sausio mėn. iki 2021 m. kovo mėn., t. y. tuo pačiu laiku, kai buvo sukurtas ir išplatintas laiškas</w:t>
      </w:r>
      <w:r w:rsidR="00E756BD">
        <w:t>,</w:t>
      </w:r>
      <w:r w:rsidR="00813B9F">
        <w:t xml:space="preserve"> nurodytas C konstatuojamojoje dalyje</w:t>
      </w:r>
      <w:r w:rsidRPr="00121559">
        <w:t>, ir sudarytos palankesnės sąlygos jo rinkimų apylinkėje esantiems studentams dalyvauti „Huawei“ akademijoje, kad jis gautų balsų ir užsitikrintų perrinkimą į Parlamentą;</w:t>
      </w:r>
    </w:p>
    <w:p w:rsidR="00F01C5F" w:rsidRPr="00121559" w:rsidP="00F01C5F" w14:paraId="7EC0091E" w14:textId="5C4A8606">
      <w:pPr>
        <w:pStyle w:val="NormalHanging12a"/>
      </w:pPr>
      <w:bookmarkStart w:id="12" w:name="_Hlk223949297"/>
      <w:r w:rsidRPr="00121559">
        <w:t>E.</w:t>
      </w:r>
      <w:r w:rsidRPr="00121559">
        <w:tab/>
        <w:t xml:space="preserve">kadangi </w:t>
      </w:r>
      <w:r w:rsidRPr="0047033E" w:rsidR="0047033E">
        <w:t xml:space="preserve">Fulvio Martusciello buvo išrinktas į Europos Parlamentą </w:t>
      </w:r>
      <w:r w:rsidRPr="00121559">
        <w:t>2024 m. birželio mėn. vykusiuose Europos Parlamento rinkimuose</w:t>
      </w:r>
      <w:r w:rsidR="0047033E">
        <w:t>,</w:t>
      </w:r>
      <w:r w:rsidRPr="00121559">
        <w:t xml:space="preserve"> ir </w:t>
      </w:r>
      <w:r w:rsidR="0047033E">
        <w:t xml:space="preserve">todėl </w:t>
      </w:r>
      <w:r w:rsidRPr="00121559">
        <w:t>veikos, kuria jis įtariamas, padarymo momentu buvo Europos Parlamento nar</w:t>
      </w:r>
      <w:r w:rsidR="00261D17">
        <w:t>iu</w:t>
      </w:r>
      <w:r w:rsidRPr="00121559">
        <w:t>;</w:t>
      </w:r>
    </w:p>
    <w:p w:rsidR="00F01C5F" w:rsidRPr="00121559" w:rsidP="00F01C5F" w14:paraId="282ABCD6" w14:textId="77777777">
      <w:pPr>
        <w:pStyle w:val="NormalHanging12a"/>
      </w:pPr>
      <w:r w:rsidRPr="00121559">
        <w:t>F.</w:t>
      </w:r>
      <w:r w:rsidRPr="00121559">
        <w:tab/>
        <w:t>kadangi, pirma, Parlamentas negali būti prilyginamas teismui ir, antra, vykstant imuniteto atšaukimo procedūrai Parlamento narys negali būti laikomas kaltinamuoju</w:t>
      </w:r>
      <w:r>
        <w:rPr>
          <w:vertAlign w:val="superscript"/>
        </w:rPr>
        <w:footnoteReference w:id="3"/>
      </w:r>
      <w:r w:rsidRPr="00121559">
        <w:t>;</w:t>
      </w:r>
    </w:p>
    <w:p w:rsidR="00F01C5F" w:rsidRPr="00121559" w:rsidP="00F01C5F" w14:paraId="0A9B17D1" w14:textId="77777777">
      <w:pPr>
        <w:pStyle w:val="NormalHanging12a"/>
      </w:pPr>
      <w:r w:rsidRPr="00121559">
        <w:t>G.</w:t>
      </w:r>
      <w:r w:rsidRPr="00121559">
        <w:tab/>
        <w:t xml:space="preserve">kadangi Protokole Nr. 7 dėl Europos Sąjungos privilegijų ir imunitetų numatyto Parlamento nario imuniteto paskirtis – apsaugoti Parlamentą ir jo narius nuo patraukimo </w:t>
      </w:r>
      <w:r w:rsidRPr="00121559">
        <w:t>atsakomybėn už veiksmus, kurie yra padaryti vykdant Parlamento nario įgaliojimus ir kurių negalima atskirti nuo tų įgaliojimų;</w:t>
      </w:r>
    </w:p>
    <w:p w:rsidR="00F01C5F" w:rsidRPr="00121559" w:rsidP="00F01C5F" w14:paraId="7AED57A2" w14:textId="32048433">
      <w:pPr>
        <w:pStyle w:val="NormalHanging12a"/>
      </w:pPr>
      <w:r w:rsidRPr="00121559">
        <w:t>H.</w:t>
      </w:r>
      <w:r w:rsidRPr="00121559">
        <w:tab/>
        <w:t>kadangi Parlamento darbo tvarkos taisyklių 5 straipsnio 2 dalyje numatyta, kad Parlamento nario imunitetas yra ne jo asmeninė privilegija, bet viso Parlamento ir jo narių nepriklausomumo garantija;</w:t>
      </w:r>
    </w:p>
    <w:p w:rsidR="00F01C5F" w:rsidRPr="00121559" w:rsidP="00F01C5F" w14:paraId="7E47D038" w14:textId="77777777">
      <w:pPr>
        <w:pStyle w:val="NormalHanging12a"/>
      </w:pPr>
      <w:r w:rsidRPr="00121559">
        <w:t>I.</w:t>
      </w:r>
      <w:r w:rsidRPr="00121559">
        <w:tab/>
        <w:t>kadangi Protokolo Nr. 7 dėl Europos Sąjungos privilegijų ir imunitetų 8 straipsnyje nustatyta, kad Europos Parlamento nariai negali būti apklausiami, sulaikomi ar traukiami atsakomybėn dėl einant pareigas pareikštos nuomonės ar balsavimo; kadangi galima nusikalstama veika nėra susijusi su Fulvio Martusciello einant pareigas pareikšta nuomone ar balsavimu, kaip numatyta to protokolo 8 straipsnyje;</w:t>
      </w:r>
    </w:p>
    <w:p w:rsidR="00F01C5F" w:rsidRPr="00121559" w:rsidP="00F01C5F" w14:paraId="240BE39D" w14:textId="72506134">
      <w:pPr>
        <w:pStyle w:val="NormalHanging12a"/>
      </w:pPr>
      <w:r w:rsidRPr="00121559">
        <w:t>J.</w:t>
      </w:r>
      <w:r w:rsidRPr="00121559">
        <w:tab/>
        <w:t xml:space="preserve">kadangi Protokolo Nr. 7 dėl Europos Sąjungos privilegijų ir imunitetų 9 straipsnio pirmos pastraipos b punkte nustatyta, kad Parlamento nariai </w:t>
      </w:r>
      <w:r w:rsidRPr="00261D17" w:rsidR="00261D17">
        <w:t xml:space="preserve">Europos Parlamento </w:t>
      </w:r>
      <w:r w:rsidRPr="0047033E" w:rsidR="0047033E">
        <w:t xml:space="preserve">sesijų metu </w:t>
      </w:r>
      <w:r w:rsidRPr="00121559">
        <w:t>visų kitų valstybių narių teritorijose naudojasi imunitetu nuo bet kokios sulaikymo priemonės ir patraukimo atsakomybėn;</w:t>
      </w:r>
    </w:p>
    <w:p w:rsidR="00F01C5F" w:rsidRPr="00121559" w:rsidP="00F01C5F" w14:paraId="7727CDD5" w14:textId="10AE0F70">
      <w:pPr>
        <w:pStyle w:val="NormalHanging12a"/>
      </w:pPr>
      <w:r w:rsidRPr="00121559">
        <w:t>K.</w:t>
      </w:r>
      <w:r w:rsidRPr="00121559">
        <w:tab/>
        <w:t xml:space="preserve">kadangi tyrimas yra susijęs ne tik su Fulvio Martusciello, bet ir su daugeliu kitų asmenų; </w:t>
      </w:r>
      <w:bookmarkStart w:id="13" w:name="_Hlk228970940"/>
      <w:r w:rsidRPr="00121559">
        <w:t>kadangi atrodo, kad prašymas atšaukti Fulvio Martusciello imunitetą</w:t>
      </w:r>
      <w:bookmarkEnd w:id="13"/>
      <w:r w:rsidRPr="00121559">
        <w:t xml:space="preserve"> pateiktas atlikus platesnio masto galimos korupcinės veiklos tyrimą, ir nepanašu, kad jis būtų nukreiptas prieš jo politinę veiklą; kadangi Parlamentas nenustatė esant </w:t>
      </w:r>
      <w:r w:rsidRPr="00121559">
        <w:rPr>
          <w:i/>
        </w:rPr>
        <w:t>fumus persecutionis</w:t>
      </w:r>
      <w:r w:rsidRPr="00121559">
        <w:t>, t. y. nėra panašu, kad šis procesas buvo pradėtas siekiant pakenkti Fulvio Martusciello</w:t>
      </w:r>
      <w:r w:rsidR="00A306B3">
        <w:t xml:space="preserve">, kaip </w:t>
      </w:r>
      <w:r w:rsidRPr="00121559" w:rsidR="00A306B3">
        <w:t>Europos Parlamento nario</w:t>
      </w:r>
      <w:r w:rsidR="00A306B3">
        <w:t>,</w:t>
      </w:r>
      <w:r w:rsidRPr="00121559">
        <w:t xml:space="preserve"> politinei veiklai</w:t>
      </w:r>
      <w:r w:rsidRPr="00A306B3" w:rsidR="00A306B3">
        <w:t>, taigi ir Parlamento nepriklausomumui</w:t>
      </w:r>
      <w:r w:rsidRPr="00121559">
        <w:t>;</w:t>
      </w:r>
    </w:p>
    <w:bookmarkEnd w:id="12"/>
    <w:p w:rsidR="00F01C5F" w:rsidRPr="00121559" w:rsidP="00F01C5F" w14:paraId="4D104F60" w14:textId="77777777">
      <w:pPr>
        <w:pStyle w:val="NormalHanging12a"/>
      </w:pPr>
      <w:r w:rsidRPr="00121559">
        <w:t>1.</w:t>
      </w:r>
      <w:r w:rsidRPr="00121559">
        <w:tab/>
      </w:r>
      <w:bookmarkStart w:id="14" w:name="_Hlk223949317"/>
      <w:r w:rsidRPr="00121559">
        <w:t>nusprendžia atšaukti Fulvio Martusciello imunitetą;</w:t>
      </w:r>
      <w:bookmarkEnd w:id="14"/>
    </w:p>
    <w:p w:rsidR="00121559" w:rsidRPr="00121559" w:rsidP="00121559" w14:paraId="05C1FE67" w14:textId="70AE53DD">
      <w:pPr>
        <w:pStyle w:val="NormalHanging12a"/>
      </w:pPr>
      <w:r w:rsidRPr="00121559">
        <w:t>2.</w:t>
      </w:r>
      <w:r w:rsidRPr="00121559">
        <w:tab/>
        <w:t>paveda Pirmininkei nedelsiant perduoti šį sprendimą ir atsakingo komiteto pranešimą Belgijos Karalystės kompetenting</w:t>
      </w:r>
      <w:r w:rsidR="00F123BC">
        <w:t>ai</w:t>
      </w:r>
      <w:r w:rsidRPr="00121559">
        <w:t xml:space="preserve"> institucij</w:t>
      </w:r>
      <w:r w:rsidR="00F123BC">
        <w:t>ai</w:t>
      </w:r>
      <w:r w:rsidRPr="00121559">
        <w:t xml:space="preserve"> ir Fulvio Martusciello.</w:t>
      </w:r>
    </w:p>
    <w:p w:rsidR="00E365E1" w:rsidRPr="00121559" w:rsidP="00E44B50" w14:paraId="2EB366B1" w14:textId="3573A2F5"/>
    <w:sectPr w:rsidSect="0012155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1559" w14:paraId="2CBFB92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1559" w14:paraId="0559E9C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1559" w14:paraId="622E89C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44B50" w:rsidRPr="00121559" w14:paraId="22879A8D" w14:textId="77777777">
      <w:r w:rsidRPr="00121559">
        <w:separator/>
      </w:r>
    </w:p>
  </w:footnote>
  <w:footnote w:type="continuationSeparator" w:id="1">
    <w:p w:rsidR="00E44B50" w:rsidRPr="00121559" w14:paraId="1F12E4A9" w14:textId="77777777">
      <w:r w:rsidRPr="00121559">
        <w:continuationSeparator/>
      </w:r>
    </w:p>
  </w:footnote>
  <w:footnote w:id="2">
    <w:p w:rsidR="00F01C5F" w:rsidRPr="00121559" w:rsidP="00121559" w14:paraId="6385F120" w14:textId="5BCE8025">
      <w:pPr>
        <w:pStyle w:val="FootnoteText"/>
        <w:ind w:left="567" w:hanging="567"/>
        <w:rPr>
          <w:sz w:val="24"/>
          <w:lang w:val="lt-LT"/>
        </w:rPr>
      </w:pPr>
      <w:r w:rsidRPr="00121559">
        <w:rPr>
          <w:rStyle w:val="FootnoteReference"/>
          <w:sz w:val="24"/>
          <w:lang w:val="lt-LT"/>
        </w:rPr>
        <w:footnoteRef/>
      </w:r>
      <w:r w:rsidRPr="00121559" w:rsidR="00121559">
        <w:rPr>
          <w:sz w:val="24"/>
          <w:lang w:val="lt-LT"/>
        </w:rPr>
        <w:t xml:space="preserve"> </w:t>
      </w:r>
      <w:r w:rsidRPr="00121559" w:rsidR="00121559">
        <w:rPr>
          <w:sz w:val="24"/>
          <w:lang w:val="lt-LT"/>
        </w:rPr>
        <w:tab/>
      </w:r>
      <w:r w:rsidRPr="00121559">
        <w:rPr>
          <w:sz w:val="24"/>
          <w:lang w:val="lt-LT"/>
        </w:rPr>
        <w:t xml:space="preserve">2008 m. spalio 21 d. Teisingumo Teismo sprendimas </w:t>
      </w:r>
      <w:r w:rsidRPr="00121559">
        <w:rPr>
          <w:i/>
          <w:sz w:val="24"/>
          <w:lang w:val="lt-LT"/>
        </w:rPr>
        <w:t>Marra / De Gregorio ir Clemente</w:t>
      </w:r>
      <w:r w:rsidRPr="00121559">
        <w:rPr>
          <w:sz w:val="24"/>
          <w:lang w:val="lt-LT"/>
        </w:rPr>
        <w:t xml:space="preserve">, C-200/07 ir C-201/07, ECLI:EU:C:2008:579; 2010 m. kovo 19 d. Bendrojo Teismo sprendimas </w:t>
      </w:r>
      <w:r w:rsidRPr="00121559">
        <w:rPr>
          <w:i/>
          <w:sz w:val="24"/>
          <w:lang w:val="lt-LT"/>
        </w:rPr>
        <w:t>Gollnisch / Parlamentas</w:t>
      </w:r>
      <w:r w:rsidRPr="00121559">
        <w:rPr>
          <w:sz w:val="24"/>
          <w:lang w:val="lt-LT"/>
        </w:rPr>
        <w:t xml:space="preserve">, T-42/06, ECLI:EU:T:2010:102; 2011 m. rugsėjo 6 d. Teisingumo Teismo sprendimas </w:t>
      </w:r>
      <w:r w:rsidRPr="00121559">
        <w:rPr>
          <w:i/>
          <w:sz w:val="24"/>
          <w:lang w:val="lt-LT"/>
        </w:rPr>
        <w:t>Patriciello</w:t>
      </w:r>
      <w:r w:rsidRPr="00121559">
        <w:rPr>
          <w:sz w:val="24"/>
          <w:lang w:val="lt-LT"/>
        </w:rPr>
        <w:t xml:space="preserve">, C-163/10, ECLI: EU:C:2011:543; 2013 m. sausio 17 d. Bendrojo Teismo sprendimas </w:t>
      </w:r>
      <w:r w:rsidRPr="00121559">
        <w:rPr>
          <w:i/>
          <w:sz w:val="24"/>
          <w:lang w:val="lt-LT"/>
        </w:rPr>
        <w:t>Gollnisch / Parlamentas</w:t>
      </w:r>
      <w:r w:rsidRPr="00121559">
        <w:rPr>
          <w:sz w:val="24"/>
          <w:lang w:val="lt-LT"/>
        </w:rPr>
        <w:t xml:space="preserve">, T-346/11 ir T-347/11, ECLI:EU:T:2013:23; 2019 m. gruodžio 19 d. Teisingumo Teismo sprendimas </w:t>
      </w:r>
      <w:r w:rsidRPr="00121559">
        <w:rPr>
          <w:i/>
          <w:iCs/>
          <w:sz w:val="24"/>
          <w:lang w:val="lt-LT"/>
        </w:rPr>
        <w:t>Junqueras Vies</w:t>
      </w:r>
      <w:r w:rsidRPr="00121559">
        <w:rPr>
          <w:sz w:val="24"/>
          <w:lang w:val="lt-LT"/>
        </w:rPr>
        <w:t>, C-502/19, ECLI:EU:C:2019:1115.</w:t>
      </w:r>
    </w:p>
  </w:footnote>
  <w:footnote w:id="3">
    <w:p w:rsidR="00F01C5F" w:rsidRPr="00121559" w:rsidP="00121559" w14:paraId="248049FE" w14:textId="39605F0C">
      <w:pPr>
        <w:pStyle w:val="FootnoteText"/>
        <w:ind w:left="567" w:hanging="567"/>
        <w:rPr>
          <w:sz w:val="24"/>
          <w:lang w:val="lt-LT"/>
        </w:rPr>
      </w:pPr>
      <w:r w:rsidRPr="00121559">
        <w:rPr>
          <w:rStyle w:val="FootnoteReference"/>
          <w:sz w:val="24"/>
          <w:lang w:val="lt-LT"/>
        </w:rPr>
        <w:footnoteRef/>
      </w:r>
      <w:r w:rsidRPr="00121559" w:rsidR="00121559">
        <w:rPr>
          <w:sz w:val="24"/>
          <w:lang w:val="lt-LT"/>
        </w:rPr>
        <w:t xml:space="preserve"> </w:t>
      </w:r>
      <w:r w:rsidRPr="00121559" w:rsidR="00121559">
        <w:rPr>
          <w:sz w:val="24"/>
          <w:lang w:val="lt-LT"/>
        </w:rPr>
        <w:tab/>
      </w:r>
      <w:r w:rsidRPr="00121559">
        <w:rPr>
          <w:sz w:val="24"/>
          <w:lang w:val="lt-LT"/>
        </w:rPr>
        <w:t xml:space="preserve">2019 m. balandžio 30 d. Bendrojo Teismo sprendimas </w:t>
      </w:r>
      <w:r w:rsidRPr="00121559">
        <w:rPr>
          <w:i/>
          <w:sz w:val="24"/>
          <w:lang w:val="lt-LT"/>
        </w:rPr>
        <w:t>Briois / Parlamentas</w:t>
      </w:r>
      <w:r w:rsidRPr="00121559">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1559" w14:paraId="15DE2FB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1559" w14:paraId="3752FB5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1559" w14:paraId="3B30119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2807032">
    <w:abstractNumId w:val="9"/>
  </w:num>
  <w:num w:numId="2" w16cid:durableId="1732069830">
    <w:abstractNumId w:val="9"/>
  </w:num>
  <w:num w:numId="3" w16cid:durableId="1449160453">
    <w:abstractNumId w:val="7"/>
  </w:num>
  <w:num w:numId="4" w16cid:durableId="264117789">
    <w:abstractNumId w:val="7"/>
  </w:num>
  <w:num w:numId="5" w16cid:durableId="2062436641">
    <w:abstractNumId w:val="6"/>
  </w:num>
  <w:num w:numId="6" w16cid:durableId="1761297507">
    <w:abstractNumId w:val="6"/>
  </w:num>
  <w:num w:numId="7" w16cid:durableId="266742866">
    <w:abstractNumId w:val="5"/>
  </w:num>
  <w:num w:numId="8" w16cid:durableId="1192382998">
    <w:abstractNumId w:val="5"/>
  </w:num>
  <w:num w:numId="9" w16cid:durableId="1474250287">
    <w:abstractNumId w:val="4"/>
  </w:num>
  <w:num w:numId="10" w16cid:durableId="1769765926">
    <w:abstractNumId w:val="4"/>
  </w:num>
  <w:num w:numId="11" w16cid:durableId="1222325015">
    <w:abstractNumId w:val="8"/>
  </w:num>
  <w:num w:numId="12" w16cid:durableId="519706140">
    <w:abstractNumId w:val="8"/>
  </w:num>
  <w:num w:numId="13" w16cid:durableId="1496266928">
    <w:abstractNumId w:val="3"/>
  </w:num>
  <w:num w:numId="14" w16cid:durableId="609511365">
    <w:abstractNumId w:val="3"/>
  </w:num>
  <w:num w:numId="15" w16cid:durableId="1808084719">
    <w:abstractNumId w:val="2"/>
  </w:num>
  <w:num w:numId="16" w16cid:durableId="756362261">
    <w:abstractNumId w:val="2"/>
  </w:num>
  <w:num w:numId="17" w16cid:durableId="1080056184">
    <w:abstractNumId w:val="1"/>
  </w:num>
  <w:num w:numId="18" w16cid:durableId="1149206477">
    <w:abstractNumId w:val="1"/>
  </w:num>
  <w:num w:numId="19" w16cid:durableId="200634419">
    <w:abstractNumId w:val="0"/>
  </w:num>
  <w:num w:numId="20" w16cid:durableId="1102997005">
    <w:abstractNumId w:val="0"/>
  </w:num>
  <w:num w:numId="21" w16cid:durableId="79376806">
    <w:abstractNumId w:val="9"/>
  </w:num>
  <w:num w:numId="22" w16cid:durableId="1976376698">
    <w:abstractNumId w:val="7"/>
  </w:num>
  <w:num w:numId="23" w16cid:durableId="137845664">
    <w:abstractNumId w:val="6"/>
  </w:num>
  <w:num w:numId="24" w16cid:durableId="1440948147">
    <w:abstractNumId w:val="5"/>
  </w:num>
  <w:num w:numId="25" w16cid:durableId="1665206287">
    <w:abstractNumId w:val="4"/>
  </w:num>
  <w:num w:numId="26" w16cid:durableId="663898087">
    <w:abstractNumId w:val="8"/>
  </w:num>
  <w:num w:numId="27" w16cid:durableId="1704935787">
    <w:abstractNumId w:val="3"/>
  </w:num>
  <w:num w:numId="28" w16cid:durableId="273907405">
    <w:abstractNumId w:val="2"/>
  </w:num>
  <w:num w:numId="29" w16cid:durableId="134497078">
    <w:abstractNumId w:val="1"/>
  </w:num>
  <w:num w:numId="30" w16cid:durableId="1508400233">
    <w:abstractNumId w:val="0"/>
  </w:num>
  <w:num w:numId="31" w16cid:durableId="1386297533">
    <w:abstractNumId w:val="9"/>
  </w:num>
  <w:num w:numId="32" w16cid:durableId="1690645205">
    <w:abstractNumId w:val="7"/>
  </w:num>
  <w:num w:numId="33" w16cid:durableId="2080012073">
    <w:abstractNumId w:val="6"/>
  </w:num>
  <w:num w:numId="34" w16cid:durableId="344288429">
    <w:abstractNumId w:val="5"/>
  </w:num>
  <w:num w:numId="35" w16cid:durableId="57559073">
    <w:abstractNumId w:val="4"/>
  </w:num>
  <w:num w:numId="36" w16cid:durableId="633144442">
    <w:abstractNumId w:val="8"/>
  </w:num>
  <w:num w:numId="37" w16cid:durableId="1363745664">
    <w:abstractNumId w:val="3"/>
  </w:num>
  <w:num w:numId="38" w16cid:durableId="1252742882">
    <w:abstractNumId w:val="2"/>
  </w:num>
  <w:num w:numId="39" w16cid:durableId="1949505015">
    <w:abstractNumId w:val="1"/>
  </w:num>
  <w:num w:numId="40" w16cid:durableId="1384258517">
    <w:abstractNumId w:val="0"/>
  </w:num>
  <w:num w:numId="41" w16cid:durableId="470943867">
    <w:abstractNumId w:val="10"/>
  </w:num>
  <w:num w:numId="42" w16cid:durableId="1501312412">
    <w:abstractNumId w:val="10"/>
  </w:num>
  <w:num w:numId="43" w16cid:durableId="976684894">
    <w:abstractNumId w:val="10"/>
  </w:num>
  <w:num w:numId="44" w16cid:durableId="13003015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B50"/>
    <w:rsid w:val="00002272"/>
    <w:rsid w:val="00005AB6"/>
    <w:rsid w:val="000451CE"/>
    <w:rsid w:val="00064002"/>
    <w:rsid w:val="000677B9"/>
    <w:rsid w:val="00075801"/>
    <w:rsid w:val="000831BA"/>
    <w:rsid w:val="000905CB"/>
    <w:rsid w:val="000A42CC"/>
    <w:rsid w:val="000E7DD9"/>
    <w:rsid w:val="0010095E"/>
    <w:rsid w:val="00121559"/>
    <w:rsid w:val="00125B37"/>
    <w:rsid w:val="00187494"/>
    <w:rsid w:val="001F32AE"/>
    <w:rsid w:val="00261D17"/>
    <w:rsid w:val="002767FF"/>
    <w:rsid w:val="002B18FE"/>
    <w:rsid w:val="002B5493"/>
    <w:rsid w:val="00343214"/>
    <w:rsid w:val="00361C00"/>
    <w:rsid w:val="00395FA1"/>
    <w:rsid w:val="003E15D4"/>
    <w:rsid w:val="00411CCE"/>
    <w:rsid w:val="0041666E"/>
    <w:rsid w:val="00421060"/>
    <w:rsid w:val="0047033E"/>
    <w:rsid w:val="00471C19"/>
    <w:rsid w:val="004867E3"/>
    <w:rsid w:val="00494A28"/>
    <w:rsid w:val="004C0004"/>
    <w:rsid w:val="004C5D52"/>
    <w:rsid w:val="0050519A"/>
    <w:rsid w:val="005072A1"/>
    <w:rsid w:val="00514517"/>
    <w:rsid w:val="00545827"/>
    <w:rsid w:val="00560270"/>
    <w:rsid w:val="005C2568"/>
    <w:rsid w:val="005C42C7"/>
    <w:rsid w:val="005F1B17"/>
    <w:rsid w:val="006037C0"/>
    <w:rsid w:val="006631B6"/>
    <w:rsid w:val="00680577"/>
    <w:rsid w:val="006F3C79"/>
    <w:rsid w:val="006F74FA"/>
    <w:rsid w:val="00731ADD"/>
    <w:rsid w:val="00734777"/>
    <w:rsid w:val="00747932"/>
    <w:rsid w:val="00751A4A"/>
    <w:rsid w:val="00756632"/>
    <w:rsid w:val="00762C74"/>
    <w:rsid w:val="00786EC0"/>
    <w:rsid w:val="007B156A"/>
    <w:rsid w:val="007D1690"/>
    <w:rsid w:val="007E22AD"/>
    <w:rsid w:val="00813B9F"/>
    <w:rsid w:val="00817416"/>
    <w:rsid w:val="00842779"/>
    <w:rsid w:val="00865F67"/>
    <w:rsid w:val="00881A7B"/>
    <w:rsid w:val="008840E5"/>
    <w:rsid w:val="00887B3E"/>
    <w:rsid w:val="008B5FA0"/>
    <w:rsid w:val="008C2AC6"/>
    <w:rsid w:val="00930C23"/>
    <w:rsid w:val="0093193B"/>
    <w:rsid w:val="009509D8"/>
    <w:rsid w:val="00950B64"/>
    <w:rsid w:val="00981893"/>
    <w:rsid w:val="00A1687D"/>
    <w:rsid w:val="00A306B3"/>
    <w:rsid w:val="00A424B0"/>
    <w:rsid w:val="00A43E52"/>
    <w:rsid w:val="00A4678D"/>
    <w:rsid w:val="00A778C7"/>
    <w:rsid w:val="00A85B6F"/>
    <w:rsid w:val="00AB441E"/>
    <w:rsid w:val="00AB6293"/>
    <w:rsid w:val="00AE0928"/>
    <w:rsid w:val="00AF3B82"/>
    <w:rsid w:val="00B12E95"/>
    <w:rsid w:val="00B22876"/>
    <w:rsid w:val="00B558F0"/>
    <w:rsid w:val="00BD48FE"/>
    <w:rsid w:val="00BD7BD8"/>
    <w:rsid w:val="00BE6ADC"/>
    <w:rsid w:val="00BF20EE"/>
    <w:rsid w:val="00C0181E"/>
    <w:rsid w:val="00C05BFE"/>
    <w:rsid w:val="00C23CD4"/>
    <w:rsid w:val="00C61C0C"/>
    <w:rsid w:val="00C941CB"/>
    <w:rsid w:val="00CC2357"/>
    <w:rsid w:val="00CF071A"/>
    <w:rsid w:val="00D058B8"/>
    <w:rsid w:val="00D56C11"/>
    <w:rsid w:val="00D834A0"/>
    <w:rsid w:val="00D872DF"/>
    <w:rsid w:val="00D91E21"/>
    <w:rsid w:val="00DA7FCD"/>
    <w:rsid w:val="00E365E1"/>
    <w:rsid w:val="00E44B50"/>
    <w:rsid w:val="00E756BD"/>
    <w:rsid w:val="00E76F37"/>
    <w:rsid w:val="00E820A4"/>
    <w:rsid w:val="00EB006A"/>
    <w:rsid w:val="00EB4772"/>
    <w:rsid w:val="00ED169E"/>
    <w:rsid w:val="00ED4235"/>
    <w:rsid w:val="00F01C5F"/>
    <w:rsid w:val="00F04346"/>
    <w:rsid w:val="00F075DC"/>
    <w:rsid w:val="00F123BC"/>
    <w:rsid w:val="00F149E9"/>
    <w:rsid w:val="00F5134D"/>
    <w:rsid w:val="00F74202"/>
    <w:rsid w:val="00F87713"/>
    <w:rsid w:val="00FB4360"/>
    <w:rsid w:val="00FD0C70"/>
  </w:rsids>
  <w:docVars>
    <w:docVar w:name="dvdocse" w:val="A10-0154/2026"/>
    <w:docVar w:name="dvlangue" w:val="LT"/>
    <w:docVar w:name="dvnumam" w:val="0"/>
    <w:docVar w:name="dvpe" w:val="788.823"/>
    <w:docVar w:name="dvrapporteur" w:val="Pranešėjas: "/>
    <w:docVar w:name="dvtitre" w:val="2026 m. birzelio XX d. Europos Parlamento sprendimas dėl prašymo atšaukti Fulvio Martusciello imunitetą(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C6F0E30"/>
  <w15:chartTrackingRefBased/>
  <w15:docId w15:val="{3DCDD712-7B0C-47CC-8E74-98B037F04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01C5F"/>
    <w:pPr>
      <w:spacing w:after="240"/>
      <w:ind w:left="567" w:hanging="567"/>
    </w:pPr>
  </w:style>
  <w:style w:type="paragraph" w:customStyle="1" w:styleId="EPComma">
    <w:name w:val="EPComma"/>
    <w:basedOn w:val="Normal"/>
    <w:rsid w:val="00F01C5F"/>
    <w:pPr>
      <w:spacing w:before="480" w:after="240"/>
    </w:pPr>
  </w:style>
  <w:style w:type="paragraph" w:styleId="Revision">
    <w:name w:val="Revision"/>
    <w:hidden/>
    <w:uiPriority w:val="99"/>
    <w:semiHidden/>
    <w:rsid w:val="000905C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868</Words>
  <Characters>5773</Characters>
  <Application>Microsoft Office Word</Application>
  <DocSecurity>0</DocSecurity>
  <Lines>48</Lines>
  <Paragraphs>13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Prašymas atšaukti Fulvio Martusciello imunitetą</vt:lpstr>
      <vt:lpstr>        2026 m. birželio 16 d. Europos Parlamento sprendimas dėl prašymo atšaukti Fulvio</vt:lpstr>
    </vt:vector>
  </TitlesOfParts>
  <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2026-06-16T11:34:00Z</dcterms:created>
  <dcterms:modified xsi:type="dcterms:W3CDTF">2026-06-16T11:34:00Z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A10-0154/2026</vt:lpwstr>
  </property>
  <property fmtid="{D5CDD505-2E9C-101B-9397-08002B2CF9AE}" pid="4" name="&lt;Type&gt;">
    <vt:lpwstr>RR</vt:lpwstr>
  </property>
</Properties>
</file>