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13BC78" w14:textId="77777777" w:rsidTr="0010095E">
        <w:tblPrEx>
          <w:tblW w:w="9072" w:type="dxa"/>
          <w:tblLook w:val="01E0"/>
        </w:tblPrEx>
        <w:trPr>
          <w:trHeight w:hRule="exact" w:val="1418"/>
        </w:trPr>
        <w:tc>
          <w:tcPr>
            <w:tcW w:w="6804" w:type="dxa"/>
            <w:shd w:val="clear" w:color="auto" w:fill="auto"/>
            <w:vAlign w:val="center"/>
          </w:tcPr>
          <w:p w:rsidR="00751A4A" w:rsidRPr="00B0534B" w:rsidP="0010095E" w14:paraId="6D9523E6" w14:textId="77777777">
            <w:pPr>
              <w:pStyle w:val="EPName"/>
            </w:pPr>
            <w:r w:rsidRPr="00B0534B">
              <w:t>Eiropas Parlaments</w:t>
            </w:r>
          </w:p>
          <w:p w:rsidR="00751A4A" w:rsidRPr="00B0534B" w:rsidP="005F1B17" w14:paraId="0D8F31E8" w14:textId="77777777">
            <w:pPr>
              <w:pStyle w:val="EPTerm"/>
              <w:rPr>
                <w:rStyle w:val="HideTWBExt"/>
                <w:noProof w:val="0"/>
                <w:vanish w:val="0"/>
                <w:color w:val="auto"/>
              </w:rPr>
            </w:pPr>
            <w:r w:rsidRPr="00B0534B">
              <w:t>2024</w:t>
            </w:r>
            <w:r w:rsidRPr="00B0534B" w:rsidR="00817416">
              <w:t>-202</w:t>
            </w:r>
            <w:r w:rsidRPr="00B0534B">
              <w:t>9</w:t>
            </w:r>
          </w:p>
        </w:tc>
        <w:tc>
          <w:tcPr>
            <w:tcW w:w="2268" w:type="dxa"/>
            <w:shd w:val="clear" w:color="auto" w:fill="auto"/>
          </w:tcPr>
          <w:p w:rsidR="00751A4A" w:rsidRPr="00B0534B" w:rsidP="0010095E" w14:paraId="497A54CB" w14:textId="77777777">
            <w:pPr>
              <w:pStyle w:val="EPLogo"/>
            </w:pPr>
            <w:r w:rsidRPr="00B0534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0534B" w:rsidP="004C5D52" w14:paraId="113247CD" w14:textId="77777777">
      <w:pPr>
        <w:pStyle w:val="LineTop"/>
      </w:pPr>
    </w:p>
    <w:p w:rsidR="00680577" w:rsidRPr="00B0534B" w:rsidP="00680577" w14:paraId="50F92EDB" w14:textId="77777777">
      <w:pPr>
        <w:pStyle w:val="EPBodyTA1"/>
      </w:pPr>
      <w:r w:rsidRPr="00B0534B">
        <w:t>PIEŅEMTIE TEKSTI</w:t>
      </w:r>
    </w:p>
    <w:p w:rsidR="00D058B8" w:rsidRPr="00B0534B" w:rsidP="00D058B8" w14:paraId="028767EC" w14:textId="77777777">
      <w:pPr>
        <w:pStyle w:val="LineBottom"/>
      </w:pPr>
    </w:p>
    <w:p w:rsidR="001A08CF" w:rsidRPr="00B0534B" w:rsidP="001A08CF" w14:paraId="1FAA6C7A" w14:textId="6BB1C89B">
      <w:pPr>
        <w:pStyle w:val="ATHeading1"/>
      </w:pPr>
      <w:bookmarkStart w:id="0" w:name="TANumber"/>
      <w:r w:rsidRPr="00B0534B">
        <w:t>P10_TA(2026)0</w:t>
      </w:r>
      <w:r w:rsidRPr="00B0534B" w:rsidR="00B0534B">
        <w:t>194</w:t>
      </w:r>
      <w:bookmarkEnd w:id="0"/>
    </w:p>
    <w:p w:rsidR="001A08CF" w:rsidRPr="00B0534B" w:rsidP="001A08CF" w14:paraId="68105073" w14:textId="2A2DFEED">
      <w:pPr>
        <w:pStyle w:val="ATHeading2"/>
      </w:pPr>
      <w:bookmarkStart w:id="1" w:name="title"/>
      <w:r w:rsidRPr="00B0534B">
        <w:t>Piepras</w:t>
      </w:r>
      <w:r w:rsidRPr="00B0534B">
        <w:rPr>
          <w:rFonts w:hint="eastAsia"/>
        </w:rPr>
        <w:t>ī</w:t>
      </w:r>
      <w:r w:rsidRPr="00B0534B">
        <w:t xml:space="preserve">jums atcelt </w:t>
      </w:r>
      <w:r w:rsidRPr="00B0534B">
        <w:rPr>
          <w:i/>
          <w:iCs/>
        </w:rPr>
        <w:t>Fulvio</w:t>
      </w:r>
      <w:r w:rsidRPr="00B0534B">
        <w:rPr>
          <w:i/>
          <w:iCs/>
        </w:rPr>
        <w:t xml:space="preserve"> </w:t>
      </w:r>
      <w:r w:rsidRPr="00B0534B">
        <w:rPr>
          <w:i/>
          <w:iCs/>
        </w:rPr>
        <w:t>Martusciello</w:t>
      </w:r>
      <w:r w:rsidRPr="00B0534B">
        <w:t xml:space="preserve"> imunit</w:t>
      </w:r>
      <w:r w:rsidRPr="00B0534B">
        <w:rPr>
          <w:rFonts w:hint="eastAsia"/>
        </w:rPr>
        <w:t>ā</w:t>
      </w:r>
      <w:r w:rsidRPr="00B0534B">
        <w:t>ti</w:t>
      </w:r>
      <w:bookmarkEnd w:id="1"/>
    </w:p>
    <w:p w:rsidR="001A08CF" w:rsidRPr="00B0534B" w:rsidP="001A08CF" w14:paraId="54EB2B3C" w14:textId="77777777">
      <w:pPr>
        <w:rPr>
          <w:i/>
          <w:vanish/>
        </w:rPr>
      </w:pPr>
      <w:r>
        <w:rPr>
          <w:i/>
        </w:rPr>
        <w:fldChar w:fldCharType="begin"/>
      </w:r>
      <w:r w:rsidRPr="00B0534B">
        <w:rPr>
          <w:i/>
        </w:rPr>
        <w:instrText xml:space="preserve"> TC"(</w:instrText>
      </w:r>
      <w:bookmarkStart w:id="2" w:name="DocNumber"/>
      <w:r w:rsidRPr="00B0534B">
        <w:rPr>
          <w:i/>
        </w:rPr>
        <w:instrText>A10-0154/2026</w:instrText>
      </w:r>
      <w:bookmarkEnd w:id="2"/>
      <w:r w:rsidRPr="00B0534B">
        <w:rPr>
          <w:i/>
        </w:rPr>
        <w:instrText xml:space="preserve"> - Referents: Dominik Tarczyński)"\l3 \n&gt; \* MERGEFORMAT </w:instrText>
      </w:r>
      <w:r>
        <w:rPr>
          <w:i/>
        </w:rPr>
        <w:fldChar w:fldCharType="end"/>
      </w:r>
    </w:p>
    <w:p w:rsidR="001A08CF" w:rsidRPr="00B0534B" w:rsidP="001A08CF" w14:paraId="5CE6865F" w14:textId="77777777">
      <w:pPr>
        <w:rPr>
          <w:vanish/>
        </w:rPr>
      </w:pPr>
      <w:bookmarkStart w:id="3" w:name="Commission"/>
      <w:r w:rsidRPr="00B0534B">
        <w:rPr>
          <w:vanish/>
        </w:rPr>
        <w:t>Juridiskā komiteja</w:t>
      </w:r>
      <w:bookmarkEnd w:id="3"/>
    </w:p>
    <w:p w:rsidR="001A08CF" w:rsidRPr="00B0534B" w:rsidP="001A08CF" w14:paraId="12BDC1BB" w14:textId="77777777">
      <w:pPr>
        <w:rPr>
          <w:vanish/>
        </w:rPr>
      </w:pPr>
      <w:bookmarkStart w:id="4" w:name="PE"/>
      <w:r w:rsidRPr="00B0534B">
        <w:rPr>
          <w:vanish/>
        </w:rPr>
        <w:t>PE788.823</w:t>
      </w:r>
      <w:bookmarkEnd w:id="4"/>
    </w:p>
    <w:p w:rsidR="001A08CF" w:rsidRPr="00B0534B" w:rsidP="001A08CF" w14:paraId="14BDE6E6" w14:textId="7867FF51">
      <w:pPr>
        <w:pStyle w:val="ATHeading3"/>
      </w:pPr>
      <w:bookmarkStart w:id="5" w:name="Sujet"/>
      <w:r w:rsidRPr="00B0534B">
        <w:t xml:space="preserve">Eiropas Parlamenta 2026. gada </w:t>
      </w:r>
      <w:r w:rsidRPr="00B0534B" w:rsidR="00300D97">
        <w:t>16. jūnija</w:t>
      </w:r>
      <w:r w:rsidRPr="00B0534B">
        <w:t xml:space="preserve"> lēmums par pieprasījumu atcelt </w:t>
      </w:r>
      <w:r w:rsidRPr="00B0534B">
        <w:rPr>
          <w:i/>
          <w:iCs/>
        </w:rPr>
        <w:t>Fulvio</w:t>
      </w:r>
      <w:r w:rsidRPr="00B0534B">
        <w:rPr>
          <w:i/>
          <w:iCs/>
        </w:rPr>
        <w:t xml:space="preserve"> </w:t>
      </w:r>
      <w:r w:rsidRPr="00B0534B">
        <w:rPr>
          <w:i/>
          <w:iCs/>
        </w:rPr>
        <w:t>Martusciello</w:t>
      </w:r>
      <w:r w:rsidRPr="00B0534B">
        <w:t xml:space="preserve"> imunitāti</w:t>
      </w:r>
      <w:bookmarkEnd w:id="5"/>
      <w:r w:rsidRPr="00B0534B">
        <w:t xml:space="preserve"> </w:t>
      </w:r>
      <w:bookmarkStart w:id="6" w:name="References"/>
      <w:r w:rsidRPr="00B0534B">
        <w:t>(2025/2099(IMM))</w:t>
      </w:r>
      <w:bookmarkEnd w:id="6"/>
    </w:p>
    <w:p w:rsidR="001A08CF" w:rsidRPr="00B0534B" w:rsidP="001A08CF" w14:paraId="544FAF5D" w14:textId="77777777"/>
    <w:p w:rsidR="00EE2057" w:rsidRPr="00B0534B" w:rsidP="00EE2057" w14:paraId="0979C4E3" w14:textId="77777777">
      <w:pPr>
        <w:pStyle w:val="EPComma"/>
      </w:pPr>
      <w:bookmarkStart w:id="7" w:name="TextBodyBegin"/>
      <w:bookmarkEnd w:id="7"/>
      <w:r w:rsidRPr="00B0534B">
        <w:rPr>
          <w:i/>
        </w:rPr>
        <w:t>Eiropas Parlaments</w:t>
      </w:r>
      <w:r w:rsidRPr="00B0534B">
        <w:t>,</w:t>
      </w:r>
    </w:p>
    <w:p w:rsidR="00EE2057" w:rsidRPr="00B0534B" w:rsidP="00EE2057" w14:paraId="1F830019" w14:textId="455F495D">
      <w:pPr>
        <w:pStyle w:val="NormalHanging12a"/>
      </w:pPr>
      <w:r w:rsidRPr="00B0534B">
        <w:t>–</w:t>
      </w:r>
      <w:r w:rsidRPr="00B0534B">
        <w:tab/>
        <w:t xml:space="preserve">ņemot vērā 2025. gada 21. maijā Parlamentā izziņoto pieprasījumu atcelt </w:t>
      </w:r>
      <w:r w:rsidRPr="00B0534B">
        <w:rPr>
          <w:i/>
          <w:iCs/>
        </w:rPr>
        <w:t>Fulvio</w:t>
      </w:r>
      <w:r w:rsidRPr="00B0534B">
        <w:rPr>
          <w:i/>
          <w:iCs/>
        </w:rPr>
        <w:t xml:space="preserve"> </w:t>
      </w:r>
      <w:r w:rsidRPr="00B0534B">
        <w:rPr>
          <w:i/>
          <w:iCs/>
        </w:rPr>
        <w:t>Martusciello</w:t>
      </w:r>
      <w:r w:rsidRPr="00B0534B">
        <w:t xml:space="preserve"> imunitāti, kas saņemts ar Beļģijas Federālā ārlietu, ārējās tirdzniecības un attīstības sadarbības valsts dienesta 2025. gada 6. maija vēstuli, ar kuru nosūtīts Beļģijas Federālās prokuratūras 2025. gada 16. aprīļa pieprasījums sakarā ar kriminālprocesu, kas pret viņu tiks ierosināts,</w:t>
      </w:r>
    </w:p>
    <w:p w:rsidR="00EE2057" w:rsidRPr="00B0534B" w:rsidP="00EE2057" w14:paraId="7FA78B6E" w14:textId="77777777">
      <w:pPr>
        <w:pStyle w:val="NormalHanging12a"/>
        <w:rPr>
          <w:bCs/>
        </w:rPr>
      </w:pPr>
      <w:r w:rsidRPr="00B0534B">
        <w:t>–</w:t>
      </w:r>
      <w:r w:rsidRPr="00B0534B">
        <w:tab/>
        <w:t xml:space="preserve">pēc </w:t>
      </w:r>
      <w:r w:rsidRPr="00B0534B">
        <w:rPr>
          <w:i/>
        </w:rPr>
        <w:t>Fulvio</w:t>
      </w:r>
      <w:r w:rsidRPr="00B0534B">
        <w:rPr>
          <w:i/>
        </w:rPr>
        <w:t xml:space="preserve"> </w:t>
      </w:r>
      <w:r w:rsidRPr="00B0534B">
        <w:rPr>
          <w:i/>
        </w:rPr>
        <w:t>Martusciello</w:t>
      </w:r>
      <w:r w:rsidRPr="00B0534B">
        <w:t xml:space="preserve"> uzklausīšanas 2026. gada 24. martā saskaņā ar Reglamenta 9. panta 6. punktu,</w:t>
      </w:r>
    </w:p>
    <w:p w:rsidR="00EE2057" w:rsidRPr="00B0534B" w:rsidP="00EE2057" w14:paraId="599CFEAF" w14:textId="77777777">
      <w:pPr>
        <w:pStyle w:val="NormalHanging12a"/>
      </w:pPr>
      <w:r w:rsidRPr="00B0534B">
        <w:t>–</w:t>
      </w:r>
      <w:r w:rsidRPr="00B0534B">
        <w:tab/>
        <w:t>ņemot vērā Protokola Nr. 7 par privilēģijām un imunitāti Eiropas Savienībā 8. un 9. pantu, kā arī 1976. gada 20. septembra Akta par Eiropas Parlamenta deputātu ievēlēšanu tiešās vispārējās vēlēšanās 6. panta 2. punktu,</w:t>
      </w:r>
    </w:p>
    <w:p w:rsidR="00EE2057" w:rsidRPr="00B0534B" w:rsidP="00EE2057" w14:paraId="76E36600" w14:textId="77777777">
      <w:pPr>
        <w:pStyle w:val="NormalHanging12a"/>
      </w:pPr>
      <w:r w:rsidRPr="00B0534B">
        <w:t>–</w:t>
      </w:r>
      <w:r w:rsidRPr="00B0534B">
        <w:tab/>
        <w:t>ņemot vērā Eiropas Savienības Tiesas 2008. gada 21. oktobra, 2010. gada 19. marta, 2011. gada 6. septembra, 2013. gada 17. janvāra un 2019. gada 19. decembra spriedumu</w:t>
      </w:r>
      <w:r>
        <w:rPr>
          <w:vertAlign w:val="superscript"/>
        </w:rPr>
        <w:footnoteReference w:id="2"/>
      </w:r>
      <w:r w:rsidRPr="00B0534B">
        <w:t>,</w:t>
      </w:r>
    </w:p>
    <w:p w:rsidR="00EE2057" w:rsidRPr="00B0534B" w:rsidP="00EE2057" w14:paraId="0CCCF375" w14:textId="77777777">
      <w:pPr>
        <w:pStyle w:val="NormalHanging12a"/>
      </w:pPr>
      <w:r w:rsidRPr="00B0534B">
        <w:t>–</w:t>
      </w:r>
      <w:r w:rsidRPr="00B0534B">
        <w:tab/>
        <w:t>ņemot vērā Reglamenta 5. panta 2. punktu, 6. panta 1. punktu un 9. pantu,</w:t>
      </w:r>
    </w:p>
    <w:p w:rsidR="00EE2057" w:rsidRPr="00B0534B" w:rsidP="00EE2057" w14:paraId="2DA480E2" w14:textId="77777777">
      <w:pPr>
        <w:pStyle w:val="NormalHanging12a"/>
      </w:pPr>
      <w:r w:rsidRPr="00B0534B">
        <w:t>–</w:t>
      </w:r>
      <w:r w:rsidRPr="00B0534B">
        <w:tab/>
        <w:t>ņemot vērā Juridiskās komitejas ziņojumu (A10</w:t>
      </w:r>
      <w:r w:rsidRPr="00B0534B">
        <w:noBreakHyphen/>
        <w:t>0154/2026),</w:t>
      </w:r>
    </w:p>
    <w:p w:rsidR="00EE2057" w:rsidRPr="00B0534B" w:rsidP="00EE2057" w14:paraId="1AF12C7B" w14:textId="07F38830">
      <w:pPr>
        <w:pStyle w:val="NormalHanging12a"/>
      </w:pPr>
      <w:r w:rsidRPr="00B0534B">
        <w:t>A.</w:t>
      </w:r>
      <w:r w:rsidRPr="00B0534B">
        <w:tab/>
      </w:r>
      <w:bookmarkStart w:id="8" w:name="_Hlk223949138"/>
      <w:r w:rsidRPr="00B0534B" w:rsidR="00300D97">
        <w:t xml:space="preserve">tā kā 2025. gada 6. maijā Federālais valsts dienests ārlietās, ārējās tirdzniecības un attīstības sadarbības jautājumos nosūtīja </w:t>
      </w:r>
      <w:r w:rsidRPr="00B0534B" w:rsidR="00170EBD">
        <w:t>f</w:t>
      </w:r>
      <w:r w:rsidRPr="00B0534B" w:rsidR="00300D97">
        <w:t xml:space="preserve">ederālā prokurora 2025. gada 16. aprīļa pieprasījumu </w:t>
      </w:r>
      <w:r w:rsidRPr="00B0534B">
        <w:t xml:space="preserve">atcelt Itālijā ievēlētā Eiropas Parlamenta deputāta </w:t>
      </w:r>
      <w:r w:rsidRPr="00B0534B">
        <w:rPr>
          <w:i/>
        </w:rPr>
        <w:t>Fulvio</w:t>
      </w:r>
      <w:r w:rsidRPr="00B0534B">
        <w:rPr>
          <w:i/>
        </w:rPr>
        <w:t xml:space="preserve"> </w:t>
      </w:r>
      <w:r w:rsidRPr="00B0534B">
        <w:rPr>
          <w:i/>
        </w:rPr>
        <w:t>Martusciello</w:t>
      </w:r>
      <w:r w:rsidRPr="00B0534B">
        <w:t xml:space="preserve"> </w:t>
      </w:r>
      <w:r w:rsidRPr="00B0534B">
        <w:t>imunitāti sakarā ar kriminālprocesu, kas pret viņu tiks ierosināts;</w:t>
      </w:r>
      <w:bookmarkEnd w:id="8"/>
    </w:p>
    <w:p w:rsidR="00EE2057" w:rsidRPr="00B0534B" w:rsidP="00EE2057" w14:paraId="31441E03" w14:textId="730C7C27">
      <w:pPr>
        <w:pStyle w:val="NormalHanging12a"/>
      </w:pPr>
      <w:r w:rsidRPr="00B0534B">
        <w:t>B.</w:t>
      </w:r>
      <w:r w:rsidRPr="00B0534B">
        <w:tab/>
      </w:r>
      <w:bookmarkStart w:id="9" w:name="_Hlk223949179"/>
      <w:r w:rsidRPr="00B0534B">
        <w:t xml:space="preserve">tā kā plašā izmeklēšanā, kas attiecas uz uzņēmumu </w:t>
      </w:r>
      <w:r w:rsidRPr="00B0534B">
        <w:rPr>
          <w:i/>
        </w:rPr>
        <w:t>Huawei</w:t>
      </w:r>
      <w:r w:rsidRPr="00B0534B">
        <w:t xml:space="preserve">, esot iegūti nopietni pierādījumi par to, ka pastāv noziedzīga organizācija, kuras mērķis esot ietekmēt </w:t>
      </w:r>
      <w:r w:rsidRPr="00B0534B" w:rsidR="00300D97">
        <w:t xml:space="preserve">Savienības </w:t>
      </w:r>
      <w:r w:rsidRPr="00B0534B">
        <w:t xml:space="preserve">iestāžu lēmumus, iesaistot Eiropas Parlamenta deputātus korupcijā; tā kā minētā izmeklēšana, šķiet, ir atklājusi vairākas iespējamas korupcijas darbības, par kurām tiek uzskatīts, ka tās ir veiktas regulāri no 2021. līdz 2024. gadam; tā kā korupcijas shēma esot izpaudusies dažādos veidos, arī kā Eiropas Parlamenta deputātu uzaicināšana uz </w:t>
      </w:r>
      <w:r w:rsidRPr="00B0534B">
        <w:rPr>
          <w:i/>
        </w:rPr>
        <w:t>Huawei</w:t>
      </w:r>
      <w:r w:rsidRPr="00B0534B">
        <w:t xml:space="preserve"> atbalstītiem pasākumiem apmaiņā pret politisku nostāju ieņemšanu par labu šim uzņēmumam, un pārmērīgas dāvanas, piemēram, ēdināšanas un ceļa izdevumu apmaksāšana vai regulāri ielūgumi uz futbola mačiem nesaistīti ar Eiropas Parlamenta darbu;</w:t>
      </w:r>
      <w:bookmarkEnd w:id="9"/>
    </w:p>
    <w:p w:rsidR="00EE2057" w:rsidRPr="00B0534B" w:rsidP="00EE2057" w14:paraId="1D401CD4" w14:textId="72A80B29">
      <w:pPr>
        <w:pStyle w:val="NormalHanging12a"/>
      </w:pPr>
      <w:bookmarkStart w:id="10" w:name="_Hlk223949214"/>
      <w:r w:rsidRPr="00B0534B">
        <w:t>C.</w:t>
      </w:r>
      <w:r w:rsidRPr="00B0534B">
        <w:tab/>
        <w:t xml:space="preserve">tā kā saskaņā ar imunitātes atcelšanas pieprasījumā doto informāciju 2021. gada februārī vairāki Eiropas Parlamenta deputāti nosūtīja vēstuli trim komisāriem, lai ietekmētu </w:t>
      </w:r>
      <w:r w:rsidRPr="00B0534B" w:rsidR="00300D97">
        <w:t xml:space="preserve">Savienības </w:t>
      </w:r>
      <w:r w:rsidRPr="00B0534B">
        <w:t>rīcībpolitiku</w:t>
      </w:r>
      <w:r w:rsidRPr="00B0534B">
        <w:t xml:space="preserve"> attiecībā uz 5G ieviešanu Eiropā, jo īpaši sakarā ar atbalstu trešo valstu uzņēmumiem, piemēram, </w:t>
      </w:r>
      <w:r w:rsidRPr="00B0534B">
        <w:rPr>
          <w:i/>
        </w:rPr>
        <w:t>Huawei</w:t>
      </w:r>
      <w:r w:rsidRPr="00B0534B">
        <w:t xml:space="preserve">; tā kā izmeklēšana, šķiet, ir spējusi skaidri noteikt ceļu no vēstules izveides līdz tās izplatīšanai, ietekmei un rēķinu izrakstīšanai, acīmredzot apstiprinot, ka vēstule bijusi elements ķēdē, kas sniegusies pāri ietekmēšanas un lobēšanas darbību robežām un varētu būt bijusi daļa no </w:t>
      </w:r>
      <w:r w:rsidRPr="00B0534B">
        <w:t>koruptīvas</w:t>
      </w:r>
      <w:r w:rsidRPr="00B0534B">
        <w:t xml:space="preserve"> vienošanās; tā kā tiek apgalvots, ka galvenais vēstules izstrādes atbalstītājs bija </w:t>
      </w:r>
      <w:r w:rsidRPr="00B0534B">
        <w:rPr>
          <w:i/>
        </w:rPr>
        <w:t>Fulvio</w:t>
      </w:r>
      <w:r w:rsidRPr="00B0534B">
        <w:rPr>
          <w:i/>
        </w:rPr>
        <w:t xml:space="preserve"> </w:t>
      </w:r>
      <w:r w:rsidRPr="00B0534B">
        <w:rPr>
          <w:i/>
        </w:rPr>
        <w:t>Martusciello</w:t>
      </w:r>
      <w:r w:rsidRPr="00B0534B">
        <w:t>, kas bija pirmais tās parakstītājs un kam, izmantojot sarežģītas finanšu plūsmas, kuru mērķis bija slēpt iespējamo vienošanos, esot samaksāts, lai viņš korumpēti liktu lietā savu politisko ietekmi;</w:t>
      </w:r>
    </w:p>
    <w:p w:rsidR="00EE2057" w:rsidRPr="00B0534B" w:rsidP="00EE2057" w14:paraId="3F9EAC49" w14:textId="5128E30D">
      <w:pPr>
        <w:pStyle w:val="NormalHanging12a"/>
      </w:pPr>
      <w:r w:rsidRPr="00B0534B">
        <w:t>D.</w:t>
      </w:r>
      <w:r w:rsidRPr="00B0534B">
        <w:tab/>
      </w:r>
      <w:bookmarkEnd w:id="10"/>
      <w:r w:rsidRPr="00B0534B">
        <w:t xml:space="preserve">tā kā tiek arī apgalvots, ka </w:t>
      </w:r>
      <w:r w:rsidRPr="00B0534B">
        <w:rPr>
          <w:i/>
        </w:rPr>
        <w:t>Fulvio</w:t>
      </w:r>
      <w:r w:rsidRPr="00B0534B">
        <w:rPr>
          <w:i/>
        </w:rPr>
        <w:t xml:space="preserve"> </w:t>
      </w:r>
      <w:r w:rsidRPr="00B0534B">
        <w:rPr>
          <w:i/>
        </w:rPr>
        <w:t>Martusciello</w:t>
      </w:r>
      <w:r w:rsidRPr="00B0534B">
        <w:t xml:space="preserve"> aktīvi darbojās </w:t>
      </w:r>
      <w:r w:rsidRPr="00B0534B">
        <w:rPr>
          <w:i/>
        </w:rPr>
        <w:t>Huawei</w:t>
      </w:r>
      <w:r w:rsidRPr="00B0534B">
        <w:t xml:space="preserve"> interesēs, iespējams, minētās </w:t>
      </w:r>
      <w:r w:rsidRPr="00B0534B">
        <w:t>koruptīvās</w:t>
      </w:r>
      <w:r w:rsidRPr="00B0534B">
        <w:t xml:space="preserve"> vienošanās ietvaros, iesniedzot tādus grozījumus rezolūcijas projektā par </w:t>
      </w:r>
      <w:r w:rsidRPr="00B0534B" w:rsidR="00300D97">
        <w:t xml:space="preserve">Savienības </w:t>
      </w:r>
      <w:r w:rsidRPr="00B0534B">
        <w:t xml:space="preserve">konkurences politiku, kuri šķiet formulēti par labu </w:t>
      </w:r>
      <w:r w:rsidRPr="00B0534B">
        <w:rPr>
          <w:i/>
        </w:rPr>
        <w:t>Huawei</w:t>
      </w:r>
      <w:r w:rsidRPr="00B0534B">
        <w:t xml:space="preserve"> un izstrādāti no 2021. gada janvāra līdz 2021. gada martam, </w:t>
      </w:r>
      <w:r w:rsidRPr="00B0534B" w:rsidR="00B24395">
        <w:t>proti,</w:t>
      </w:r>
      <w:r w:rsidRPr="00B0534B">
        <w:t xml:space="preserve"> tajā pašā laikposmā, kad tika izveidota un izplatīta </w:t>
      </w:r>
      <w:r w:rsidRPr="00B0534B" w:rsidR="00300D97">
        <w:t xml:space="preserve">C apsvērumā minētā </w:t>
      </w:r>
      <w:r w:rsidRPr="00B0534B">
        <w:t xml:space="preserve">vēstule, un veicinot viņa vēlēšanu apgabala studentu dalību </w:t>
      </w:r>
      <w:r w:rsidRPr="00B0534B">
        <w:rPr>
          <w:i/>
        </w:rPr>
        <w:t>Huawei</w:t>
      </w:r>
      <w:r w:rsidRPr="00B0534B">
        <w:t xml:space="preserve"> akadēmijā, lai iegūtu balsis </w:t>
      </w:r>
      <w:r w:rsidRPr="00B0534B" w:rsidR="00B24395">
        <w:t xml:space="preserve">savai </w:t>
      </w:r>
      <w:r w:rsidRPr="00B0534B">
        <w:t>pārvēlēšanai Parlamentā;</w:t>
      </w:r>
    </w:p>
    <w:p w:rsidR="00EE2057" w:rsidRPr="00B0534B" w:rsidP="00EE2057" w14:paraId="454439FF" w14:textId="5344830A">
      <w:pPr>
        <w:pStyle w:val="NormalHanging12a"/>
      </w:pPr>
      <w:bookmarkStart w:id="11" w:name="_Hlk223949297"/>
      <w:r w:rsidRPr="00B0534B">
        <w:t>E.</w:t>
      </w:r>
      <w:r w:rsidRPr="00B0534B">
        <w:tab/>
        <w:t xml:space="preserve">tā kā </w:t>
      </w:r>
      <w:r w:rsidRPr="00B0534B">
        <w:rPr>
          <w:i/>
        </w:rPr>
        <w:t>Fulvio</w:t>
      </w:r>
      <w:r w:rsidRPr="00B0534B">
        <w:rPr>
          <w:i/>
        </w:rPr>
        <w:t xml:space="preserve"> </w:t>
      </w:r>
      <w:r w:rsidRPr="00B0534B">
        <w:rPr>
          <w:i/>
        </w:rPr>
        <w:t>Martusciello</w:t>
      </w:r>
      <w:r w:rsidRPr="00B0534B">
        <w:t xml:space="preserve"> 2024. gada jūnija Eiropas Parlamenta vēlēšanās tika vēlreiz ievēlēts Eiropas Parlamentā un </w:t>
      </w:r>
      <w:r w:rsidRPr="00B0534B" w:rsidR="00300D97">
        <w:t xml:space="preserve">tātad </w:t>
      </w:r>
      <w:r w:rsidRPr="00B0534B">
        <w:t>inkriminētā nodarījuma izdarīšanas laikā bija Eiropas Parlamenta deputāts;</w:t>
      </w:r>
    </w:p>
    <w:p w:rsidR="00EE2057" w:rsidRPr="00B0534B" w:rsidP="00EE2057" w14:paraId="6571BE6E" w14:textId="77777777">
      <w:pPr>
        <w:pStyle w:val="NormalHanging12a"/>
      </w:pPr>
      <w:r w:rsidRPr="00B0534B">
        <w:t>F.</w:t>
      </w:r>
      <w:r w:rsidRPr="00B0534B">
        <w:tab/>
        <w:t>tā kā, no vienas puses, Parlaments nevar tikt pielīdzināts tiesai un, no otras puses, deputāts imunitātes atcelšanas procedūras kontekstā nevar tikt uzskatīts par apsūdzēto</w:t>
      </w:r>
      <w:r>
        <w:rPr>
          <w:vertAlign w:val="superscript"/>
        </w:rPr>
        <w:footnoteReference w:id="3"/>
      </w:r>
      <w:r w:rsidRPr="00B0534B">
        <w:t>;</w:t>
      </w:r>
    </w:p>
    <w:p w:rsidR="00EE2057" w:rsidRPr="00B0534B" w:rsidP="00EE2057" w14:paraId="57A37726" w14:textId="77777777">
      <w:pPr>
        <w:pStyle w:val="NormalHanging12a"/>
      </w:pPr>
      <w:r w:rsidRPr="00B0534B">
        <w:t>G.</w:t>
      </w:r>
      <w:r w:rsidRPr="00B0534B">
        <w:tab/>
        <w:t>tā kā Protokola Nr. 7 par privilēģijām un imunitāti Eiropas Savienībā paredzētās parlamentārās imunitātes mērķis ir aizsargāt Parlamentu un tā deputātus pret juridisku procesu, kas tiktu ierosināts par darbībām, kuras būtu veiktas, pildot parlamentāros pienākumus, un kuras atrauti no šiem pienākumiem skatīt nevar;</w:t>
      </w:r>
    </w:p>
    <w:p w:rsidR="00EE2057" w:rsidRPr="00B0534B" w:rsidP="00EE2057" w14:paraId="351EC9F1" w14:textId="77777777">
      <w:pPr>
        <w:pStyle w:val="NormalHanging12a"/>
      </w:pPr>
      <w:r w:rsidRPr="00B0534B">
        <w:t>H.</w:t>
      </w:r>
      <w:r w:rsidRPr="00B0534B">
        <w:tab/>
        <w:t xml:space="preserve">tā kā saskaņā ar Parlamenta Reglamenta 5. panta 2. punktu deputāta imunitāte nav deputāta personiska privilēģija, bet gan visa Parlamenta un tā deputātu neatkarības </w:t>
      </w:r>
      <w:r w:rsidRPr="00B0534B">
        <w:t>garantija;</w:t>
      </w:r>
    </w:p>
    <w:p w:rsidR="00EE2057" w:rsidRPr="00B0534B" w:rsidP="00EE2057" w14:paraId="7935F3EB" w14:textId="77777777">
      <w:pPr>
        <w:pStyle w:val="NormalHanging12a"/>
      </w:pPr>
      <w:r w:rsidRPr="00B0534B">
        <w:t>I.</w:t>
      </w:r>
      <w:r w:rsidRPr="00B0534B">
        <w:tab/>
        <w:t xml:space="preserve">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 tā kā inkriminētais nodarījums neattiecas uz viedokli vai balsojumu, ko </w:t>
      </w:r>
      <w:r w:rsidRPr="00B0534B">
        <w:rPr>
          <w:i/>
        </w:rPr>
        <w:t>Fulvio</w:t>
      </w:r>
      <w:r w:rsidRPr="00B0534B">
        <w:rPr>
          <w:i/>
        </w:rPr>
        <w:t xml:space="preserve"> </w:t>
      </w:r>
      <w:r w:rsidRPr="00B0534B">
        <w:rPr>
          <w:i/>
        </w:rPr>
        <w:t>Martusciello</w:t>
      </w:r>
      <w:r w:rsidRPr="00B0534B">
        <w:t xml:space="preserve"> paudis vai veicis, pildot savus pienākumus minētā protokola 8. panta nozīmē;</w:t>
      </w:r>
    </w:p>
    <w:p w:rsidR="00EE2057" w:rsidRPr="00B0534B" w:rsidP="00EE2057" w14:paraId="25DB889E" w14:textId="1362F04C">
      <w:pPr>
        <w:pStyle w:val="NormalHanging12a"/>
      </w:pPr>
      <w:r w:rsidRPr="00B0534B">
        <w:t>J.</w:t>
      </w:r>
      <w:r w:rsidRPr="00B0534B">
        <w:tab/>
        <w:t xml:space="preserve">tā kā saskaņā ar Protokola Nr. 7 par privilēģijām un imunitāti Eiropas Savienībā 9. panta pirmās daļas b) apakšpunktu Eiropas Parlamenta locekļiem </w:t>
      </w:r>
      <w:r w:rsidRPr="00B0534B" w:rsidR="00170EBD">
        <w:t xml:space="preserve">tā sesiju laikā </w:t>
      </w:r>
      <w:r w:rsidRPr="00B0534B">
        <w:t>ikvienā dalībvalstī, kas nav viņu piederības dalībvalsts, ir imunitāte pret aizturēšanu un tiesvedību;</w:t>
      </w:r>
    </w:p>
    <w:p w:rsidR="00EE2057" w:rsidRPr="00B0534B" w:rsidP="00EE2057" w14:paraId="7214CDD1" w14:textId="30C1E312">
      <w:pPr>
        <w:pStyle w:val="NormalHanging12a"/>
      </w:pPr>
      <w:r w:rsidRPr="00B0534B">
        <w:t>K.</w:t>
      </w:r>
      <w:r w:rsidRPr="00B0534B">
        <w:tab/>
        <w:t xml:space="preserve">tā kā izmeklēšana attiecās ne tikai uz </w:t>
      </w:r>
      <w:r w:rsidRPr="00B0534B">
        <w:rPr>
          <w:i/>
        </w:rPr>
        <w:t>Fulvio</w:t>
      </w:r>
      <w:r w:rsidRPr="00B0534B">
        <w:rPr>
          <w:i/>
        </w:rPr>
        <w:t xml:space="preserve"> </w:t>
      </w:r>
      <w:r w:rsidRPr="00B0534B">
        <w:rPr>
          <w:i/>
        </w:rPr>
        <w:t>Martusciello</w:t>
      </w:r>
      <w:r w:rsidRPr="00B0534B">
        <w:t xml:space="preserve">, bet uz daudzām personām; </w:t>
      </w:r>
      <w:bookmarkStart w:id="12" w:name="_Hlk228970940"/>
      <w:r w:rsidRPr="00B0534B">
        <w:t xml:space="preserve">tā kā pieprasījums atcelt </w:t>
      </w:r>
      <w:r w:rsidRPr="00B0534B">
        <w:rPr>
          <w:i/>
        </w:rPr>
        <w:t>Fulvio</w:t>
      </w:r>
      <w:r w:rsidRPr="00B0534B">
        <w:rPr>
          <w:i/>
        </w:rPr>
        <w:t xml:space="preserve"> </w:t>
      </w:r>
      <w:r w:rsidRPr="00B0534B">
        <w:rPr>
          <w:i/>
        </w:rPr>
        <w:t>Martusciello</w:t>
      </w:r>
      <w:r w:rsidRPr="00B0534B">
        <w:t xml:space="preserve"> imunitāti, šķiet</w:t>
      </w:r>
      <w:bookmarkEnd w:id="12"/>
      <w:r w:rsidRPr="00B0534B">
        <w:t xml:space="preserve">, izriet no plašākas izmeklēšanas par iespējamām </w:t>
      </w:r>
      <w:r w:rsidRPr="00B0534B">
        <w:t>koruptīvām</w:t>
      </w:r>
      <w:r w:rsidRPr="00B0534B">
        <w:t xml:space="preserve"> darbībām un nešķiet vērsts pret viņa politisko darbību; tā kā Parlaments nav konstatējis pierādījumus par </w:t>
      </w:r>
      <w:r w:rsidRPr="00B0534B">
        <w:rPr>
          <w:i/>
          <w:iCs/>
        </w:rPr>
        <w:t>fumus</w:t>
      </w:r>
      <w:r w:rsidRPr="00B0534B">
        <w:rPr>
          <w:i/>
          <w:iCs/>
        </w:rPr>
        <w:t xml:space="preserve"> </w:t>
      </w:r>
      <w:r w:rsidRPr="00B0534B">
        <w:rPr>
          <w:i/>
          <w:iCs/>
        </w:rPr>
        <w:t>persecutionis</w:t>
      </w:r>
      <w:r w:rsidRPr="00B0534B">
        <w:t xml:space="preserve">, t. i., nešķiet, ka šīs konkrētās tiesvedības pamatā esošais mērķis būtu kaitēt </w:t>
      </w:r>
      <w:r w:rsidRPr="00B0534B">
        <w:rPr>
          <w:i/>
        </w:rPr>
        <w:t>Fulvio</w:t>
      </w:r>
      <w:r w:rsidRPr="00B0534B">
        <w:rPr>
          <w:i/>
        </w:rPr>
        <w:t xml:space="preserve"> </w:t>
      </w:r>
      <w:r w:rsidRPr="00B0534B">
        <w:rPr>
          <w:i/>
        </w:rPr>
        <w:t>Martusciello</w:t>
      </w:r>
      <w:r w:rsidRPr="00B0534B">
        <w:t xml:space="preserve"> kā Eiropas Parlamenta deputāta politiskajai darbībai</w:t>
      </w:r>
      <w:r w:rsidRPr="00B0534B" w:rsidR="00170EBD">
        <w:t xml:space="preserve"> un tādējādi Parlamenta neatkarībai</w:t>
      </w:r>
      <w:r w:rsidRPr="00B0534B">
        <w:t>,</w:t>
      </w:r>
    </w:p>
    <w:bookmarkEnd w:id="11"/>
    <w:p w:rsidR="00EE2057" w:rsidRPr="00B0534B" w:rsidP="00EE2057" w14:paraId="2328C283" w14:textId="77777777">
      <w:pPr>
        <w:pStyle w:val="NormalHanging12a"/>
      </w:pPr>
      <w:r w:rsidRPr="00B0534B">
        <w:t>1.</w:t>
      </w:r>
      <w:r w:rsidRPr="00B0534B">
        <w:tab/>
      </w:r>
      <w:bookmarkStart w:id="13" w:name="_Hlk223949317"/>
      <w:r w:rsidRPr="00B0534B">
        <w:t xml:space="preserve">nolemj atcelt </w:t>
      </w:r>
      <w:bookmarkEnd w:id="13"/>
      <w:r w:rsidRPr="00B0534B">
        <w:rPr>
          <w:i/>
        </w:rPr>
        <w:t>Fulvio</w:t>
      </w:r>
      <w:r w:rsidRPr="00B0534B">
        <w:rPr>
          <w:i/>
        </w:rPr>
        <w:t xml:space="preserve"> </w:t>
      </w:r>
      <w:r w:rsidRPr="00B0534B">
        <w:rPr>
          <w:i/>
        </w:rPr>
        <w:t>Martusciello</w:t>
      </w:r>
      <w:r w:rsidRPr="00B0534B">
        <w:t xml:space="preserve"> imunitāti;</w:t>
      </w:r>
    </w:p>
    <w:p w:rsidR="00E365E1" w:rsidRPr="00B0534B" w:rsidP="00B0534B" w14:paraId="07846043" w14:textId="4BF7B1FC">
      <w:pPr>
        <w:ind w:left="567" w:hanging="567"/>
      </w:pPr>
      <w:r w:rsidRPr="00B0534B">
        <w:t>2.</w:t>
      </w:r>
      <w:r w:rsidRPr="00B0534B">
        <w:tab/>
        <w:t xml:space="preserve">uzdod priekšsēdētājai šo lēmumu un atbildīgās komitejas ziņojumu nekavējoties nosūtīt Beļģijas Karalistes kompetentajai iestādei un </w:t>
      </w:r>
      <w:r w:rsidRPr="00B0534B">
        <w:rPr>
          <w:i/>
        </w:rPr>
        <w:t>Fulvio</w:t>
      </w:r>
      <w:r w:rsidRPr="00B0534B">
        <w:rPr>
          <w:i/>
        </w:rPr>
        <w:t xml:space="preserve"> </w:t>
      </w:r>
      <w:r w:rsidRPr="00B0534B">
        <w:rPr>
          <w:i/>
        </w:rPr>
        <w:t>Martusciello</w:t>
      </w:r>
      <w:r w:rsidRPr="00B0534B">
        <w:t>.</w:t>
      </w:r>
    </w:p>
    <w:sectPr w:rsidSect="0085207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11C1134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0719AD7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3EC7269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08CF" w:rsidRPr="0085207E" w14:paraId="146A8F55" w14:textId="77777777">
      <w:r w:rsidRPr="0085207E">
        <w:separator/>
      </w:r>
    </w:p>
  </w:footnote>
  <w:footnote w:type="continuationSeparator" w:id="1">
    <w:p w:rsidR="001A08CF" w:rsidRPr="0085207E" w14:paraId="2001570A" w14:textId="77777777">
      <w:r w:rsidRPr="0085207E">
        <w:continuationSeparator/>
      </w:r>
    </w:p>
  </w:footnote>
  <w:footnote w:id="2">
    <w:p w:rsidR="00EE2057" w:rsidRPr="0085207E" w:rsidP="0085207E" w14:paraId="37D0D55C" w14:textId="497F4DB5">
      <w:pPr>
        <w:pStyle w:val="FootnoteText"/>
        <w:ind w:left="567" w:hanging="567"/>
        <w:rPr>
          <w:sz w:val="24"/>
          <w:lang w:val="lv-LV"/>
        </w:rPr>
      </w:pPr>
      <w:r w:rsidRPr="0085207E">
        <w:rPr>
          <w:rStyle w:val="FootnoteReference"/>
          <w:sz w:val="24"/>
          <w:lang w:val="lv-LV"/>
        </w:rPr>
        <w:footnoteRef/>
      </w:r>
      <w:r w:rsidRPr="0085207E" w:rsidR="0085207E">
        <w:rPr>
          <w:sz w:val="24"/>
          <w:lang w:val="lv-LV"/>
        </w:rPr>
        <w:t xml:space="preserve"> </w:t>
      </w:r>
      <w:r w:rsidRPr="0085207E" w:rsidR="0085207E">
        <w:rPr>
          <w:sz w:val="24"/>
          <w:lang w:val="lv-LV"/>
        </w:rPr>
        <w:tab/>
      </w:r>
      <w:r w:rsidRPr="0085207E">
        <w:rPr>
          <w:sz w:val="24"/>
          <w:lang w:val="lv-LV"/>
        </w:rPr>
        <w:t xml:space="preserve">Tiesas 2008. gada 21. oktobra spriedumi, </w:t>
      </w:r>
      <w:r w:rsidRPr="0085207E">
        <w:rPr>
          <w:i/>
          <w:sz w:val="24"/>
          <w:lang w:val="lv-LV"/>
        </w:rPr>
        <w:t>Marra</w:t>
      </w:r>
      <w:r w:rsidRPr="0085207E">
        <w:rPr>
          <w:i/>
          <w:sz w:val="24"/>
          <w:lang w:val="lv-LV"/>
        </w:rPr>
        <w:t>/</w:t>
      </w:r>
      <w:r w:rsidRPr="0085207E">
        <w:rPr>
          <w:i/>
          <w:sz w:val="24"/>
          <w:lang w:val="lv-LV"/>
        </w:rPr>
        <w:t>De</w:t>
      </w:r>
      <w:r w:rsidRPr="0085207E">
        <w:rPr>
          <w:i/>
          <w:sz w:val="24"/>
          <w:lang w:val="lv-LV"/>
        </w:rPr>
        <w:t xml:space="preserve"> Gregorio</w:t>
      </w:r>
      <w:r w:rsidRPr="0085207E">
        <w:rPr>
          <w:sz w:val="24"/>
          <w:lang w:val="lv-LV"/>
        </w:rPr>
        <w:t xml:space="preserve"> un </w:t>
      </w:r>
      <w:r w:rsidRPr="0085207E">
        <w:rPr>
          <w:i/>
          <w:sz w:val="24"/>
          <w:lang w:val="lv-LV"/>
        </w:rPr>
        <w:t>Clemente</w:t>
      </w:r>
      <w:r w:rsidRPr="0085207E">
        <w:rPr>
          <w:sz w:val="24"/>
          <w:lang w:val="lv-LV"/>
        </w:rPr>
        <w:t xml:space="preserve">, C‑200/07 un C-201/07, ECLI:EU:C:2008:579; Tiesas 2010. gada 19. marta spriedums, </w:t>
      </w:r>
      <w:r w:rsidRPr="0085207E">
        <w:rPr>
          <w:i/>
          <w:sz w:val="24"/>
          <w:lang w:val="lv-LV"/>
        </w:rPr>
        <w:t>Gollnisch</w:t>
      </w:r>
      <w:r w:rsidRPr="0085207E">
        <w:rPr>
          <w:sz w:val="24"/>
          <w:lang w:val="lv-LV"/>
        </w:rPr>
        <w:t xml:space="preserve">/Parlaments, T-42/06, ECLI:EU:T:2010:102; Tiesas 2011. gada 6. septembra spriedums, </w:t>
      </w:r>
      <w:r w:rsidRPr="0085207E">
        <w:rPr>
          <w:i/>
          <w:sz w:val="24"/>
          <w:lang w:val="lv-LV"/>
        </w:rPr>
        <w:t>Patriciello</w:t>
      </w:r>
      <w:r w:rsidRPr="0085207E">
        <w:rPr>
          <w:sz w:val="24"/>
          <w:lang w:val="lv-LV"/>
        </w:rPr>
        <w:t xml:space="preserve">, C‑163/10, ECLI: EU:C:2011:543; Tiesas 2013. gada 17. janvāra spriedumi, </w:t>
      </w:r>
      <w:r w:rsidRPr="0085207E">
        <w:rPr>
          <w:i/>
          <w:sz w:val="24"/>
          <w:lang w:val="lv-LV"/>
        </w:rPr>
        <w:t>Gollnisch</w:t>
      </w:r>
      <w:r w:rsidRPr="0085207E">
        <w:rPr>
          <w:sz w:val="24"/>
          <w:lang w:val="lv-LV"/>
        </w:rPr>
        <w:t xml:space="preserve">/Parlaments, T-346/11 un T-347/11, ECLI:EU:T:2013:23; Tiesas 2019. gada 19. decembra spriedums, </w:t>
      </w:r>
      <w:r w:rsidRPr="0085207E">
        <w:rPr>
          <w:i/>
          <w:sz w:val="24"/>
          <w:lang w:val="lv-LV"/>
        </w:rPr>
        <w:t>Junqueras</w:t>
      </w:r>
      <w:r w:rsidRPr="0085207E">
        <w:rPr>
          <w:i/>
          <w:sz w:val="24"/>
          <w:lang w:val="lv-LV"/>
        </w:rPr>
        <w:t xml:space="preserve"> Vies</w:t>
      </w:r>
      <w:r w:rsidRPr="0085207E">
        <w:rPr>
          <w:sz w:val="24"/>
          <w:lang w:val="lv-LV"/>
        </w:rPr>
        <w:t>, C-502/19, ECLI:EU:C:2019:1115.</w:t>
      </w:r>
    </w:p>
  </w:footnote>
  <w:footnote w:id="3">
    <w:p w:rsidR="00EE2057" w:rsidRPr="0085207E" w:rsidP="0085207E" w14:paraId="6195F413" w14:textId="0AE748D8">
      <w:pPr>
        <w:pStyle w:val="FootnoteText"/>
        <w:ind w:left="567" w:hanging="567"/>
        <w:rPr>
          <w:sz w:val="24"/>
          <w:lang w:val="lv-LV"/>
        </w:rPr>
      </w:pPr>
      <w:r w:rsidRPr="0085207E">
        <w:rPr>
          <w:rStyle w:val="FootnoteReference"/>
          <w:sz w:val="24"/>
          <w:lang w:val="lv-LV"/>
        </w:rPr>
        <w:footnoteRef/>
      </w:r>
      <w:r w:rsidRPr="0085207E" w:rsidR="0085207E">
        <w:rPr>
          <w:sz w:val="24"/>
          <w:lang w:val="lv-LV"/>
        </w:rPr>
        <w:t xml:space="preserve"> </w:t>
      </w:r>
      <w:r w:rsidRPr="0085207E" w:rsidR="0085207E">
        <w:rPr>
          <w:sz w:val="24"/>
          <w:lang w:val="lv-LV"/>
        </w:rPr>
        <w:tab/>
      </w:r>
      <w:r w:rsidRPr="0085207E">
        <w:rPr>
          <w:sz w:val="24"/>
          <w:lang w:val="lv-LV"/>
        </w:rPr>
        <w:t xml:space="preserve">Vispārējās tiesas 2019. gada 30. aprīļa spriedums, </w:t>
      </w:r>
      <w:r w:rsidRPr="0085207E">
        <w:rPr>
          <w:i/>
          <w:sz w:val="24"/>
          <w:lang w:val="lv-LV"/>
        </w:rPr>
        <w:t>Briois</w:t>
      </w:r>
      <w:r w:rsidRPr="0085207E">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0DAA7C9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363AAC2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07E" w14:paraId="30D1543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0920042">
    <w:abstractNumId w:val="9"/>
  </w:num>
  <w:num w:numId="2" w16cid:durableId="157187593">
    <w:abstractNumId w:val="9"/>
  </w:num>
  <w:num w:numId="3" w16cid:durableId="1536893910">
    <w:abstractNumId w:val="7"/>
  </w:num>
  <w:num w:numId="4" w16cid:durableId="1715231456">
    <w:abstractNumId w:val="7"/>
  </w:num>
  <w:num w:numId="5" w16cid:durableId="1710179901">
    <w:abstractNumId w:val="6"/>
  </w:num>
  <w:num w:numId="6" w16cid:durableId="1359500901">
    <w:abstractNumId w:val="6"/>
  </w:num>
  <w:num w:numId="7" w16cid:durableId="253057286">
    <w:abstractNumId w:val="5"/>
  </w:num>
  <w:num w:numId="8" w16cid:durableId="350028940">
    <w:abstractNumId w:val="5"/>
  </w:num>
  <w:num w:numId="9" w16cid:durableId="1546866574">
    <w:abstractNumId w:val="4"/>
  </w:num>
  <w:num w:numId="10" w16cid:durableId="778338161">
    <w:abstractNumId w:val="4"/>
  </w:num>
  <w:num w:numId="11" w16cid:durableId="1584340258">
    <w:abstractNumId w:val="8"/>
  </w:num>
  <w:num w:numId="12" w16cid:durableId="85419298">
    <w:abstractNumId w:val="8"/>
  </w:num>
  <w:num w:numId="13" w16cid:durableId="591744663">
    <w:abstractNumId w:val="3"/>
  </w:num>
  <w:num w:numId="14" w16cid:durableId="424228127">
    <w:abstractNumId w:val="3"/>
  </w:num>
  <w:num w:numId="15" w16cid:durableId="862598201">
    <w:abstractNumId w:val="2"/>
  </w:num>
  <w:num w:numId="16" w16cid:durableId="1577326283">
    <w:abstractNumId w:val="2"/>
  </w:num>
  <w:num w:numId="17" w16cid:durableId="387462703">
    <w:abstractNumId w:val="1"/>
  </w:num>
  <w:num w:numId="18" w16cid:durableId="1447263953">
    <w:abstractNumId w:val="1"/>
  </w:num>
  <w:num w:numId="19" w16cid:durableId="1346400822">
    <w:abstractNumId w:val="0"/>
  </w:num>
  <w:num w:numId="20" w16cid:durableId="1046682060">
    <w:abstractNumId w:val="0"/>
  </w:num>
  <w:num w:numId="21" w16cid:durableId="185140697">
    <w:abstractNumId w:val="9"/>
  </w:num>
  <w:num w:numId="22" w16cid:durableId="939488529">
    <w:abstractNumId w:val="7"/>
  </w:num>
  <w:num w:numId="23" w16cid:durableId="1691446399">
    <w:abstractNumId w:val="6"/>
  </w:num>
  <w:num w:numId="24" w16cid:durableId="1685472281">
    <w:abstractNumId w:val="5"/>
  </w:num>
  <w:num w:numId="25" w16cid:durableId="1355762947">
    <w:abstractNumId w:val="4"/>
  </w:num>
  <w:num w:numId="26" w16cid:durableId="1790322902">
    <w:abstractNumId w:val="8"/>
  </w:num>
  <w:num w:numId="27" w16cid:durableId="2124300964">
    <w:abstractNumId w:val="3"/>
  </w:num>
  <w:num w:numId="28" w16cid:durableId="1489394941">
    <w:abstractNumId w:val="2"/>
  </w:num>
  <w:num w:numId="29" w16cid:durableId="1346635159">
    <w:abstractNumId w:val="1"/>
  </w:num>
  <w:num w:numId="30" w16cid:durableId="556815314">
    <w:abstractNumId w:val="0"/>
  </w:num>
  <w:num w:numId="31" w16cid:durableId="646012290">
    <w:abstractNumId w:val="9"/>
  </w:num>
  <w:num w:numId="32" w16cid:durableId="722799511">
    <w:abstractNumId w:val="7"/>
  </w:num>
  <w:num w:numId="33" w16cid:durableId="1214927274">
    <w:abstractNumId w:val="6"/>
  </w:num>
  <w:num w:numId="34" w16cid:durableId="1795632763">
    <w:abstractNumId w:val="5"/>
  </w:num>
  <w:num w:numId="35" w16cid:durableId="1485197771">
    <w:abstractNumId w:val="4"/>
  </w:num>
  <w:num w:numId="36" w16cid:durableId="1400668022">
    <w:abstractNumId w:val="8"/>
  </w:num>
  <w:num w:numId="37" w16cid:durableId="2052538294">
    <w:abstractNumId w:val="3"/>
  </w:num>
  <w:num w:numId="38" w16cid:durableId="1654063417">
    <w:abstractNumId w:val="2"/>
  </w:num>
  <w:num w:numId="39" w16cid:durableId="1079904306">
    <w:abstractNumId w:val="1"/>
  </w:num>
  <w:num w:numId="40" w16cid:durableId="1073627786">
    <w:abstractNumId w:val="0"/>
  </w:num>
  <w:num w:numId="41" w16cid:durableId="1859657215">
    <w:abstractNumId w:val="10"/>
  </w:num>
  <w:num w:numId="42" w16cid:durableId="1126313063">
    <w:abstractNumId w:val="10"/>
  </w:num>
  <w:num w:numId="43" w16cid:durableId="1934435547">
    <w:abstractNumId w:val="10"/>
  </w:num>
  <w:num w:numId="44" w16cid:durableId="324747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8CF"/>
    <w:rsid w:val="00002272"/>
    <w:rsid w:val="00064002"/>
    <w:rsid w:val="000677B9"/>
    <w:rsid w:val="000831BA"/>
    <w:rsid w:val="000A42CC"/>
    <w:rsid w:val="000E7DD9"/>
    <w:rsid w:val="0010095E"/>
    <w:rsid w:val="00125B37"/>
    <w:rsid w:val="00170EBD"/>
    <w:rsid w:val="00187494"/>
    <w:rsid w:val="001A08CF"/>
    <w:rsid w:val="001F32AE"/>
    <w:rsid w:val="002767FF"/>
    <w:rsid w:val="002B18FE"/>
    <w:rsid w:val="002B5493"/>
    <w:rsid w:val="00300D9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6A2"/>
    <w:rsid w:val="006631B6"/>
    <w:rsid w:val="00680577"/>
    <w:rsid w:val="006F74FA"/>
    <w:rsid w:val="00731ADD"/>
    <w:rsid w:val="00734777"/>
    <w:rsid w:val="00747932"/>
    <w:rsid w:val="00751A4A"/>
    <w:rsid w:val="00756632"/>
    <w:rsid w:val="00762C74"/>
    <w:rsid w:val="00786EC0"/>
    <w:rsid w:val="007D1690"/>
    <w:rsid w:val="007E22AD"/>
    <w:rsid w:val="00807E55"/>
    <w:rsid w:val="00817416"/>
    <w:rsid w:val="00842779"/>
    <w:rsid w:val="0085207E"/>
    <w:rsid w:val="00865F67"/>
    <w:rsid w:val="00881A7B"/>
    <w:rsid w:val="008840E5"/>
    <w:rsid w:val="00887B3E"/>
    <w:rsid w:val="008C2AC6"/>
    <w:rsid w:val="008E51F8"/>
    <w:rsid w:val="00930C23"/>
    <w:rsid w:val="0093193B"/>
    <w:rsid w:val="009509D8"/>
    <w:rsid w:val="00950B64"/>
    <w:rsid w:val="00981893"/>
    <w:rsid w:val="00A1687D"/>
    <w:rsid w:val="00A316EC"/>
    <w:rsid w:val="00A43E52"/>
    <w:rsid w:val="00A4678D"/>
    <w:rsid w:val="00A778C7"/>
    <w:rsid w:val="00AB441E"/>
    <w:rsid w:val="00AB6293"/>
    <w:rsid w:val="00AE0928"/>
    <w:rsid w:val="00AF3B82"/>
    <w:rsid w:val="00B0534B"/>
    <w:rsid w:val="00B12E95"/>
    <w:rsid w:val="00B22876"/>
    <w:rsid w:val="00B2439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057"/>
    <w:rsid w:val="00F04346"/>
    <w:rsid w:val="00F075DC"/>
    <w:rsid w:val="00F149E9"/>
    <w:rsid w:val="00F5134D"/>
    <w:rsid w:val="00F74202"/>
    <w:rsid w:val="00F87713"/>
    <w:rsid w:val="00FB4360"/>
    <w:rsid w:val="00FD0C70"/>
  </w:rsids>
  <w:docVars>
    <w:docVar w:name="dvdocse" w:val="A10-0154/2026"/>
    <w:docVar w:name="dvlangue" w:val="LV"/>
    <w:docVar w:name="dvnumam" w:val="0"/>
    <w:docVar w:name="dvpe" w:val="788.823"/>
    <w:docVar w:name="dvrapporteur" w:val="Referents: "/>
    <w:docVar w:name="dvtitre" w:val="Eiropas Parlamenta 2026. gada XX. XXX lēmums par pieprasījumu atcelt Fulvio Martusciello imunitāti(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949A45"/>
  <w15:chartTrackingRefBased/>
  <w15:docId w15:val="{20F06F67-F72C-4698-B60A-0CBCD80C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E2057"/>
    <w:rPr>
      <w:b/>
    </w:rPr>
  </w:style>
  <w:style w:type="paragraph" w:customStyle="1" w:styleId="NormalHanging12a">
    <w:name w:val="NormalHanging12a"/>
    <w:basedOn w:val="Normal"/>
    <w:rsid w:val="00EE2057"/>
    <w:pPr>
      <w:spacing w:after="240"/>
      <w:ind w:left="567" w:hanging="567"/>
    </w:pPr>
  </w:style>
  <w:style w:type="paragraph" w:customStyle="1" w:styleId="EPComma">
    <w:name w:val="EPComma"/>
    <w:basedOn w:val="Normal"/>
    <w:rsid w:val="00EE2057"/>
    <w:pPr>
      <w:spacing w:before="480" w:after="240"/>
    </w:pPr>
  </w:style>
  <w:style w:type="paragraph" w:styleId="Revision">
    <w:name w:val="Revision"/>
    <w:hidden/>
    <w:uiPriority w:val="99"/>
    <w:semiHidden/>
    <w:rsid w:val="00300D9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833</Words>
  <Characters>5403</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2026-06-16T11:24:00Z</dcterms:created>
  <dcterms:modified xsi:type="dcterms:W3CDTF">2026-06-16T11:24:00Z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A10-0154/2026</vt:lpwstr>
  </property>
  <property fmtid="{D5CDD505-2E9C-101B-9397-08002B2CF9AE}" pid="4" name="&lt;Type&gt;">
    <vt:lpwstr>RR</vt:lpwstr>
  </property>
</Properties>
</file>