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A035E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35E8" w:rsidP="0010095E" w14:paraId="0B1333C3" w14:textId="77777777">
            <w:pPr>
              <w:pStyle w:val="EPName"/>
            </w:pPr>
            <w:r w:rsidRPr="004B35E8">
              <w:t>Parlament Europejski</w:t>
            </w:r>
          </w:p>
          <w:p w:rsidR="00751A4A" w:rsidRPr="004B35E8" w:rsidP="005F1B17" w14:paraId="7AB5800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35E8">
              <w:t>2024</w:t>
            </w:r>
            <w:r w:rsidRPr="004B35E8" w:rsidR="00817416">
              <w:t>-202</w:t>
            </w:r>
            <w:r w:rsidRPr="004B35E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B35E8" w:rsidP="0010095E" w14:paraId="1FFE661D" w14:textId="77777777">
            <w:pPr>
              <w:pStyle w:val="EPLogo"/>
            </w:pPr>
            <w:r w:rsidRPr="004B35E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35E8" w:rsidP="004C5D52" w14:paraId="064006A8" w14:textId="77777777">
      <w:pPr>
        <w:pStyle w:val="LineTop"/>
      </w:pPr>
    </w:p>
    <w:p w:rsidR="00680577" w:rsidRPr="004B35E8" w:rsidP="00680577" w14:paraId="614C0FB4" w14:textId="77777777">
      <w:pPr>
        <w:pStyle w:val="EPBodyTA1"/>
      </w:pPr>
      <w:r w:rsidRPr="004B35E8">
        <w:t>TEKSTY PRZYJĘTE</w:t>
      </w:r>
    </w:p>
    <w:p w:rsidR="00D058B8" w:rsidRPr="004B35E8" w:rsidP="00D058B8" w14:paraId="3E0360D4" w14:textId="77777777">
      <w:pPr>
        <w:pStyle w:val="LineBottom"/>
      </w:pPr>
    </w:p>
    <w:p w:rsidR="00F11CBC" w:rsidRPr="004B35E8" w:rsidP="00F11CBC" w14:paraId="22A68932" w14:textId="5E72726F">
      <w:pPr>
        <w:pStyle w:val="ATHeading1"/>
      </w:pPr>
      <w:bookmarkStart w:id="0" w:name="TANumber"/>
      <w:r w:rsidRPr="004B35E8">
        <w:t>P10_TA(2026)0</w:t>
      </w:r>
      <w:r w:rsidR="008A7008">
        <w:t>194</w:t>
      </w:r>
      <w:bookmarkEnd w:id="0"/>
    </w:p>
    <w:p w:rsidR="00F11CBC" w:rsidRPr="004B35E8" w:rsidP="00F11CBC" w14:paraId="69EA1762" w14:textId="77777777">
      <w:pPr>
        <w:pStyle w:val="ATHeading2"/>
      </w:pPr>
      <w:bookmarkStart w:id="1" w:name="title"/>
      <w:r w:rsidRPr="004B35E8">
        <w:t xml:space="preserve">Wniosek o uchylenie immunitetu </w:t>
      </w:r>
      <w:r w:rsidRPr="004B35E8">
        <w:t>Fulvia</w:t>
      </w:r>
      <w:r w:rsidRPr="004B35E8">
        <w:t xml:space="preserve"> </w:t>
      </w:r>
      <w:r w:rsidRPr="004B35E8">
        <w:t>Martusciella</w:t>
      </w:r>
      <w:bookmarkEnd w:id="1"/>
    </w:p>
    <w:p w:rsidR="00F11CBC" w:rsidRPr="004B35E8" w:rsidP="00F11CBC" w14:paraId="548FEABC" w14:textId="77777777">
      <w:pPr>
        <w:rPr>
          <w:i/>
          <w:vanish/>
        </w:rPr>
      </w:pPr>
      <w:r>
        <w:rPr>
          <w:i/>
        </w:rPr>
        <w:fldChar w:fldCharType="begin"/>
      </w:r>
      <w:r w:rsidRPr="004B35E8">
        <w:rPr>
          <w:i/>
        </w:rPr>
        <w:instrText xml:space="preserve"> TC"(</w:instrText>
      </w:r>
      <w:bookmarkStart w:id="2" w:name="DocNumber"/>
      <w:r w:rsidRPr="004B35E8">
        <w:rPr>
          <w:i/>
        </w:rPr>
        <w:instrText>A10-0154/2026</w:instrText>
      </w:r>
      <w:bookmarkEnd w:id="2"/>
      <w:r w:rsidRPr="004B35E8">
        <w:rPr>
          <w:i/>
        </w:rPr>
        <w:instrText xml:space="preserve"> - Sprawozdawca: Dominik Tarczyński)"\l3 \n&gt; \* MERGEFORMAT </w:instrText>
      </w:r>
      <w:r>
        <w:rPr>
          <w:i/>
        </w:rPr>
        <w:fldChar w:fldCharType="end"/>
      </w:r>
    </w:p>
    <w:p w:rsidR="00F11CBC" w:rsidRPr="004B35E8" w:rsidP="00F11CBC" w14:paraId="302D09DC" w14:textId="77777777">
      <w:pPr>
        <w:rPr>
          <w:vanish/>
        </w:rPr>
      </w:pPr>
      <w:bookmarkStart w:id="3" w:name="Commission"/>
      <w:r w:rsidRPr="004B35E8">
        <w:rPr>
          <w:vanish/>
        </w:rPr>
        <w:t>Komisja Prawna</w:t>
      </w:r>
      <w:bookmarkEnd w:id="3"/>
    </w:p>
    <w:p w:rsidR="00F11CBC" w:rsidRPr="004B35E8" w:rsidP="00F11CBC" w14:paraId="4AE01569" w14:textId="77777777">
      <w:pPr>
        <w:rPr>
          <w:vanish/>
        </w:rPr>
      </w:pPr>
      <w:bookmarkStart w:id="4" w:name="PE"/>
      <w:r w:rsidRPr="004B35E8">
        <w:rPr>
          <w:vanish/>
        </w:rPr>
        <w:t>PE788.823</w:t>
      </w:r>
      <w:bookmarkEnd w:id="4"/>
    </w:p>
    <w:p w:rsidR="00F11CBC" w:rsidRPr="004B35E8" w:rsidP="00F11CBC" w14:paraId="11A24AD8" w14:textId="63505A67">
      <w:pPr>
        <w:pStyle w:val="ATHeading3"/>
      </w:pPr>
      <w:bookmarkStart w:id="5" w:name="Sujet"/>
      <w:r w:rsidRPr="004B35E8">
        <w:t xml:space="preserve">Decyzja Parlamentu Europejskiego z dnia </w:t>
      </w:r>
      <w:r w:rsidR="00D35CC6">
        <w:t>16 czerwca</w:t>
      </w:r>
      <w:r w:rsidRPr="004B35E8">
        <w:t xml:space="preserve"> 2026 r. w sprawie wniosku o uchylenie immunitetu </w:t>
      </w:r>
      <w:r w:rsidRPr="004B35E8">
        <w:t>Fulvia</w:t>
      </w:r>
      <w:r w:rsidRPr="004B35E8">
        <w:t xml:space="preserve"> </w:t>
      </w:r>
      <w:r w:rsidRPr="004B35E8">
        <w:t>Martusciellego</w:t>
      </w:r>
      <w:bookmarkEnd w:id="5"/>
      <w:r w:rsidRPr="004B35E8">
        <w:t xml:space="preserve"> </w:t>
      </w:r>
      <w:bookmarkStart w:id="6" w:name="References"/>
      <w:r w:rsidRPr="004B35E8">
        <w:t>(2025/2099(IMM))</w:t>
      </w:r>
      <w:bookmarkEnd w:id="6"/>
    </w:p>
    <w:p w:rsidR="005701DF" w:rsidRPr="004B35E8" w:rsidP="005701DF" w14:paraId="3BFEEF1F" w14:textId="77777777">
      <w:pPr>
        <w:pStyle w:val="EPComma"/>
      </w:pPr>
      <w:bookmarkStart w:id="7" w:name="TextBodyBegin"/>
      <w:bookmarkEnd w:id="7"/>
      <w:r w:rsidRPr="004B35E8">
        <w:rPr>
          <w:i/>
          <w:iCs/>
        </w:rPr>
        <w:t>Parlament Europejski,</w:t>
      </w:r>
    </w:p>
    <w:p w:rsidR="005701DF" w:rsidRPr="004B35E8" w:rsidP="005701DF" w14:paraId="3E283E52" w14:textId="2497B54D">
      <w:pPr>
        <w:pStyle w:val="NormalHanging12a"/>
      </w:pPr>
      <w:r w:rsidRPr="004B35E8">
        <w:t>–</w:t>
      </w:r>
      <w:r w:rsidRPr="004B35E8">
        <w:tab/>
        <w:t xml:space="preserve">uwzględniając wniosek o uchylenie immunitetu </w:t>
      </w:r>
      <w:r w:rsidRPr="004B35E8">
        <w:t>Fulvia</w:t>
      </w:r>
      <w:r w:rsidRPr="004B35E8">
        <w:t xml:space="preserve"> </w:t>
      </w:r>
      <w:r w:rsidRPr="004B35E8">
        <w:t>Martusciellego</w:t>
      </w:r>
      <w:r w:rsidRPr="004B35E8">
        <w:t xml:space="preserve">, otrzymany pismem z </w:t>
      </w:r>
      <w:r w:rsidR="005E0216">
        <w:t xml:space="preserve">dnia </w:t>
      </w:r>
      <w:r w:rsidRPr="004B35E8">
        <w:t xml:space="preserve">6 maja 2025 r. od belgijskiego ministerstwa federalnego spraw zagranicznych, handlu zagranicznego i współpracy na rzecz rozwoju, przekazującym wniosek belgijskiej prokuratury federalnej z </w:t>
      </w:r>
      <w:r w:rsidR="005E0216">
        <w:t xml:space="preserve">dnia </w:t>
      </w:r>
      <w:r w:rsidRPr="004B35E8">
        <w:t xml:space="preserve">16 kwietnia 2025 r. w związku z postępowaniem karnym, które ma zostać wszczęte przeciwko niemu, ogłoszony w Parlamencie </w:t>
      </w:r>
      <w:r w:rsidR="005E0216">
        <w:t xml:space="preserve">dnia </w:t>
      </w:r>
      <w:r w:rsidRPr="004B35E8">
        <w:t>21 maja 2025 r.,</w:t>
      </w:r>
    </w:p>
    <w:p w:rsidR="005701DF" w:rsidRPr="004B35E8" w:rsidP="005701DF" w14:paraId="28EBA343" w14:textId="70845BC7">
      <w:pPr>
        <w:pStyle w:val="NormalHanging12a"/>
        <w:rPr>
          <w:bCs/>
        </w:rPr>
      </w:pPr>
      <w:r w:rsidRPr="004B35E8">
        <w:t>–</w:t>
      </w:r>
      <w:r w:rsidRPr="004B35E8">
        <w:tab/>
        <w:t xml:space="preserve">po wysłuchaniu wyjaśnień </w:t>
      </w:r>
      <w:r w:rsidRPr="004B35E8">
        <w:t>Fulvia</w:t>
      </w:r>
      <w:r w:rsidRPr="004B35E8">
        <w:t xml:space="preserve"> </w:t>
      </w:r>
      <w:r w:rsidRPr="004B35E8">
        <w:t>Martusciellego</w:t>
      </w:r>
      <w:r w:rsidR="005E0216">
        <w:t xml:space="preserve"> w dniu 24 marca 2026 r.</w:t>
      </w:r>
      <w:r w:rsidRPr="004B35E8">
        <w:t>, zgodnie z art. 9 ust. 6 Regulaminu,</w:t>
      </w:r>
    </w:p>
    <w:p w:rsidR="005701DF" w:rsidRPr="004B35E8" w:rsidP="005701DF" w14:paraId="72E30226" w14:textId="2D11A027">
      <w:pPr>
        <w:pStyle w:val="NormalHanging12a"/>
      </w:pPr>
      <w:r w:rsidRPr="004B35E8">
        <w:t>–</w:t>
      </w:r>
      <w:r w:rsidRPr="004B35E8">
        <w:tab/>
        <w:t xml:space="preserve">uwzględniając art. 8 i 9 Protokołu nr 7 w sprawie przywilejów i immunitetów Unii Europejskiej, jak również art. 6 ust. 2 aktu dotyczącego </w:t>
      </w:r>
      <w:r w:rsidR="005E0216">
        <w:t>wyboru</w:t>
      </w:r>
      <w:r w:rsidRPr="004B35E8" w:rsidR="005E0216">
        <w:t xml:space="preserve"> </w:t>
      </w:r>
      <w:r w:rsidR="005E0216">
        <w:t>członków</w:t>
      </w:r>
      <w:r w:rsidRPr="004B35E8">
        <w:t xml:space="preserve"> Parlamentu Europejskiego w powszechnych wyborach bezpośrednich</w:t>
      </w:r>
      <w:r w:rsidRPr="005E0216" w:rsidR="005E0216">
        <w:t xml:space="preserve"> </w:t>
      </w:r>
      <w:r w:rsidRPr="004B35E8" w:rsidR="005E0216">
        <w:t xml:space="preserve">z </w:t>
      </w:r>
      <w:r w:rsidR="005E0216">
        <w:t xml:space="preserve">dnia </w:t>
      </w:r>
      <w:r w:rsidRPr="004B35E8" w:rsidR="005E0216">
        <w:t>20 września 1976 r.</w:t>
      </w:r>
      <w:r w:rsidRPr="004B35E8">
        <w:t>,</w:t>
      </w:r>
    </w:p>
    <w:p w:rsidR="005701DF" w:rsidRPr="004B35E8" w:rsidP="005701DF" w14:paraId="09D67095" w14:textId="5C15E28C">
      <w:pPr>
        <w:pStyle w:val="NormalHanging12a"/>
      </w:pPr>
      <w:r w:rsidRPr="004B35E8">
        <w:t>–</w:t>
      </w:r>
      <w:r w:rsidRPr="004B35E8">
        <w:tab/>
        <w:t xml:space="preserve">uwzględniając wyroki wydane przez Trybunał Sprawiedliwości Unii Europejskiej </w:t>
      </w:r>
      <w:r w:rsidR="005E0216">
        <w:t xml:space="preserve">w dniach </w:t>
      </w:r>
      <w:r w:rsidRPr="004B35E8">
        <w:t>21 października 2008 r., 19 marca 2010 r., 6 września 2011 r., 17 stycznia 2013 r. i 19 grudnia 2019 r.</w:t>
      </w:r>
      <w:r>
        <w:rPr>
          <w:vertAlign w:val="superscript"/>
        </w:rPr>
        <w:footnoteReference w:id="2"/>
      </w:r>
      <w:r w:rsidRPr="004B35E8">
        <w:t>,</w:t>
      </w:r>
    </w:p>
    <w:p w:rsidR="005701DF" w:rsidRPr="004B35E8" w:rsidP="005701DF" w14:paraId="02A9B283" w14:textId="77777777">
      <w:pPr>
        <w:pStyle w:val="NormalHanging12a"/>
      </w:pPr>
      <w:r w:rsidRPr="004B35E8">
        <w:t>–</w:t>
      </w:r>
      <w:r w:rsidRPr="004B35E8">
        <w:tab/>
        <w:t>uwzględniając art. 5 ust. 2, art. 6 ust. 1 oraz art. 9 Regulaminu,</w:t>
      </w:r>
    </w:p>
    <w:p w:rsidR="005701DF" w:rsidRPr="004B35E8" w:rsidP="005701DF" w14:paraId="43320FC6" w14:textId="77777777">
      <w:pPr>
        <w:pStyle w:val="NormalHanging12a"/>
      </w:pPr>
      <w:r w:rsidRPr="004B35E8">
        <w:t>–</w:t>
      </w:r>
      <w:r w:rsidRPr="004B35E8">
        <w:tab/>
        <w:t>uwzględniając sprawozdanie Komisji Prawnej (A10-0154/2026),</w:t>
      </w:r>
    </w:p>
    <w:p w:rsidR="005701DF" w:rsidRPr="004B35E8" w:rsidP="005701DF" w14:paraId="72940402" w14:textId="128A4B62">
      <w:pPr>
        <w:pStyle w:val="NormalHanging12a"/>
      </w:pPr>
      <w:r w:rsidRPr="004B35E8">
        <w:t>A.</w:t>
      </w:r>
      <w:r w:rsidRPr="004B35E8">
        <w:tab/>
      </w:r>
      <w:bookmarkStart w:id="8" w:name="_Hlk223949138"/>
      <w:r w:rsidRPr="004B35E8">
        <w:t xml:space="preserve">mając na uwadze, że </w:t>
      </w:r>
      <w:r w:rsidR="005E0216">
        <w:t xml:space="preserve">dnia 6 maja 2025 r. </w:t>
      </w:r>
      <w:r w:rsidRPr="003B1655" w:rsidR="005E0216">
        <w:t>ministerstw</w:t>
      </w:r>
      <w:r w:rsidR="005E0216">
        <w:t>o</w:t>
      </w:r>
      <w:r w:rsidRPr="003B1655" w:rsidR="005E0216">
        <w:t xml:space="preserve"> federalne spraw zagranicznych, handlu zagranicznego i współpracy na rzecz rozwoju</w:t>
      </w:r>
      <w:r w:rsidR="005E0216">
        <w:t xml:space="preserve"> przekazało</w:t>
      </w:r>
      <w:r w:rsidRPr="003B1655" w:rsidR="005E0216">
        <w:t xml:space="preserve"> wniosek </w:t>
      </w:r>
      <w:r w:rsidR="005E0216">
        <w:t xml:space="preserve">prokuratora federalnego z dnia </w:t>
      </w:r>
      <w:r w:rsidRPr="004B35E8">
        <w:t xml:space="preserve">16 kwietnia 2025 r. o uchylenie immunitetu </w:t>
      </w:r>
      <w:r w:rsidRPr="004B35E8">
        <w:t>Fulvia</w:t>
      </w:r>
      <w:r w:rsidRPr="004B35E8">
        <w:t xml:space="preserve"> </w:t>
      </w:r>
      <w:r w:rsidRPr="004B35E8">
        <w:t>Martusciellego</w:t>
      </w:r>
      <w:r w:rsidRPr="004B35E8">
        <w:t>, posła do Parlamentu Europejskiego wybranego we Włoszech, w związku z postępowaniem karnym, które ma zostać przeciwko niemu wszczęte w związku z zarzucaną mu korupcją;</w:t>
      </w:r>
      <w:bookmarkStart w:id="9" w:name="_Hlk210982066"/>
      <w:bookmarkEnd w:id="8"/>
      <w:bookmarkEnd w:id="9"/>
    </w:p>
    <w:p w:rsidR="005701DF" w:rsidRPr="004B35E8" w:rsidP="005701DF" w14:paraId="336AB2D8" w14:textId="04FB51EC">
      <w:pPr>
        <w:pStyle w:val="NormalHanging12a"/>
      </w:pPr>
      <w:r w:rsidRPr="004B35E8">
        <w:t>B.</w:t>
      </w:r>
      <w:r w:rsidRPr="004B35E8">
        <w:tab/>
      </w:r>
      <w:bookmarkStart w:id="10" w:name="_Hlk223949179"/>
      <w:r w:rsidRPr="004B35E8">
        <w:t xml:space="preserve">mając na uwadze, że szeroko zakrojone </w:t>
      </w:r>
      <w:r w:rsidR="00603B39">
        <w:t>postępowanie przygotowawcze</w:t>
      </w:r>
      <w:r w:rsidRPr="004B35E8" w:rsidR="00603B39">
        <w:t xml:space="preserve"> </w:t>
      </w:r>
      <w:r w:rsidRPr="004B35E8">
        <w:t xml:space="preserve">dotyczące spółki </w:t>
      </w:r>
      <w:r w:rsidRPr="004B35E8">
        <w:t>Huawei</w:t>
      </w:r>
      <w:r w:rsidRPr="004B35E8">
        <w:t xml:space="preserve"> dostarczyło, jak się wydaje, poważne dowody na istnienie organizacji przestępczej, której celem miało być wywieranie wpływu na decyzje instytucji </w:t>
      </w:r>
      <w:r w:rsidR="005E0216">
        <w:t>Unii</w:t>
      </w:r>
      <w:r w:rsidRPr="004B35E8" w:rsidR="005E0216">
        <w:t xml:space="preserve"> </w:t>
      </w:r>
      <w:r w:rsidRPr="004B35E8">
        <w:t xml:space="preserve">poprzez korumpowanie posłów do Parlamentu Europejskiego; mając na uwadze, że </w:t>
      </w:r>
      <w:r w:rsidR="00603B39">
        <w:t>to postępowanie przygotowawcze</w:t>
      </w:r>
      <w:r w:rsidRPr="004B35E8">
        <w:t xml:space="preserve"> miało ujawnić szereg czynów korupcyjnych, które miały być popełniane regularnie w latach 2021–2024; mając na uwadze, że mechanizm korupcyjny miał przybierać różne formy, w tym zapraszanie posłów do Parlamentu Europejskiego na wydarzenia wspierane przez </w:t>
      </w:r>
      <w:r w:rsidRPr="004B35E8">
        <w:t>Huawei</w:t>
      </w:r>
      <w:r w:rsidRPr="004B35E8">
        <w:t xml:space="preserve"> w zamian, jak się zarzuca, za zajmowanie stanowisk politycznych korzystnych dla tej spółki, czy też prezenty o nadmiernej wartości, takie jak koszty wyżywienia i podróży lub regularne zaproszenia na mecze piłki nożnej niezwiązane z działalnością Parlamentu Europejskiego;</w:t>
      </w:r>
      <w:bookmarkEnd w:id="10"/>
    </w:p>
    <w:p w:rsidR="005701DF" w:rsidRPr="004B35E8" w:rsidP="005701DF" w14:paraId="1F5BD486" w14:textId="21EDC5F7">
      <w:pPr>
        <w:pStyle w:val="NormalHanging12a"/>
      </w:pPr>
      <w:bookmarkStart w:id="11" w:name="_Hlk223949214"/>
      <w:r w:rsidRPr="004B35E8">
        <w:t>C.</w:t>
      </w:r>
      <w:r w:rsidRPr="004B35E8">
        <w:tab/>
        <w:t xml:space="preserve">mając na uwadze, że zgodnie z wnioskiem o uchylenie immunitetu w lutym 2021 r. kilku posłów do Parlamentu Europejskiego wysłało pismo do trzech komisarzy, aby wywrzeć wpływ na politykę </w:t>
      </w:r>
      <w:r w:rsidR="007D0A32">
        <w:t>Unii</w:t>
      </w:r>
      <w:r w:rsidRPr="004B35E8" w:rsidR="007D0A32">
        <w:t xml:space="preserve"> </w:t>
      </w:r>
      <w:r w:rsidRPr="004B35E8">
        <w:t xml:space="preserve">w zakresie wprowadzania sieci 5G w Europie, w szczególności w związku ze wsparciem dla przedsiębiorstw spoza </w:t>
      </w:r>
      <w:r w:rsidR="007D0A32">
        <w:t>Unii</w:t>
      </w:r>
      <w:r w:rsidRPr="004B35E8">
        <w:t xml:space="preserve">, takich jak </w:t>
      </w:r>
      <w:r w:rsidRPr="004B35E8">
        <w:t>Huawei</w:t>
      </w:r>
      <w:r w:rsidRPr="004B35E8">
        <w:t xml:space="preserve">; mając na uwadze, że </w:t>
      </w:r>
      <w:r w:rsidR="007D0A32">
        <w:t xml:space="preserve">wydaje się, iż </w:t>
      </w:r>
      <w:r w:rsidR="00603B39">
        <w:t>postępowanie przygotowawcze</w:t>
      </w:r>
      <w:r w:rsidRPr="004B35E8" w:rsidR="00603B39">
        <w:t xml:space="preserve"> </w:t>
      </w:r>
      <w:r w:rsidRPr="004B35E8">
        <w:t xml:space="preserve">pozwoliło ujawnić, że istniał wyraźny ciąg zdarzeń od czasu napisania pisma do jego rozpowszechnienia, oddźwięku i rozliczenia, co wydaje się potwierdzać, że pismo było elementem układu, który wykraczał poza wywieranie wpływu lub lobbing i miał stanowić zmowę korupcyjną; mając na uwadze, że </w:t>
      </w:r>
      <w:r w:rsidR="007D0A32">
        <w:t>zarzuca się, iż</w:t>
      </w:r>
      <w:r w:rsidRPr="004B35E8">
        <w:t xml:space="preserve"> głównym orędownikiem zredagowania pisma był </w:t>
      </w:r>
      <w:r w:rsidRPr="004B35E8">
        <w:t>Fulvio</w:t>
      </w:r>
      <w:r w:rsidRPr="004B35E8">
        <w:t xml:space="preserve"> </w:t>
      </w:r>
      <w:r w:rsidRPr="004B35E8">
        <w:t>Martusciello</w:t>
      </w:r>
      <w:r w:rsidRPr="004B35E8">
        <w:t xml:space="preserve">, który jest jego pierwszym sygnatariuszem i który za udział w korupcji dotyczącej wywierania wpływu politycznego miał otrzymać wynagrodzenie z wykorzystaniem złożonych obiegów środków finansowych mających na celu ukrycie </w:t>
      </w:r>
      <w:r w:rsidR="007D0A32">
        <w:t>zarzucanej</w:t>
      </w:r>
      <w:r w:rsidRPr="004B35E8" w:rsidR="007D0A32">
        <w:t xml:space="preserve"> </w:t>
      </w:r>
      <w:r w:rsidRPr="004B35E8">
        <w:t>zmowy korupcyjnej;</w:t>
      </w:r>
    </w:p>
    <w:p w:rsidR="005701DF" w:rsidRPr="004B35E8" w:rsidP="005701DF" w14:paraId="20F4DA2B" w14:textId="4F4A00A6">
      <w:pPr>
        <w:pStyle w:val="NormalHanging12a"/>
      </w:pPr>
      <w:r w:rsidRPr="004B35E8">
        <w:t>D.</w:t>
      </w:r>
      <w:r w:rsidRPr="004B35E8">
        <w:tab/>
      </w:r>
      <w:bookmarkEnd w:id="11"/>
      <w:r w:rsidRPr="004B35E8">
        <w:t xml:space="preserve">mając na uwadze, że </w:t>
      </w:r>
      <w:r w:rsidRPr="004B35E8">
        <w:t>Fulviowi</w:t>
      </w:r>
      <w:r w:rsidRPr="004B35E8">
        <w:t xml:space="preserve"> </w:t>
      </w:r>
      <w:r w:rsidRPr="004B35E8">
        <w:t>Martusciellemu</w:t>
      </w:r>
      <w:r w:rsidRPr="004B35E8">
        <w:t xml:space="preserve"> zarzuca się również aktywny udział w propagowaniu interesów </w:t>
      </w:r>
      <w:r w:rsidRPr="004B35E8">
        <w:t>Huawei</w:t>
      </w:r>
      <w:r w:rsidR="007D0A32">
        <w:t xml:space="preserve">, </w:t>
      </w:r>
      <w:r w:rsidRPr="004B35E8">
        <w:t xml:space="preserve">prawdopodobnie w ramach </w:t>
      </w:r>
      <w:r w:rsidR="007D0A32">
        <w:t>zarzucanej</w:t>
      </w:r>
      <w:r w:rsidRPr="004B35E8" w:rsidR="007D0A32">
        <w:t xml:space="preserve"> </w:t>
      </w:r>
      <w:r w:rsidRPr="004B35E8">
        <w:t xml:space="preserve">zmowy korupcyjnej, gdyż złożył on poprawki do projektu rezolucji w sprawie polityki konkurencji </w:t>
      </w:r>
      <w:r w:rsidR="007D0A32">
        <w:t>Unii</w:t>
      </w:r>
      <w:r w:rsidRPr="004B35E8">
        <w:t xml:space="preserve">, które, jak się wydaje, zostały sformułowane w interesie </w:t>
      </w:r>
      <w:r w:rsidRPr="004B35E8">
        <w:t>Huawei</w:t>
      </w:r>
      <w:r w:rsidRPr="004B35E8">
        <w:t xml:space="preserve"> i sporządzone w okresie od stycznia 2021 r. do marca 2021 r. – tj. w tym samym czasie co zredagowanie i rozpowszechnienie pisma</w:t>
      </w:r>
      <w:r w:rsidR="007D0A32">
        <w:t>, o którym mowa w motywie C</w:t>
      </w:r>
      <w:r w:rsidRPr="004B35E8">
        <w:t xml:space="preserve"> – oraz ułatwił studentom ze swojego okręgu wyborczego udział w Akademii </w:t>
      </w:r>
      <w:r w:rsidRPr="004B35E8">
        <w:t>Huawei</w:t>
      </w:r>
      <w:r w:rsidRPr="004B35E8">
        <w:t>, aby uzyskać głosy umożliwiające mu ponowny wybór do Parlamentu;</w:t>
      </w:r>
    </w:p>
    <w:p w:rsidR="005701DF" w:rsidRPr="004B35E8" w:rsidP="005701DF" w14:paraId="6C627404" w14:textId="6507B19A">
      <w:pPr>
        <w:pStyle w:val="NormalHanging12a"/>
      </w:pPr>
      <w:bookmarkStart w:id="12" w:name="_Hlk223949297"/>
      <w:r w:rsidRPr="004B35E8">
        <w:t>E.</w:t>
      </w:r>
      <w:r w:rsidRPr="004B35E8">
        <w:tab/>
        <w:t xml:space="preserve">mając na uwadze, że </w:t>
      </w:r>
      <w:r w:rsidRPr="004B35E8">
        <w:t>Fulvio</w:t>
      </w:r>
      <w:r w:rsidRPr="004B35E8">
        <w:t xml:space="preserve"> </w:t>
      </w:r>
      <w:r w:rsidRPr="004B35E8">
        <w:t>Martusciello</w:t>
      </w:r>
      <w:r w:rsidRPr="004B35E8">
        <w:t xml:space="preserve"> został ponownie wybrany do Parlamentu Europejskiego w wyborach europejskich w czerwcu 2024 r.</w:t>
      </w:r>
      <w:r w:rsidR="007D0A32">
        <w:t>, a zatem</w:t>
      </w:r>
      <w:r w:rsidRPr="004B35E8">
        <w:t xml:space="preserve"> w czasie popełniania zarzucanych czynów był posłem do Parlamentu Europejskiego;</w:t>
      </w:r>
    </w:p>
    <w:p w:rsidR="005701DF" w:rsidRPr="004B35E8" w:rsidP="005701DF" w14:paraId="1809B9D6" w14:textId="09440F49">
      <w:pPr>
        <w:pStyle w:val="NormalHanging12a"/>
      </w:pPr>
      <w:r w:rsidRPr="004B35E8">
        <w:t>F.</w:t>
      </w:r>
      <w:r w:rsidRPr="004B35E8">
        <w:tab/>
      </w:r>
      <w:r w:rsidRPr="00754C47" w:rsidR="00C40D04">
        <w:t xml:space="preserve">mając na uwadze, że Parlamentu nie można uznawać za sąd, a </w:t>
      </w:r>
      <w:r w:rsidR="00C40D04">
        <w:t xml:space="preserve">– </w:t>
      </w:r>
      <w:r w:rsidRPr="00754C47" w:rsidR="00C40D04">
        <w:t xml:space="preserve">w kontekście procedury </w:t>
      </w:r>
      <w:r w:rsidRPr="00754C47" w:rsidR="00C40D04">
        <w:t xml:space="preserve">uchylenia immunitetu </w:t>
      </w:r>
      <w:r w:rsidR="00C40D04">
        <w:t xml:space="preserve">– </w:t>
      </w:r>
      <w:r w:rsidRPr="00754C47" w:rsidR="00C40D04">
        <w:t xml:space="preserve">posła </w:t>
      </w:r>
      <w:r w:rsidR="00C40D04">
        <w:t>nie można uznawać</w:t>
      </w:r>
      <w:r w:rsidRPr="00754C47" w:rsidR="00C40D04">
        <w:t xml:space="preserve"> za „oskarżonego”</w:t>
      </w:r>
      <w:r>
        <w:rPr>
          <w:vertAlign w:val="superscript"/>
        </w:rPr>
        <w:footnoteReference w:id="3"/>
      </w:r>
      <w:r w:rsidRPr="004B35E8">
        <w:t>;</w:t>
      </w:r>
    </w:p>
    <w:p w:rsidR="005701DF" w:rsidRPr="004B35E8" w:rsidP="005701DF" w14:paraId="482B0E4C" w14:textId="2D1913D1">
      <w:pPr>
        <w:pStyle w:val="NormalHanging12a"/>
      </w:pPr>
      <w:r w:rsidRPr="004B35E8">
        <w:t>G.</w:t>
      </w:r>
      <w:r w:rsidRPr="004B35E8">
        <w:tab/>
        <w:t xml:space="preserve">mając na uwadze, że immunitet parlamentarny, o którym mowa w </w:t>
      </w:r>
      <w:r w:rsidR="007D0A32">
        <w:t>P</w:t>
      </w:r>
      <w:r w:rsidRPr="004B35E8">
        <w:t xml:space="preserve">rotokole nr 7 w sprawie przywilejów i immunitetów Unii Europejskiej, ma chronić Parlament i posłów do niego przed postępowaniami sądowymi w związku z działaniami podejmowanymi w ramach wykonywania obowiązków parlamentarnych i </w:t>
      </w:r>
      <w:r w:rsidR="007D0A32">
        <w:t>niemożliwymi</w:t>
      </w:r>
      <w:r w:rsidRPr="004B35E8" w:rsidR="007D0A32">
        <w:t xml:space="preserve"> </w:t>
      </w:r>
      <w:r w:rsidRPr="004B35E8">
        <w:t>do oddzielenia od tych obowiązków;</w:t>
      </w:r>
    </w:p>
    <w:p w:rsidR="005701DF" w:rsidRPr="004B35E8" w:rsidP="005701DF" w14:paraId="36D0655B" w14:textId="361A0474">
      <w:pPr>
        <w:pStyle w:val="NormalHanging12a"/>
      </w:pPr>
      <w:r w:rsidRPr="004B35E8">
        <w:t>H.</w:t>
      </w:r>
      <w:r w:rsidRPr="004B35E8">
        <w:tab/>
        <w:t xml:space="preserve">mając na uwadze, że zgodnie z art. 5 ust. 2 Regulaminu immunitet parlamentarny nie jest osobistym przywilejem posła, lecz gwarancją niezależności Parlamentu Europejskiego jako całości oraz jego </w:t>
      </w:r>
      <w:r w:rsidR="00EA39C5">
        <w:t>członków</w:t>
      </w:r>
      <w:r w:rsidRPr="004B35E8">
        <w:t>;</w:t>
      </w:r>
    </w:p>
    <w:p w:rsidR="005701DF" w:rsidRPr="004B35E8" w:rsidP="005701DF" w14:paraId="73CD358A" w14:textId="71A9CD3C">
      <w:pPr>
        <w:pStyle w:val="NormalHanging12a"/>
      </w:pPr>
      <w:r w:rsidRPr="004B35E8">
        <w:t>I.</w:t>
      </w:r>
      <w:r w:rsidRPr="004B35E8">
        <w:tab/>
        <w:t xml:space="preserve">mając na uwadze, że art. 8 Protokołu nr 7 w sprawie przywilejów i immunitetów Unii Europejskiej przewiduje, że wobec </w:t>
      </w:r>
      <w:r w:rsidR="00EA39C5">
        <w:t>członków</w:t>
      </w:r>
      <w:r w:rsidRPr="004B35E8">
        <w:t xml:space="preserve"> Parlamentu Europejskiego nie można prowadzić dochodzenia, postępowania sądowego, ani też ich zatrzymywać z powodu ich opinii lub stanowiska zajętego przez nich w głosowaniu w czasie wykonywania przez nich obowiązków służbowych;  mając na uwadze, że zarzucany czyn nie dotyczy opinii wyrażonych ani głosów oddanych w ramach wykonywania przez </w:t>
      </w:r>
      <w:r w:rsidRPr="004B35E8">
        <w:t>Fulvia</w:t>
      </w:r>
      <w:r w:rsidRPr="004B35E8">
        <w:t xml:space="preserve"> </w:t>
      </w:r>
      <w:r w:rsidRPr="004B35E8">
        <w:t>Martusciellego</w:t>
      </w:r>
      <w:r w:rsidRPr="004B35E8">
        <w:t xml:space="preserve"> obowiązków </w:t>
      </w:r>
      <w:r w:rsidR="0066341F">
        <w:t>członka</w:t>
      </w:r>
      <w:r w:rsidRPr="004B35E8">
        <w:t xml:space="preserve"> Parlamentu Europejskiego w rozumieniu art. 8 </w:t>
      </w:r>
      <w:r w:rsidR="00EA39C5">
        <w:t>tego p</w:t>
      </w:r>
      <w:r w:rsidRPr="004B35E8">
        <w:t>rotokołu;</w:t>
      </w:r>
    </w:p>
    <w:p w:rsidR="005701DF" w:rsidRPr="004B35E8" w:rsidP="005701DF" w14:paraId="228BD50A" w14:textId="1B2F0F0B">
      <w:pPr>
        <w:pStyle w:val="NormalHanging12a"/>
      </w:pPr>
      <w:r w:rsidRPr="004B35E8">
        <w:t>J.</w:t>
      </w:r>
      <w:r w:rsidRPr="004B35E8">
        <w:tab/>
        <w:t xml:space="preserve">mając na uwadze, że art. 9 </w:t>
      </w:r>
      <w:r w:rsidR="00EA39C5">
        <w:t>akapit pierwszy</w:t>
      </w:r>
      <w:r w:rsidRPr="004B35E8">
        <w:t xml:space="preserve"> lit. b) Protokołu nr 7 w sprawie przywilejów i immunitetów Unii Europejskiej stanowi, iż </w:t>
      </w:r>
      <w:r w:rsidR="00EA39C5">
        <w:t>podczas sesji Parlamentu Europejskiego jego członkowie</w:t>
      </w:r>
      <w:r w:rsidRPr="004B35E8">
        <w:t xml:space="preserve"> korzystają na terytorium państwa członkowskiego, innego niż ich państwo, z immunitetu chroniącego przed zatrzymaniem oraz immunitetu jurysdykcyjnego;</w:t>
      </w:r>
    </w:p>
    <w:p w:rsidR="005701DF" w:rsidRPr="004B35E8" w:rsidP="005701DF" w14:paraId="6978954E" w14:textId="4F2CD068">
      <w:pPr>
        <w:pStyle w:val="NormalHanging12a"/>
      </w:pPr>
      <w:r w:rsidRPr="004B35E8">
        <w:t>K.</w:t>
      </w:r>
      <w:r w:rsidRPr="004B35E8">
        <w:tab/>
        <w:t xml:space="preserve">mając na uwadze, że </w:t>
      </w:r>
      <w:r w:rsidR="00EA39C5">
        <w:t>postępowanie przygotowawcze</w:t>
      </w:r>
      <w:r w:rsidRPr="004B35E8" w:rsidR="00EA39C5">
        <w:t xml:space="preserve"> </w:t>
      </w:r>
      <w:r w:rsidRPr="004B35E8">
        <w:t xml:space="preserve">dotyczyło wielu osób, a nie tylko </w:t>
      </w:r>
      <w:r w:rsidRPr="004B35E8">
        <w:t>Fulvia</w:t>
      </w:r>
      <w:r w:rsidRPr="004B35E8">
        <w:t xml:space="preserve"> </w:t>
      </w:r>
      <w:r w:rsidRPr="004B35E8">
        <w:t>Martusciellego</w:t>
      </w:r>
      <w:r w:rsidRPr="004B35E8">
        <w:t xml:space="preserve">; mając na uwadze, że wniosek o uchylenie immunitetu </w:t>
      </w:r>
      <w:r w:rsidRPr="004B35E8">
        <w:t>Fulvia</w:t>
      </w:r>
      <w:r w:rsidRPr="004B35E8">
        <w:t xml:space="preserve"> </w:t>
      </w:r>
      <w:r w:rsidRPr="004B35E8">
        <w:t>Martusciellego</w:t>
      </w:r>
      <w:r w:rsidRPr="004B35E8">
        <w:t xml:space="preserve"> wydaje się wynikać z szerszego </w:t>
      </w:r>
      <w:r w:rsidR="00EA39C5">
        <w:t>postępowania przygotowawczego</w:t>
      </w:r>
      <w:r w:rsidRPr="004B35E8" w:rsidR="00EA39C5">
        <w:t xml:space="preserve"> </w:t>
      </w:r>
      <w:r w:rsidRPr="004B35E8">
        <w:t>w sprawie zarzucanych praktyk korupcyjnych i nie wydaje się być wymierzony w jego działalność polityczną;</w:t>
      </w:r>
      <w:bookmarkStart w:id="13" w:name="_Hlk228970940"/>
      <w:bookmarkEnd w:id="13"/>
      <w:r w:rsidRPr="004B35E8">
        <w:t xml:space="preserve"> mając na uwadze, że Parlament nie znalazł dowodów wskazujących na zaistnienie </w:t>
      </w:r>
      <w:r w:rsidRPr="004B35E8">
        <w:rPr>
          <w:i/>
          <w:iCs/>
        </w:rPr>
        <w:t>fumus</w:t>
      </w:r>
      <w:r w:rsidRPr="004B35E8">
        <w:rPr>
          <w:i/>
          <w:iCs/>
        </w:rPr>
        <w:t xml:space="preserve"> </w:t>
      </w:r>
      <w:r w:rsidRPr="004B35E8">
        <w:rPr>
          <w:i/>
          <w:iCs/>
        </w:rPr>
        <w:t>persecutionis</w:t>
      </w:r>
      <w:r w:rsidR="00EA39C5">
        <w:t>,</w:t>
      </w:r>
      <w:r w:rsidRPr="004B35E8">
        <w:t xml:space="preserve"> </w:t>
      </w:r>
      <w:r w:rsidR="00EA39C5">
        <w:t>tj.</w:t>
      </w:r>
      <w:r w:rsidRPr="004B35E8">
        <w:t xml:space="preserve"> nie wydaje się, aby celem rozpatrywanego postępowania było </w:t>
      </w:r>
      <w:r w:rsidR="00EA39C5">
        <w:t>zaszkodzenie</w:t>
      </w:r>
      <w:r w:rsidRPr="004B35E8" w:rsidR="00EA39C5">
        <w:t xml:space="preserve"> </w:t>
      </w:r>
      <w:r w:rsidRPr="004B35E8">
        <w:t xml:space="preserve">działalności politycznej </w:t>
      </w:r>
      <w:r w:rsidRPr="004B35E8">
        <w:t>Fulvia</w:t>
      </w:r>
      <w:r w:rsidRPr="004B35E8">
        <w:t xml:space="preserve"> </w:t>
      </w:r>
      <w:r w:rsidRPr="004B35E8">
        <w:t>Martusciellego</w:t>
      </w:r>
      <w:r w:rsidRPr="004B35E8">
        <w:t xml:space="preserve"> jako posła do Parlamentu Europejskiego;</w:t>
      </w:r>
    </w:p>
    <w:bookmarkEnd w:id="12"/>
    <w:p w:rsidR="005701DF" w:rsidRPr="004B35E8" w:rsidP="005701DF" w14:paraId="5204C5C6" w14:textId="4888D402">
      <w:pPr>
        <w:pStyle w:val="NormalHanging12a"/>
      </w:pPr>
      <w:r w:rsidRPr="004B35E8">
        <w:t>1.</w:t>
      </w:r>
      <w:r w:rsidRPr="004B35E8">
        <w:tab/>
      </w:r>
      <w:r w:rsidR="00EA39C5">
        <w:t>podejmuje decyzję o uchyleniu immunitetu</w:t>
      </w:r>
      <w:r w:rsidRPr="004B35E8">
        <w:t xml:space="preserve"> </w:t>
      </w:r>
      <w:r w:rsidRPr="004B35E8">
        <w:t>Fulvia</w:t>
      </w:r>
      <w:r w:rsidRPr="004B35E8">
        <w:t xml:space="preserve"> </w:t>
      </w:r>
      <w:r w:rsidRPr="004B35E8">
        <w:t>Martusciellego</w:t>
      </w:r>
      <w:r w:rsidRPr="004B35E8">
        <w:t>;</w:t>
      </w:r>
      <w:bookmarkStart w:id="14" w:name="_Hlk223949317"/>
      <w:bookmarkEnd w:id="14"/>
    </w:p>
    <w:p w:rsidR="004B35E8" w:rsidRPr="004B35E8" w:rsidP="004B35E8" w14:paraId="1C24211C" w14:textId="0F44F563">
      <w:pPr>
        <w:pStyle w:val="NormalHanging12a"/>
      </w:pPr>
      <w:r w:rsidRPr="004B35E8">
        <w:t>2.</w:t>
      </w:r>
      <w:r w:rsidRPr="004B35E8">
        <w:tab/>
        <w:t xml:space="preserve">zobowiązuje swoją przewodniczącą do </w:t>
      </w:r>
      <w:r w:rsidR="00EA39C5">
        <w:t>natychmiastowego</w:t>
      </w:r>
      <w:r w:rsidRPr="004B35E8" w:rsidR="00EA39C5">
        <w:t xml:space="preserve"> </w:t>
      </w:r>
      <w:r w:rsidRPr="004B35E8">
        <w:t xml:space="preserve">przekazania niniejszej decyzji i sprawozdania właściwej komisji </w:t>
      </w:r>
      <w:r w:rsidR="00D7705A">
        <w:t>właściwemu organowi</w:t>
      </w:r>
      <w:r w:rsidRPr="004B35E8">
        <w:t xml:space="preserve"> Królestwa Belgii oraz </w:t>
      </w:r>
      <w:r w:rsidRPr="004B35E8">
        <w:t>Fulviowi</w:t>
      </w:r>
      <w:r w:rsidRPr="004B35E8">
        <w:t xml:space="preserve"> </w:t>
      </w:r>
      <w:r w:rsidRPr="004B35E8">
        <w:t>Martusciellemu</w:t>
      </w:r>
      <w:r w:rsidRPr="004B35E8">
        <w:t>.</w:t>
      </w:r>
    </w:p>
    <w:p w:rsidR="00E365E1" w:rsidRPr="004B35E8" w:rsidP="00F11CBC" w14:paraId="75003441" w14:textId="1157278C"/>
    <w:sectPr w:rsidSect="004B35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5E8" w14:paraId="07B9C3C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5E8" w14:paraId="12D47E4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5E8" w14:paraId="6391AC6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11CBC" w:rsidRPr="004B35E8" w14:paraId="7EE6CCA9" w14:textId="77777777">
      <w:r w:rsidRPr="004B35E8">
        <w:separator/>
      </w:r>
    </w:p>
  </w:footnote>
  <w:footnote w:type="continuationSeparator" w:id="1">
    <w:p w:rsidR="00F11CBC" w:rsidRPr="004B35E8" w14:paraId="65030904" w14:textId="77777777">
      <w:r w:rsidRPr="004B35E8">
        <w:continuationSeparator/>
      </w:r>
    </w:p>
  </w:footnote>
  <w:footnote w:id="2">
    <w:p w:rsidR="005701DF" w:rsidRPr="004B35E8" w:rsidP="004B35E8" w14:paraId="5AE9F376" w14:textId="013CC492">
      <w:pPr>
        <w:pStyle w:val="FootnoteText"/>
        <w:ind w:left="567" w:hanging="567"/>
        <w:rPr>
          <w:sz w:val="24"/>
          <w:lang w:val="pl-PL"/>
        </w:rPr>
      </w:pPr>
      <w:r w:rsidRPr="004B35E8">
        <w:rPr>
          <w:rStyle w:val="FootnoteReference"/>
          <w:sz w:val="24"/>
          <w:lang w:val="pl-PL"/>
        </w:rPr>
        <w:footnoteRef/>
      </w:r>
      <w:r w:rsidRPr="004B35E8" w:rsidR="004B35E8">
        <w:rPr>
          <w:sz w:val="24"/>
          <w:lang w:val="pl-PL"/>
        </w:rPr>
        <w:t xml:space="preserve"> </w:t>
      </w:r>
      <w:r w:rsidRPr="004B35E8" w:rsidR="004B35E8">
        <w:rPr>
          <w:sz w:val="24"/>
          <w:lang w:val="pl-PL"/>
        </w:rPr>
        <w:tab/>
      </w:r>
      <w:r w:rsidRPr="004B35E8">
        <w:rPr>
          <w:sz w:val="24"/>
          <w:lang w:val="pl-PL"/>
        </w:rPr>
        <w:t xml:space="preserve">Wyrok Trybunału Sprawiedliwości z </w:t>
      </w:r>
      <w:r w:rsidR="005E0216">
        <w:rPr>
          <w:sz w:val="24"/>
          <w:lang w:val="pl-PL"/>
        </w:rPr>
        <w:t xml:space="preserve">dnia </w:t>
      </w:r>
      <w:r w:rsidRPr="004B35E8">
        <w:rPr>
          <w:sz w:val="24"/>
          <w:lang w:val="pl-PL"/>
        </w:rPr>
        <w:t xml:space="preserve">21 października 2008 r., </w:t>
      </w:r>
      <w:r w:rsidRPr="004B35E8">
        <w:rPr>
          <w:sz w:val="24"/>
          <w:lang w:val="pl-PL"/>
        </w:rPr>
        <w:t>Marra</w:t>
      </w:r>
      <w:r w:rsidRPr="004B35E8">
        <w:rPr>
          <w:sz w:val="24"/>
          <w:lang w:val="pl-PL"/>
        </w:rPr>
        <w:t xml:space="preserve">/De </w:t>
      </w:r>
      <w:r w:rsidRPr="004B35E8">
        <w:rPr>
          <w:sz w:val="24"/>
          <w:lang w:val="pl-PL"/>
        </w:rPr>
        <w:t>Gregorio</w:t>
      </w:r>
      <w:r w:rsidRPr="004B35E8">
        <w:rPr>
          <w:sz w:val="24"/>
          <w:lang w:val="pl-PL"/>
        </w:rPr>
        <w:t xml:space="preserve"> i </w:t>
      </w:r>
      <w:r w:rsidRPr="004B35E8">
        <w:rPr>
          <w:sz w:val="24"/>
          <w:lang w:val="pl-PL"/>
        </w:rPr>
        <w:t>Clemente</w:t>
      </w:r>
      <w:r w:rsidRPr="004B35E8">
        <w:rPr>
          <w:sz w:val="24"/>
          <w:lang w:val="pl-PL"/>
        </w:rPr>
        <w:t xml:space="preserve">, C-200/07 i C-201/07, ECLI:EU:C:2008:579; wyrok Sądu z dnia 19 marca 2010 r., </w:t>
      </w:r>
      <w:r w:rsidRPr="004B35E8">
        <w:rPr>
          <w:sz w:val="24"/>
          <w:lang w:val="pl-PL"/>
        </w:rPr>
        <w:t>Gollnisch</w:t>
      </w:r>
      <w:r w:rsidRPr="004B35E8">
        <w:rPr>
          <w:sz w:val="24"/>
          <w:lang w:val="pl-PL"/>
        </w:rPr>
        <w:t xml:space="preserve">/Parlament, T-42/06, ECLI:EU:T:2010:102; wyrok Trybunału Sprawiedliwości z </w:t>
      </w:r>
      <w:r w:rsidR="005E0216">
        <w:rPr>
          <w:sz w:val="24"/>
          <w:lang w:val="pl-PL"/>
        </w:rPr>
        <w:t xml:space="preserve">dnia </w:t>
      </w:r>
      <w:r w:rsidRPr="004B35E8">
        <w:rPr>
          <w:sz w:val="24"/>
          <w:lang w:val="pl-PL"/>
        </w:rPr>
        <w:t xml:space="preserve">6 września 2011 r., </w:t>
      </w:r>
      <w:r w:rsidRPr="004B35E8">
        <w:rPr>
          <w:sz w:val="24"/>
          <w:lang w:val="pl-PL"/>
        </w:rPr>
        <w:t>Patriciello</w:t>
      </w:r>
      <w:r w:rsidRPr="004B35E8">
        <w:rPr>
          <w:sz w:val="24"/>
          <w:lang w:val="pl-PL"/>
        </w:rPr>
        <w:t xml:space="preserve">, C-163/10, ECLI: EU:C:2011:543; wyrok Sądu z </w:t>
      </w:r>
      <w:r w:rsidR="005E0216">
        <w:rPr>
          <w:sz w:val="24"/>
          <w:lang w:val="pl-PL"/>
        </w:rPr>
        <w:t xml:space="preserve">dnia </w:t>
      </w:r>
      <w:r w:rsidRPr="004B35E8">
        <w:rPr>
          <w:sz w:val="24"/>
          <w:lang w:val="pl-PL"/>
        </w:rPr>
        <w:t xml:space="preserve">17 stycznia 2013 r., </w:t>
      </w:r>
      <w:r w:rsidRPr="004B35E8">
        <w:rPr>
          <w:sz w:val="24"/>
          <w:lang w:val="pl-PL"/>
        </w:rPr>
        <w:t>Gollnisch</w:t>
      </w:r>
      <w:r w:rsidRPr="004B35E8">
        <w:rPr>
          <w:sz w:val="24"/>
          <w:lang w:val="pl-PL"/>
        </w:rPr>
        <w:t xml:space="preserve">/Parlament, T-346/11 i T-347/11, ECLI:EU:T:2013:23. wyrok Trybunału Sprawiedliwości z </w:t>
      </w:r>
      <w:r w:rsidR="005E0216">
        <w:rPr>
          <w:sz w:val="24"/>
          <w:lang w:val="pl-PL"/>
        </w:rPr>
        <w:t xml:space="preserve">dnia </w:t>
      </w:r>
      <w:r w:rsidRPr="004B35E8">
        <w:rPr>
          <w:sz w:val="24"/>
          <w:lang w:val="pl-PL"/>
        </w:rPr>
        <w:t xml:space="preserve">19 grudnia 2019 r., </w:t>
      </w:r>
      <w:r w:rsidRPr="004B35E8">
        <w:rPr>
          <w:sz w:val="24"/>
          <w:lang w:val="pl-PL"/>
        </w:rPr>
        <w:t>Junqueras</w:t>
      </w:r>
      <w:r w:rsidRPr="004B35E8">
        <w:rPr>
          <w:sz w:val="24"/>
          <w:lang w:val="pl-PL"/>
        </w:rPr>
        <w:t xml:space="preserve"> </w:t>
      </w:r>
      <w:r w:rsidRPr="004B35E8">
        <w:rPr>
          <w:sz w:val="24"/>
          <w:lang w:val="pl-PL"/>
        </w:rPr>
        <w:t>Vies</w:t>
      </w:r>
      <w:r w:rsidRPr="004B35E8">
        <w:rPr>
          <w:sz w:val="24"/>
          <w:lang w:val="pl-PL"/>
        </w:rPr>
        <w:t xml:space="preserve">, C-502/19, ECLI:EU:C:2019:1115. </w:t>
      </w:r>
    </w:p>
  </w:footnote>
  <w:footnote w:id="3">
    <w:p w:rsidR="005701DF" w:rsidRPr="004B35E8" w:rsidP="004B35E8" w14:paraId="5C2DD16E" w14:textId="5D471493">
      <w:pPr>
        <w:pStyle w:val="FootnoteText"/>
        <w:ind w:left="567" w:hanging="567"/>
        <w:rPr>
          <w:sz w:val="24"/>
          <w:lang w:val="pl-PL"/>
        </w:rPr>
      </w:pPr>
      <w:r w:rsidRPr="004B35E8">
        <w:rPr>
          <w:rStyle w:val="FootnoteReference"/>
          <w:sz w:val="24"/>
          <w:lang w:val="pl-PL"/>
        </w:rPr>
        <w:footnoteRef/>
      </w:r>
      <w:r w:rsidRPr="004B35E8" w:rsidR="004B35E8">
        <w:rPr>
          <w:sz w:val="24"/>
          <w:lang w:val="pl-PL"/>
        </w:rPr>
        <w:t xml:space="preserve"> </w:t>
      </w:r>
      <w:r w:rsidRPr="004B35E8" w:rsidR="004B35E8">
        <w:rPr>
          <w:sz w:val="24"/>
          <w:lang w:val="pl-PL"/>
        </w:rPr>
        <w:tab/>
      </w:r>
      <w:r w:rsidRPr="004B35E8">
        <w:rPr>
          <w:sz w:val="24"/>
          <w:lang w:val="pl-PL"/>
        </w:rPr>
        <w:t xml:space="preserve">Wyrok Sądu z </w:t>
      </w:r>
      <w:r w:rsidR="007D0A32">
        <w:rPr>
          <w:sz w:val="24"/>
          <w:lang w:val="pl-PL"/>
        </w:rPr>
        <w:t xml:space="preserve">dnia </w:t>
      </w:r>
      <w:r w:rsidRPr="004B35E8">
        <w:rPr>
          <w:sz w:val="24"/>
          <w:lang w:val="pl-PL"/>
        </w:rPr>
        <w:t xml:space="preserve">30 kwietnia 2019 r., </w:t>
      </w:r>
      <w:r w:rsidRPr="004B35E8">
        <w:rPr>
          <w:sz w:val="24"/>
          <w:lang w:val="pl-PL"/>
        </w:rPr>
        <w:t>Briois</w:t>
      </w:r>
      <w:r w:rsidRPr="004B35E8">
        <w:rPr>
          <w:sz w:val="24"/>
          <w:lang w:val="pl-PL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5E8" w14:paraId="0C8B317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5E8" w14:paraId="4656BF5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5E8" w14:paraId="7F902CA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11653">
    <w:abstractNumId w:val="9"/>
  </w:num>
  <w:num w:numId="2" w16cid:durableId="341012456">
    <w:abstractNumId w:val="9"/>
  </w:num>
  <w:num w:numId="3" w16cid:durableId="2041469970">
    <w:abstractNumId w:val="7"/>
  </w:num>
  <w:num w:numId="4" w16cid:durableId="225189614">
    <w:abstractNumId w:val="7"/>
  </w:num>
  <w:num w:numId="5" w16cid:durableId="1021320439">
    <w:abstractNumId w:val="6"/>
  </w:num>
  <w:num w:numId="6" w16cid:durableId="1392650226">
    <w:abstractNumId w:val="6"/>
  </w:num>
  <w:num w:numId="7" w16cid:durableId="1870750866">
    <w:abstractNumId w:val="5"/>
  </w:num>
  <w:num w:numId="8" w16cid:durableId="555090251">
    <w:abstractNumId w:val="5"/>
  </w:num>
  <w:num w:numId="9" w16cid:durableId="747272038">
    <w:abstractNumId w:val="4"/>
  </w:num>
  <w:num w:numId="10" w16cid:durableId="1226644924">
    <w:abstractNumId w:val="4"/>
  </w:num>
  <w:num w:numId="11" w16cid:durableId="114032998">
    <w:abstractNumId w:val="8"/>
  </w:num>
  <w:num w:numId="12" w16cid:durableId="159809482">
    <w:abstractNumId w:val="8"/>
  </w:num>
  <w:num w:numId="13" w16cid:durableId="544367430">
    <w:abstractNumId w:val="3"/>
  </w:num>
  <w:num w:numId="14" w16cid:durableId="195429493">
    <w:abstractNumId w:val="3"/>
  </w:num>
  <w:num w:numId="15" w16cid:durableId="406388762">
    <w:abstractNumId w:val="2"/>
  </w:num>
  <w:num w:numId="16" w16cid:durableId="1173254624">
    <w:abstractNumId w:val="2"/>
  </w:num>
  <w:num w:numId="17" w16cid:durableId="1657877039">
    <w:abstractNumId w:val="1"/>
  </w:num>
  <w:num w:numId="18" w16cid:durableId="966661108">
    <w:abstractNumId w:val="1"/>
  </w:num>
  <w:num w:numId="19" w16cid:durableId="1335690793">
    <w:abstractNumId w:val="0"/>
  </w:num>
  <w:num w:numId="20" w16cid:durableId="950165013">
    <w:abstractNumId w:val="0"/>
  </w:num>
  <w:num w:numId="21" w16cid:durableId="1127892435">
    <w:abstractNumId w:val="9"/>
  </w:num>
  <w:num w:numId="22" w16cid:durableId="1767846894">
    <w:abstractNumId w:val="7"/>
  </w:num>
  <w:num w:numId="23" w16cid:durableId="1416396278">
    <w:abstractNumId w:val="6"/>
  </w:num>
  <w:num w:numId="24" w16cid:durableId="21984174">
    <w:abstractNumId w:val="5"/>
  </w:num>
  <w:num w:numId="25" w16cid:durableId="532696623">
    <w:abstractNumId w:val="4"/>
  </w:num>
  <w:num w:numId="26" w16cid:durableId="1375882608">
    <w:abstractNumId w:val="8"/>
  </w:num>
  <w:num w:numId="27" w16cid:durableId="1389842616">
    <w:abstractNumId w:val="3"/>
  </w:num>
  <w:num w:numId="28" w16cid:durableId="1132017014">
    <w:abstractNumId w:val="2"/>
  </w:num>
  <w:num w:numId="29" w16cid:durableId="434247752">
    <w:abstractNumId w:val="1"/>
  </w:num>
  <w:num w:numId="30" w16cid:durableId="1016998950">
    <w:abstractNumId w:val="0"/>
  </w:num>
  <w:num w:numId="31" w16cid:durableId="1939750582">
    <w:abstractNumId w:val="9"/>
  </w:num>
  <w:num w:numId="32" w16cid:durableId="1487553886">
    <w:abstractNumId w:val="7"/>
  </w:num>
  <w:num w:numId="33" w16cid:durableId="1281304388">
    <w:abstractNumId w:val="6"/>
  </w:num>
  <w:num w:numId="34" w16cid:durableId="1390693619">
    <w:abstractNumId w:val="5"/>
  </w:num>
  <w:num w:numId="35" w16cid:durableId="1793867148">
    <w:abstractNumId w:val="4"/>
  </w:num>
  <w:num w:numId="36" w16cid:durableId="284967516">
    <w:abstractNumId w:val="8"/>
  </w:num>
  <w:num w:numId="37" w16cid:durableId="1127550832">
    <w:abstractNumId w:val="3"/>
  </w:num>
  <w:num w:numId="38" w16cid:durableId="1752392775">
    <w:abstractNumId w:val="2"/>
  </w:num>
  <w:num w:numId="39" w16cid:durableId="2140175839">
    <w:abstractNumId w:val="1"/>
  </w:num>
  <w:num w:numId="40" w16cid:durableId="1141115274">
    <w:abstractNumId w:val="0"/>
  </w:num>
  <w:num w:numId="41" w16cid:durableId="108937327">
    <w:abstractNumId w:val="10"/>
  </w:num>
  <w:num w:numId="42" w16cid:durableId="822544710">
    <w:abstractNumId w:val="10"/>
  </w:num>
  <w:num w:numId="43" w16cid:durableId="511115713">
    <w:abstractNumId w:val="10"/>
  </w:num>
  <w:num w:numId="44" w16cid:durableId="17485010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CB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1655"/>
    <w:rsid w:val="003E15D4"/>
    <w:rsid w:val="00411CCE"/>
    <w:rsid w:val="0041666E"/>
    <w:rsid w:val="00421060"/>
    <w:rsid w:val="00471C19"/>
    <w:rsid w:val="004867E3"/>
    <w:rsid w:val="00494A28"/>
    <w:rsid w:val="004B35E8"/>
    <w:rsid w:val="004C0004"/>
    <w:rsid w:val="004C5D52"/>
    <w:rsid w:val="0050519A"/>
    <w:rsid w:val="005072A1"/>
    <w:rsid w:val="00514517"/>
    <w:rsid w:val="00537670"/>
    <w:rsid w:val="00545827"/>
    <w:rsid w:val="00560270"/>
    <w:rsid w:val="005701DF"/>
    <w:rsid w:val="005C2568"/>
    <w:rsid w:val="005E0216"/>
    <w:rsid w:val="005F1B17"/>
    <w:rsid w:val="006037C0"/>
    <w:rsid w:val="00603B39"/>
    <w:rsid w:val="006631B6"/>
    <w:rsid w:val="0066341F"/>
    <w:rsid w:val="00680577"/>
    <w:rsid w:val="006F74FA"/>
    <w:rsid w:val="00731ADD"/>
    <w:rsid w:val="00734777"/>
    <w:rsid w:val="00747932"/>
    <w:rsid w:val="00751A4A"/>
    <w:rsid w:val="00754C47"/>
    <w:rsid w:val="00756632"/>
    <w:rsid w:val="00762C74"/>
    <w:rsid w:val="00786EC0"/>
    <w:rsid w:val="007D0A32"/>
    <w:rsid w:val="007D1690"/>
    <w:rsid w:val="007E22AD"/>
    <w:rsid w:val="00817416"/>
    <w:rsid w:val="00842779"/>
    <w:rsid w:val="008429D9"/>
    <w:rsid w:val="00865F67"/>
    <w:rsid w:val="00881A7B"/>
    <w:rsid w:val="008840E5"/>
    <w:rsid w:val="00887B3E"/>
    <w:rsid w:val="008A7008"/>
    <w:rsid w:val="008C2AC6"/>
    <w:rsid w:val="00930C23"/>
    <w:rsid w:val="0093193B"/>
    <w:rsid w:val="009509D8"/>
    <w:rsid w:val="00950B64"/>
    <w:rsid w:val="00951EA3"/>
    <w:rsid w:val="00981893"/>
    <w:rsid w:val="009E30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D04"/>
    <w:rsid w:val="00C61C0C"/>
    <w:rsid w:val="00C941CB"/>
    <w:rsid w:val="00CC2357"/>
    <w:rsid w:val="00CF071A"/>
    <w:rsid w:val="00D058B8"/>
    <w:rsid w:val="00D35CC6"/>
    <w:rsid w:val="00D56C11"/>
    <w:rsid w:val="00D7705A"/>
    <w:rsid w:val="00D834A0"/>
    <w:rsid w:val="00D872DF"/>
    <w:rsid w:val="00D91E21"/>
    <w:rsid w:val="00DA7FCD"/>
    <w:rsid w:val="00E365E1"/>
    <w:rsid w:val="00E820A4"/>
    <w:rsid w:val="00EA39C5"/>
    <w:rsid w:val="00EB006A"/>
    <w:rsid w:val="00EB4772"/>
    <w:rsid w:val="00ED169E"/>
    <w:rsid w:val="00ED4235"/>
    <w:rsid w:val="00F04346"/>
    <w:rsid w:val="00F075DC"/>
    <w:rsid w:val="00F11CBC"/>
    <w:rsid w:val="00F149E9"/>
    <w:rsid w:val="00F5134D"/>
    <w:rsid w:val="00F74202"/>
    <w:rsid w:val="00F87713"/>
    <w:rsid w:val="00FB4360"/>
    <w:rsid w:val="00FD0C70"/>
  </w:rsids>
  <w:docVars>
    <w:docVar w:name="dvdocse" w:val="A10-0154/2026"/>
    <w:docVar w:name="dvlangue" w:val="PL"/>
    <w:docVar w:name="dvnumam" w:val="0"/>
    <w:docVar w:name="dvpe" w:val="788.823"/>
    <w:docVar w:name="dvrapporteur" w:val="Sprawozdawca: "/>
    <w:docVar w:name="dvtitre" w:val="Decyzja Parlamentu Europejskiego z dnia  2026 r. w sprawie wniosku o uchylenie immunitetu Fulvia Martusciellego(2025/2099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07BB83F"/>
  <w15:chartTrackingRefBased/>
  <w15:docId w15:val="{22C5E007-EA66-4919-8180-AE445BB80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701DF"/>
    <w:pPr>
      <w:spacing w:after="240"/>
      <w:ind w:left="567" w:hanging="567"/>
    </w:pPr>
  </w:style>
  <w:style w:type="paragraph" w:customStyle="1" w:styleId="EPComma">
    <w:name w:val="EPComma"/>
    <w:basedOn w:val="Normal"/>
    <w:rsid w:val="005701DF"/>
    <w:pPr>
      <w:spacing w:before="480" w:after="240"/>
    </w:pPr>
  </w:style>
  <w:style w:type="paragraph" w:styleId="Revision">
    <w:name w:val="Revision"/>
    <w:hidden/>
    <w:uiPriority w:val="99"/>
    <w:semiHidden/>
    <w:rsid w:val="005E021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973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2026-06-16T11:41:00Z</dcterms:created>
  <dcterms:modified xsi:type="dcterms:W3CDTF">2026-06-16T11:41:00Z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A10-0154/2026</vt:lpwstr>
  </property>
  <property fmtid="{D5CDD505-2E9C-101B-9397-08002B2CF9AE}" pid="4" name="&lt;Type&gt;">
    <vt:lpwstr>RR</vt:lpwstr>
  </property>
</Properties>
</file>