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5CE6CB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29C0" w:rsidP="0010095E" w14:paraId="5867D201" w14:textId="77777777">
            <w:pPr>
              <w:pStyle w:val="EPName"/>
            </w:pPr>
            <w:r w:rsidRPr="00EC29C0">
              <w:t xml:space="preserve">Parlamento </w:t>
            </w:r>
            <w:r w:rsidRPr="00EC29C0">
              <w:t>Europeu</w:t>
            </w:r>
          </w:p>
          <w:p w:rsidR="00751A4A" w:rsidRPr="00EC29C0" w:rsidP="005F1B17" w14:paraId="21F0531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29C0">
              <w:t>2024</w:t>
            </w:r>
            <w:r w:rsidRPr="00EC29C0" w:rsidR="00817416">
              <w:t>-202</w:t>
            </w:r>
            <w:r w:rsidRPr="00EC29C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C29C0" w:rsidP="0010095E" w14:paraId="1BB18F2D" w14:textId="77777777">
            <w:pPr>
              <w:pStyle w:val="EPLogo"/>
            </w:pPr>
            <w:r w:rsidRPr="00EC29C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29C0" w:rsidP="004C5D52" w14:paraId="5B2C96BE" w14:textId="77777777">
      <w:pPr>
        <w:pStyle w:val="LineTop"/>
      </w:pPr>
    </w:p>
    <w:p w:rsidR="00680577" w:rsidRPr="00EC29C0" w:rsidP="00680577" w14:paraId="589FEC0F" w14:textId="77777777">
      <w:pPr>
        <w:pStyle w:val="EPBodyTA1"/>
      </w:pPr>
      <w:r w:rsidRPr="00EC29C0">
        <w:t>TEXTOS APROVADOS</w:t>
      </w:r>
    </w:p>
    <w:p w:rsidR="00D058B8" w:rsidRPr="00EC29C0" w:rsidP="00D058B8" w14:paraId="0A2FF104" w14:textId="77777777">
      <w:pPr>
        <w:pStyle w:val="LineBottom"/>
      </w:pPr>
    </w:p>
    <w:p w:rsidR="00DC6440" w:rsidRPr="00EC29C0" w:rsidP="00DC6440" w14:paraId="6C3DD9B4" w14:textId="10E6C668">
      <w:pPr>
        <w:pStyle w:val="ATHeading1"/>
      </w:pPr>
      <w:bookmarkStart w:id="0" w:name="TANumber"/>
      <w:r w:rsidRPr="00EC29C0">
        <w:t>P10_TA(2026)0</w:t>
      </w:r>
      <w:r w:rsidR="008B2D2C">
        <w:t>194</w:t>
      </w:r>
      <w:bookmarkEnd w:id="0"/>
    </w:p>
    <w:p w:rsidR="00DC6440" w:rsidRPr="00EC29C0" w:rsidP="00DC6440" w14:paraId="1BD5B186" w14:textId="77777777">
      <w:pPr>
        <w:pStyle w:val="ATHeading2"/>
      </w:pPr>
      <w:bookmarkStart w:id="1" w:name="title"/>
      <w:r w:rsidRPr="00EC29C0">
        <w:t xml:space="preserve">Pedido de levantamento da imunidade de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 xml:space="preserve"> </w:t>
      </w:r>
      <w:bookmarkEnd w:id="1"/>
    </w:p>
    <w:p w:rsidR="00DC6440" w:rsidRPr="00EC29C0" w:rsidP="00DC6440" w14:paraId="70082124" w14:textId="77777777">
      <w:pPr>
        <w:rPr>
          <w:i/>
          <w:vanish/>
        </w:rPr>
      </w:pPr>
      <w:r>
        <w:rPr>
          <w:i/>
        </w:rPr>
        <w:fldChar w:fldCharType="begin"/>
      </w:r>
      <w:r w:rsidRPr="00EC29C0">
        <w:rPr>
          <w:i/>
        </w:rPr>
        <w:instrText xml:space="preserve"> TC"(</w:instrText>
      </w:r>
      <w:bookmarkStart w:id="2" w:name="DocNumber"/>
      <w:r w:rsidRPr="00EC29C0">
        <w:rPr>
          <w:i/>
        </w:rPr>
        <w:instrText>A10-0154/2026</w:instrText>
      </w:r>
      <w:bookmarkEnd w:id="2"/>
      <w:r w:rsidRPr="00EC29C0">
        <w:rPr>
          <w:i/>
        </w:rPr>
        <w:instrText xml:space="preserve"> - Relator: </w:instrText>
      </w:r>
      <w:r w:rsidRPr="00EC29C0">
        <w:rPr>
          <w:i/>
        </w:rPr>
        <w:instrText>Dominik</w:instrText>
      </w:r>
      <w:r w:rsidRPr="00EC29C0">
        <w:rPr>
          <w:i/>
        </w:rPr>
        <w:instrText xml:space="preserve"> </w:instrText>
      </w:r>
      <w:r w:rsidRPr="00EC29C0">
        <w:rPr>
          <w:i/>
        </w:rPr>
        <w:instrText>Tarczyński</w:instrText>
      </w:r>
      <w:r w:rsidRPr="00EC29C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C6440" w:rsidRPr="00EC29C0" w:rsidP="00DC6440" w14:paraId="02EC5C84" w14:textId="77777777">
      <w:pPr>
        <w:rPr>
          <w:vanish/>
        </w:rPr>
      </w:pPr>
      <w:bookmarkStart w:id="3" w:name="Commission"/>
      <w:r w:rsidRPr="00EC29C0">
        <w:rPr>
          <w:vanish/>
        </w:rPr>
        <w:t>Comissão dos Assuntos Jurídicos</w:t>
      </w:r>
      <w:bookmarkEnd w:id="3"/>
    </w:p>
    <w:p w:rsidR="00DC6440" w:rsidRPr="00EC29C0" w:rsidP="00DC6440" w14:paraId="40A5DFF0" w14:textId="77777777">
      <w:pPr>
        <w:rPr>
          <w:vanish/>
        </w:rPr>
      </w:pPr>
      <w:bookmarkStart w:id="4" w:name="PE"/>
      <w:r w:rsidRPr="00EC29C0">
        <w:rPr>
          <w:vanish/>
        </w:rPr>
        <w:t>PE788.823</w:t>
      </w:r>
      <w:bookmarkEnd w:id="4"/>
    </w:p>
    <w:p w:rsidR="00DC6440" w:rsidRPr="00EC29C0" w:rsidP="00DC6440" w14:paraId="5184322D" w14:textId="58018CB1">
      <w:pPr>
        <w:pStyle w:val="ATHeading3"/>
      </w:pPr>
      <w:bookmarkStart w:id="5" w:name="Sujet"/>
      <w:r w:rsidRPr="00EC29C0">
        <w:t xml:space="preserve">Decisão do Parlamento Europeu, de </w:t>
      </w:r>
      <w:r w:rsidR="00EC29C0">
        <w:t>16</w:t>
      </w:r>
      <w:r w:rsidRPr="00EC29C0">
        <w:t xml:space="preserve"> de </w:t>
      </w:r>
      <w:r w:rsidR="00EC29C0">
        <w:t>junho</w:t>
      </w:r>
      <w:r w:rsidRPr="00EC29C0">
        <w:t xml:space="preserve"> de 2026, sobre o pedido de levantamento da imunidade de </w:t>
      </w:r>
      <w:r w:rsidRPr="00EC29C0">
        <w:t>Fulvio</w:t>
      </w:r>
      <w:r w:rsidRPr="00EC29C0">
        <w:t xml:space="preserve"> </w:t>
      </w:r>
      <w:r w:rsidRPr="00EC29C0">
        <w:t>Martusciello</w:t>
      </w:r>
      <w:bookmarkEnd w:id="5"/>
      <w:r w:rsidRPr="00EC29C0">
        <w:t xml:space="preserve"> </w:t>
      </w:r>
      <w:bookmarkStart w:id="6" w:name="References"/>
      <w:r w:rsidRPr="00EC29C0">
        <w:t>(2025/2099(IMM))</w:t>
      </w:r>
      <w:bookmarkEnd w:id="6"/>
    </w:p>
    <w:p w:rsidR="00EC01DA" w:rsidRPr="00EC29C0" w:rsidP="00B82C30" w14:paraId="375334B1" w14:textId="77777777">
      <w:pPr>
        <w:pStyle w:val="EPComma"/>
        <w:spacing w:before="240"/>
      </w:pPr>
      <w:bookmarkStart w:id="7" w:name="TextBodyBegin"/>
      <w:bookmarkEnd w:id="7"/>
      <w:r w:rsidRPr="00EC29C0">
        <w:rPr>
          <w:i/>
          <w:iCs/>
        </w:rPr>
        <w:t>O Parlamento Europeu</w:t>
      </w:r>
      <w:r w:rsidRPr="00EC29C0">
        <w:t>,</w:t>
      </w:r>
    </w:p>
    <w:p w:rsidR="00EC01DA" w:rsidRPr="00EC29C0" w:rsidP="00EC01DA" w14:paraId="0E19341C" w14:textId="4208404C">
      <w:pPr>
        <w:pStyle w:val="NormalHanging12a"/>
      </w:pPr>
      <w:r w:rsidRPr="00EC29C0">
        <w:t>–</w:t>
      </w:r>
      <w:r w:rsidRPr="00EC29C0">
        <w:tab/>
        <w:t xml:space="preserve">Tendo em conta o pedido de levantamento da imunidade de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>, recebido por carta do Serviço Público Federal belga dos Negócios Estrangeiros, do Comércio Externo e da Cooperação para o Desenvolvimento, com data de 6 de maio de 2025, transmit</w:t>
      </w:r>
      <w:r w:rsidR="00623BA9">
        <w:t>indo</w:t>
      </w:r>
      <w:r w:rsidRPr="00EC29C0">
        <w:t xml:space="preserve"> um pedido do Ministério Público Federal belga, com data de 16 de abril de 2025, no âmbito de uma ação penal a instaurar contra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>, o qual foi anunciado no Parlamento em 21 de maio de 2025,</w:t>
      </w:r>
    </w:p>
    <w:p w:rsidR="00EC01DA" w:rsidRPr="00EC29C0" w:rsidP="00EC01DA" w14:paraId="77F0C66C" w14:textId="77777777">
      <w:pPr>
        <w:pStyle w:val="NormalHanging12a"/>
        <w:rPr>
          <w:bCs/>
        </w:rPr>
      </w:pPr>
      <w:r w:rsidRPr="00EC29C0">
        <w:t>–</w:t>
      </w:r>
      <w:r w:rsidRPr="00EC29C0">
        <w:tab/>
        <w:t xml:space="preserve">Tendo ouvido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>, em 24 de março de 2026, nos termos do artigo 9.º, n.º 6, do seu Regimento,</w:t>
      </w:r>
    </w:p>
    <w:p w:rsidR="00EC01DA" w:rsidRPr="00EC29C0" w:rsidP="00EC01DA" w14:paraId="6AF91C89" w14:textId="77777777">
      <w:pPr>
        <w:pStyle w:val="NormalHanging12a"/>
      </w:pPr>
      <w:r w:rsidRPr="00EC29C0">
        <w:t>–</w:t>
      </w:r>
      <w:r w:rsidRPr="00EC29C0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:rsidR="00EC01DA" w:rsidRPr="00EC29C0" w:rsidP="00EC01DA" w14:paraId="71C8A4FC" w14:textId="77777777">
      <w:pPr>
        <w:pStyle w:val="NormalHanging12a"/>
      </w:pPr>
      <w:r w:rsidRPr="00EC29C0">
        <w:t>–</w:t>
      </w:r>
      <w:r w:rsidRPr="00EC29C0">
        <w:tab/>
        <w:t>Tendo em conta os acórdãos proferidos pelo Tribunal de Justiça da União Europeia em 21 de outubro de 2008, 19 de março de 2010, 6 de setembro de 2011, 17 de janeiro de 2013 e 19 de dezembro de 2019</w:t>
      </w:r>
      <w:r>
        <w:rPr>
          <w:vertAlign w:val="superscript"/>
        </w:rPr>
        <w:footnoteReference w:id="2"/>
      </w:r>
      <w:r w:rsidRPr="00EC29C0">
        <w:t>,</w:t>
      </w:r>
    </w:p>
    <w:p w:rsidR="00EC01DA" w:rsidRPr="00EC29C0" w:rsidP="00EC01DA" w14:paraId="396E4312" w14:textId="77777777">
      <w:pPr>
        <w:pStyle w:val="NormalHanging12a"/>
      </w:pPr>
      <w:r w:rsidRPr="00EC29C0">
        <w:t>–</w:t>
      </w:r>
      <w:r w:rsidRPr="00EC29C0">
        <w:tab/>
        <w:t>Tendo em conta o artigo 5.º, n.º 2, o artigo 6.º, n.º 1, e o artigo 9.º do seu Regimento,</w:t>
      </w:r>
    </w:p>
    <w:p w:rsidR="00EC01DA" w:rsidRPr="00EC29C0" w:rsidP="00EC01DA" w14:paraId="560FD631" w14:textId="77777777">
      <w:pPr>
        <w:pStyle w:val="NormalHanging12a"/>
      </w:pPr>
      <w:r w:rsidRPr="00EC29C0">
        <w:t>–</w:t>
      </w:r>
      <w:r w:rsidRPr="00EC29C0">
        <w:tab/>
        <w:t>Tendo em conta o relatório da Comissão dos Assuntos Jurídicos (A10</w:t>
      </w:r>
      <w:r w:rsidRPr="00EC29C0">
        <w:noBreakHyphen/>
        <w:t>0154/2026),</w:t>
      </w:r>
    </w:p>
    <w:p w:rsidR="00EC01DA" w:rsidRPr="00EC29C0" w:rsidP="00A561F0" w14:paraId="3898E8AC" w14:textId="2A23AB75">
      <w:pPr>
        <w:pStyle w:val="NormalHanging12a"/>
      </w:pPr>
      <w:r w:rsidRPr="00EC29C0">
        <w:t>A.</w:t>
      </w:r>
      <w:r w:rsidRPr="00EC29C0">
        <w:tab/>
      </w:r>
      <w:bookmarkStart w:id="8" w:name="_Hlk223949138"/>
      <w:r w:rsidRPr="00EC29C0">
        <w:t xml:space="preserve">Considerando que, </w:t>
      </w:r>
      <w:bookmarkStart w:id="9" w:name="_Hlk210982066"/>
      <w:r w:rsidRPr="00B47AB8" w:rsidR="00B47AB8">
        <w:t>em 6 de maio de 2025, o Serviço Público Federal dos Negócios Estrangeiros, do Comércio Externo e da Cooperação para o Desenvolvimento transmitiu um pedido</w:t>
      </w:r>
      <w:r w:rsidR="00B47AB8">
        <w:t xml:space="preserve"> do</w:t>
      </w:r>
      <w:r w:rsidRPr="00EC29C0" w:rsidR="00B47AB8">
        <w:t xml:space="preserve"> Procurador Federal</w:t>
      </w:r>
      <w:r w:rsidR="00B47AB8">
        <w:t>, com data d</w:t>
      </w:r>
      <w:r w:rsidRPr="00EC29C0">
        <w:t>e 16 de abril de 2025</w:t>
      </w:r>
      <w:bookmarkEnd w:id="9"/>
      <w:r w:rsidRPr="00EC29C0">
        <w:t xml:space="preserve">,  </w:t>
      </w:r>
      <w:r w:rsidR="00B47AB8">
        <w:t>para o</w:t>
      </w:r>
      <w:r w:rsidRPr="00EC29C0">
        <w:t xml:space="preserve"> levantamento da imunidade de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 xml:space="preserve">, deputado ao Parlamento Europeu eleito em Itália, no âmbito de uma ação penal a ser instaurada contra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 xml:space="preserve"> por alegada corrupção;</w:t>
      </w:r>
      <w:bookmarkEnd w:id="8"/>
    </w:p>
    <w:p w:rsidR="00EC01DA" w:rsidRPr="00EC29C0" w:rsidP="00EC01DA" w14:paraId="5D22E447" w14:textId="07A82B43">
      <w:pPr>
        <w:pStyle w:val="NormalHanging12a"/>
      </w:pPr>
      <w:r w:rsidRPr="00EC29C0">
        <w:t>B.</w:t>
      </w:r>
      <w:r w:rsidRPr="00EC29C0">
        <w:tab/>
      </w:r>
      <w:bookmarkStart w:id="10" w:name="_Hlk223949179"/>
      <w:r w:rsidRPr="00EC29C0">
        <w:t xml:space="preserve">Considerando que uma investigação alargada à empresa </w:t>
      </w:r>
      <w:r w:rsidRPr="00EC29C0">
        <w:t>Huawei</w:t>
      </w:r>
      <w:r w:rsidRPr="00EC29C0">
        <w:t xml:space="preserve"> terá produzido provas sérias da existência de uma organização criminosa cujo objetivo seria influenciar as decisões das instituições da U</w:t>
      </w:r>
      <w:r w:rsidR="00026BDB">
        <w:t>nião</w:t>
      </w:r>
      <w:r w:rsidRPr="00EC29C0">
        <w:t xml:space="preserve"> através da participação em atos de corrupção de deputados ao Parlamento Europeu</w:t>
      </w:r>
      <w:r w:rsidR="00EC29C0">
        <w:t>; considerando que</w:t>
      </w:r>
      <w:r w:rsidRPr="00EC29C0">
        <w:t xml:space="preserve"> esta investigação parece ter revelado vários atos de alegada corrupção que se presume terem sido praticados com regularidade entre 2021 e 2024</w:t>
      </w:r>
      <w:r w:rsidR="00EC29C0">
        <w:t>; considerando que</w:t>
      </w:r>
      <w:r w:rsidRPr="00EC29C0">
        <w:t xml:space="preserve"> o esquema de corrupção terá assumido várias formas, incluindo o convite de deputados ao Parlamento Europeu para eventos apoiados pela </w:t>
      </w:r>
      <w:r w:rsidRPr="00EC29C0">
        <w:t>Huawei</w:t>
      </w:r>
      <w:r w:rsidRPr="00EC29C0">
        <w:t>, alegadamente em troca da tomada de posições políticas a favor desta empresa, e prendas de natureza excessiva, como despesas de alimentação e de viagem ou convites regulares para jogos de futebol fora do âmbito de atuação do Parlamento Europeu;</w:t>
      </w:r>
      <w:bookmarkEnd w:id="10"/>
    </w:p>
    <w:p w:rsidR="00EC01DA" w:rsidRPr="00EC29C0" w:rsidP="00EC01DA" w14:paraId="1E9C50CF" w14:textId="48B77897">
      <w:pPr>
        <w:pStyle w:val="NormalHanging12a"/>
      </w:pPr>
      <w:bookmarkStart w:id="11" w:name="_Hlk223949214"/>
      <w:r w:rsidRPr="00EC29C0">
        <w:t>C.</w:t>
      </w:r>
      <w:r w:rsidRPr="00EC29C0">
        <w:tab/>
        <w:t>Considerando que, de acordo com o pedido de levantamento da imunidade, em fevereiro de 2021, vários deputados ao Parlamento Europeu enviaram uma carta a três comissários com o objetivo de influenciar a política da U</w:t>
      </w:r>
      <w:r w:rsidR="00026BDB">
        <w:t>nião</w:t>
      </w:r>
      <w:r w:rsidRPr="00EC29C0">
        <w:t xml:space="preserve"> em matéria de implantação da tecnologia 5G na Europa, em particular no que diz respeito ao apoio a empresas de países terceiros, como a </w:t>
      </w:r>
      <w:r w:rsidRPr="00EC29C0">
        <w:t>Huawei</w:t>
      </w:r>
      <w:r w:rsidR="00EC29C0">
        <w:t>; considerando que</w:t>
      </w:r>
      <w:r w:rsidRPr="00EC29C0">
        <w:t xml:space="preserve"> a investigação parece ter conseguido identificar um caminho claro desde a elaboração da carta até à sua divulgação, impacto e faturação, o que aparentemente confirma que a carta fazia parte de um circuito que ultrapassava o exercício de influência ou de representação de grupos de interesses e que, ao invés, fazia parte de um acordo de corrupção</w:t>
      </w:r>
      <w:r w:rsidR="00EC29C0">
        <w:t>; considerando que</w:t>
      </w:r>
      <w:r w:rsidRPr="00EC29C0">
        <w:t xml:space="preserve"> se afirma que o principal apoiante da redação da carta foi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>, primeiro signatário da mesma, que terá sido pago, através de circuitos financeiros complexos que procuraram dissimular o alegado acordo, para participar em atos de corrupção no exercício da sua influência política;</w:t>
      </w:r>
    </w:p>
    <w:p w:rsidR="00EC01DA" w:rsidRPr="00EC29C0" w:rsidP="00EC01DA" w14:paraId="6DD4E6F2" w14:textId="35D17A0D">
      <w:pPr>
        <w:pStyle w:val="NormalHanging12a"/>
      </w:pPr>
      <w:r w:rsidRPr="00EC29C0">
        <w:t>D.</w:t>
      </w:r>
      <w:r w:rsidRPr="00EC29C0">
        <w:tab/>
      </w:r>
      <w:bookmarkEnd w:id="11"/>
      <w:r w:rsidRPr="00EC29C0">
        <w:t xml:space="preserve">Considerando que também é alegado que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 xml:space="preserve"> participou ativamente na promoção dos interesses da </w:t>
      </w:r>
      <w:r w:rsidRPr="00EC29C0">
        <w:t>Huawei</w:t>
      </w:r>
      <w:r w:rsidRPr="00EC29C0">
        <w:t>, potencialmente como parte do alegado acordo de corrupção, recorrendo à apresentação de alterações a um projeto de resolução sobre a política de concorrência da U</w:t>
      </w:r>
      <w:r w:rsidR="00026BDB">
        <w:t>nião</w:t>
      </w:r>
      <w:r w:rsidRPr="00EC29C0">
        <w:t xml:space="preserve"> que parece ter sido formulado no interesse da </w:t>
      </w:r>
      <w:r w:rsidRPr="00EC29C0">
        <w:t>Huawei</w:t>
      </w:r>
      <w:r w:rsidRPr="00EC29C0">
        <w:t xml:space="preserve"> e que foi elaborado entre janeiro de 2021 e março de 2021 — ou seja, no período correspondente à criação e divulgação da carta </w:t>
      </w:r>
      <w:r w:rsidR="00026BDB">
        <w:t>referida no considerando C</w:t>
      </w:r>
      <w:r w:rsidRPr="00EC29C0">
        <w:t xml:space="preserve"> — tendo igualmente recorrido à agilização da participação </w:t>
      </w:r>
      <w:r w:rsidRPr="00EC29C0" w:rsidR="00774F72">
        <w:t xml:space="preserve">na Academia </w:t>
      </w:r>
      <w:r w:rsidRPr="00EC29C0" w:rsidR="00774F72">
        <w:t>Huawei</w:t>
      </w:r>
      <w:r w:rsidRPr="00EC29C0" w:rsidR="00774F72">
        <w:t xml:space="preserve"> </w:t>
      </w:r>
      <w:r w:rsidRPr="00EC29C0">
        <w:t>de estudantes do seu círculo eleitoral, a fim de obter votos para permitir a sua reeleição para o Parlamento;</w:t>
      </w:r>
    </w:p>
    <w:p w:rsidR="00EC01DA" w:rsidRPr="00EC29C0" w:rsidP="00EC01DA" w14:paraId="1BACB246" w14:textId="0F9CEC34">
      <w:pPr>
        <w:pStyle w:val="NormalHanging12a"/>
      </w:pPr>
      <w:bookmarkStart w:id="12" w:name="_Hlk223949297"/>
      <w:r w:rsidRPr="00EC29C0">
        <w:t>E.</w:t>
      </w:r>
      <w:r w:rsidRPr="00EC29C0">
        <w:tab/>
        <w:t xml:space="preserve">Considerando que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 xml:space="preserve"> foi eleito para o Parlamento Europeu nas eleições europeias de junho de 2024 e que</w:t>
      </w:r>
      <w:r w:rsidR="00623BA9">
        <w:t>, por conseguinte,</w:t>
      </w:r>
      <w:r w:rsidRPr="00EC29C0">
        <w:t xml:space="preserve"> era deputado ao Parlamento Europeu no momento dos alegados crimes;</w:t>
      </w:r>
    </w:p>
    <w:p w:rsidR="00EC01DA" w:rsidRPr="00EC29C0" w:rsidP="00EC01DA" w14:paraId="4B3FF1AF" w14:textId="40442142">
      <w:pPr>
        <w:pStyle w:val="NormalHanging12a"/>
      </w:pPr>
      <w:r w:rsidRPr="00EC29C0">
        <w:t>F.</w:t>
      </w:r>
      <w:r w:rsidRPr="00EC29C0">
        <w:tab/>
        <w:t xml:space="preserve">Considerando, por um lado, que o Parlamento não pode ser equiparado a um tribunal e que, por outro, o deputado, no </w:t>
      </w:r>
      <w:r w:rsidR="00623BA9">
        <w:t>âmbito</w:t>
      </w:r>
      <w:r w:rsidRPr="00EC29C0" w:rsidR="00623BA9">
        <w:t xml:space="preserve"> </w:t>
      </w:r>
      <w:r w:rsidRPr="00EC29C0">
        <w:t xml:space="preserve">de um processo de levantamento da imunidade, </w:t>
      </w:r>
      <w:r w:rsidRPr="00EC29C0">
        <w:t>não pode ser considerado «arguido»</w:t>
      </w:r>
      <w:r>
        <w:rPr>
          <w:vertAlign w:val="superscript"/>
        </w:rPr>
        <w:footnoteReference w:id="3"/>
      </w:r>
      <w:r w:rsidRPr="00EC29C0">
        <w:t>;</w:t>
      </w:r>
    </w:p>
    <w:p w:rsidR="00EC01DA" w:rsidRPr="00EC29C0" w:rsidP="00EC01DA" w14:paraId="6F27A0A3" w14:textId="10BCC755">
      <w:pPr>
        <w:pStyle w:val="NormalHanging12a"/>
      </w:pPr>
      <w:r w:rsidRPr="00EC29C0">
        <w:t>G.</w:t>
      </w:r>
      <w:r w:rsidRPr="00EC29C0">
        <w:tab/>
        <w:t>Considerando que o objetivo da imunidade parlamentar prevista no Protocolo n.º</w:t>
      </w:r>
      <w:r w:rsidR="00623BA9">
        <w:t> </w:t>
      </w:r>
      <w:r w:rsidRPr="00EC29C0">
        <w:t>7 relativo aos Privilégios e Imunidades da União Europeia consiste em proteger o Parlamento e os seus deputados contra processos judiciais relacionados com atividades exercidas no desempenho das suas funções parlamentares e que não podem ser separadas dessas funções;</w:t>
      </w:r>
    </w:p>
    <w:p w:rsidR="00EC01DA" w:rsidRPr="00EC29C0" w:rsidP="00EC01DA" w14:paraId="5E4A73CA" w14:textId="3537C000">
      <w:pPr>
        <w:pStyle w:val="NormalHanging12a"/>
      </w:pPr>
      <w:r w:rsidRPr="00EC29C0">
        <w:t>H.</w:t>
      </w:r>
      <w:r w:rsidRPr="00EC29C0">
        <w:tab/>
        <w:t>Considerando que, nos termos do artigo 5.º, n.º 2, do seu Regimento, a imunidade parlamentar não é um privilégio pessoal dos deputados, mas sim uma garantia da independência do Parlamento Europeu como um todo</w:t>
      </w:r>
      <w:r w:rsidR="00623BA9">
        <w:t>,</w:t>
      </w:r>
      <w:r w:rsidRPr="00EC29C0">
        <w:t xml:space="preserve"> e dos seus </w:t>
      </w:r>
      <w:r w:rsidR="00623BA9">
        <w:t>membros</w:t>
      </w:r>
      <w:r w:rsidRPr="00EC29C0">
        <w:t>;</w:t>
      </w:r>
    </w:p>
    <w:p w:rsidR="00EC01DA" w:rsidRPr="00EC29C0" w:rsidP="00EC01DA" w14:paraId="6948FFD8" w14:textId="671F68F2">
      <w:pPr>
        <w:pStyle w:val="NormalHanging12a"/>
      </w:pPr>
      <w:r w:rsidRPr="00EC29C0">
        <w:t>I.</w:t>
      </w:r>
      <w:r w:rsidRPr="00EC29C0">
        <w:tab/>
        <w:t xml:space="preserve">Considerando que o Protocolo n.º 7 relativo aos Privilégios e Imunidades da União Europeia, no seu artigo 8.º, prevê que os </w:t>
      </w:r>
      <w:r w:rsidR="0077609B">
        <w:t>membros</w:t>
      </w:r>
      <w:r w:rsidRPr="00EC29C0" w:rsidR="0077609B">
        <w:t xml:space="preserve"> </w:t>
      </w:r>
      <w:r w:rsidR="0077609B">
        <w:t>d</w:t>
      </w:r>
      <w:r w:rsidRPr="00EC29C0">
        <w:t>o Parlamento Europeu não podem ser procurados, detidos ou perseguidos pelas opiniões ou votos emitidos no exercício das suas funções</w:t>
      </w:r>
      <w:r w:rsidR="00EC29C0">
        <w:t>; considerando que</w:t>
      </w:r>
      <w:r w:rsidRPr="00EC29C0">
        <w:t xml:space="preserve"> a alegada infração não diz respeito a opiniões ou votos emitidos por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 xml:space="preserve"> no exercício das suas funções, na aceção do artigo 8.º do referido Protocolo;</w:t>
      </w:r>
    </w:p>
    <w:p w:rsidR="00EC01DA" w:rsidRPr="00EC29C0" w:rsidP="00EC01DA" w14:paraId="308BFE27" w14:textId="4FCBCDB5">
      <w:pPr>
        <w:pStyle w:val="NormalHanging12a"/>
      </w:pPr>
      <w:r w:rsidRPr="00EC29C0">
        <w:t>J.</w:t>
      </w:r>
      <w:r w:rsidRPr="00EC29C0">
        <w:tab/>
        <w:t xml:space="preserve">Considerando que o artigo 9.º, n.º 1, alínea b), do Protocolo n.º 7 relativo aos Privilégios e Imunidades da União Europeia prevê que, </w:t>
      </w:r>
      <w:r w:rsidR="0077609B">
        <w:t>e</w:t>
      </w:r>
      <w:r w:rsidRPr="0077609B" w:rsidR="0077609B">
        <w:t xml:space="preserve">nquanto durarem as sessões do Parlamento Europeu, </w:t>
      </w:r>
      <w:r w:rsidRPr="00EC29C0">
        <w:t xml:space="preserve">os </w:t>
      </w:r>
      <w:r w:rsidR="0077609B">
        <w:t>seus membros</w:t>
      </w:r>
      <w:r w:rsidRPr="00EC29C0" w:rsidR="0077609B">
        <w:t xml:space="preserve"> </w:t>
      </w:r>
      <w:r w:rsidRPr="00EC29C0">
        <w:t>beneficiam, no território de qualquer outro Estado</w:t>
      </w:r>
      <w:r w:rsidRPr="00EC29C0">
        <w:noBreakHyphen/>
        <w:t>Membro à exceção do seu, da não sujeição a qualquer medida de detenção e a qualquer procedimento judicial;</w:t>
      </w:r>
    </w:p>
    <w:p w:rsidR="00EC01DA" w:rsidRPr="00EC29C0" w:rsidP="00EC01DA" w14:paraId="05A1DB3D" w14:textId="44F75D96">
      <w:pPr>
        <w:pStyle w:val="NormalHanging12a"/>
      </w:pPr>
      <w:r w:rsidRPr="00EC29C0">
        <w:t>K.</w:t>
      </w:r>
      <w:r w:rsidRPr="00EC29C0">
        <w:tab/>
        <w:t xml:space="preserve">Considerando que a investigação dizia respeito a muitas pessoas e não apenas a </w:t>
      </w:r>
      <w:r w:rsidRPr="00EC29C0">
        <w:t>Fulvio</w:t>
      </w:r>
      <w:r w:rsidRPr="00EC29C0">
        <w:t xml:space="preserve"> </w:t>
      </w:r>
      <w:r w:rsidRPr="00EC29C0">
        <w:t>Martusciello</w:t>
      </w:r>
      <w:bookmarkStart w:id="13" w:name="_Hlk228970940"/>
      <w:r w:rsidR="00EC29C0">
        <w:t>; considerando que</w:t>
      </w:r>
      <w:r w:rsidRPr="00EC29C0">
        <w:t xml:space="preserve"> o pedido de levantamento da imunidade de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 xml:space="preserve"> parece</w:t>
      </w:r>
      <w:bookmarkEnd w:id="13"/>
      <w:r w:rsidRPr="00EC29C0">
        <w:t xml:space="preserve"> resultar de uma investigação mais ampla sobre alegados atos de corrupção e não visar a sua atividade política</w:t>
      </w:r>
      <w:r w:rsidR="00EC29C0">
        <w:t>; considerando que</w:t>
      </w:r>
      <w:r w:rsidRPr="00EC29C0">
        <w:t xml:space="preserve"> o Parlamento não encontrou indícios de </w:t>
      </w:r>
      <w:r w:rsidRPr="00EC29C0">
        <w:rPr>
          <w:i/>
          <w:iCs/>
        </w:rPr>
        <w:t>fumus</w:t>
      </w:r>
      <w:r w:rsidRPr="00EC29C0">
        <w:rPr>
          <w:i/>
          <w:iCs/>
        </w:rPr>
        <w:t xml:space="preserve"> </w:t>
      </w:r>
      <w:r w:rsidRPr="00EC29C0">
        <w:rPr>
          <w:i/>
          <w:iCs/>
        </w:rPr>
        <w:t>persecutionis</w:t>
      </w:r>
      <w:r w:rsidRPr="00EC29C0">
        <w:t xml:space="preserve">, ou seja, não se afigura que a intenção que subjaz ao processo em causa seja a de prejudicar a atividade política de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 xml:space="preserve"> na sua qualidade de deputado ao Parlamento Europeu</w:t>
      </w:r>
      <w:r w:rsidR="00DE13DC">
        <w:t xml:space="preserve"> e, por conseguinte, </w:t>
      </w:r>
      <w:r w:rsidRPr="00DE13DC" w:rsidR="00DE13DC">
        <w:t>a independência do Parlamento Europeu</w:t>
      </w:r>
      <w:r w:rsidRPr="00EC29C0">
        <w:t>;</w:t>
      </w:r>
    </w:p>
    <w:bookmarkEnd w:id="12"/>
    <w:p w:rsidR="00EC01DA" w:rsidRPr="00EC29C0" w:rsidP="00EC01DA" w14:paraId="2D646810" w14:textId="77777777">
      <w:pPr>
        <w:pStyle w:val="NormalHanging12a"/>
      </w:pPr>
      <w:r w:rsidRPr="00EC29C0">
        <w:t>1.</w:t>
      </w:r>
      <w:r w:rsidRPr="00EC29C0">
        <w:tab/>
      </w:r>
      <w:bookmarkStart w:id="14" w:name="_Hlk223949317"/>
      <w:r w:rsidRPr="00EC29C0">
        <w:t>Decide levantar a imunidade</w:t>
      </w:r>
      <w:bookmarkEnd w:id="14"/>
      <w:r w:rsidRPr="00EC29C0">
        <w:t xml:space="preserve"> de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>;</w:t>
      </w:r>
    </w:p>
    <w:p w:rsidR="00E365E1" w:rsidRPr="00EC29C0" w:rsidP="008B2D2C" w14:paraId="743E0971" w14:textId="5E65A2EB">
      <w:pPr>
        <w:pStyle w:val="NormalHanging12a"/>
      </w:pPr>
      <w:r w:rsidRPr="00EC29C0">
        <w:t>2.</w:t>
      </w:r>
      <w:r w:rsidRPr="00EC29C0">
        <w:tab/>
        <w:t xml:space="preserve">Encarrega a sua Presidente de transmitir de imediato a presente decisão, bem como o relatório da sua comissão competente, às autoridades competentes do Reino da Bélgica e a </w:t>
      </w:r>
      <w:r w:rsidRPr="00EC29C0">
        <w:t>Fulvio</w:t>
      </w:r>
      <w:r w:rsidRPr="00EC29C0">
        <w:t xml:space="preserve"> </w:t>
      </w:r>
      <w:r w:rsidRPr="00EC29C0">
        <w:t>Martusciello</w:t>
      </w:r>
      <w:r w:rsidRPr="00EC29C0">
        <w:t>.</w:t>
      </w:r>
    </w:p>
    <w:sectPr w:rsidSect="002503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37D" w14:paraId="55BBC78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37D" w14:paraId="5E22F0D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37D" w14:paraId="3FD226B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C6440" w:rsidRPr="0025037D" w14:paraId="2858C3EB" w14:textId="77777777">
      <w:r w:rsidRPr="0025037D">
        <w:separator/>
      </w:r>
    </w:p>
  </w:footnote>
  <w:footnote w:type="continuationSeparator" w:id="1">
    <w:p w:rsidR="00DC6440" w:rsidRPr="0025037D" w14:paraId="4B8EECC7" w14:textId="77777777">
      <w:r w:rsidRPr="0025037D">
        <w:continuationSeparator/>
      </w:r>
    </w:p>
  </w:footnote>
  <w:footnote w:id="2">
    <w:p w:rsidR="00EC01DA" w:rsidRPr="0025037D" w:rsidP="0025037D" w14:paraId="0B4655C8" w14:textId="23821A4A">
      <w:pPr>
        <w:pStyle w:val="FootnoteText"/>
        <w:ind w:left="567" w:hanging="567"/>
        <w:rPr>
          <w:sz w:val="24"/>
          <w:lang w:val="pt-PT"/>
        </w:rPr>
      </w:pPr>
      <w:r w:rsidRPr="0025037D">
        <w:rPr>
          <w:rStyle w:val="FootnoteReference"/>
          <w:sz w:val="24"/>
          <w:lang w:val="pt-PT"/>
        </w:rPr>
        <w:footnoteRef/>
      </w:r>
      <w:r w:rsidRPr="0025037D" w:rsidR="0025037D">
        <w:rPr>
          <w:sz w:val="24"/>
          <w:lang w:val="pt-PT"/>
        </w:rPr>
        <w:t xml:space="preserve"> </w:t>
      </w:r>
      <w:r w:rsidRPr="0025037D" w:rsidR="0025037D">
        <w:rPr>
          <w:sz w:val="24"/>
          <w:lang w:val="pt-PT"/>
        </w:rPr>
        <w:tab/>
      </w:r>
      <w:r w:rsidRPr="0025037D">
        <w:rPr>
          <w:sz w:val="24"/>
          <w:lang w:val="pt-PT"/>
        </w:rPr>
        <w:t xml:space="preserve">Acórdão do Tribunal de Justiça, de 21 de outubro de 2008, Marra/De </w:t>
      </w:r>
      <w:r w:rsidRPr="0025037D">
        <w:rPr>
          <w:sz w:val="24"/>
          <w:lang w:val="pt-PT"/>
        </w:rPr>
        <w:t>Gregorio</w:t>
      </w:r>
      <w:r w:rsidRPr="0025037D">
        <w:rPr>
          <w:sz w:val="24"/>
          <w:lang w:val="pt-PT"/>
        </w:rPr>
        <w:t xml:space="preserve"> e Clemente, C</w:t>
      </w:r>
      <w:r w:rsidRPr="0025037D">
        <w:rPr>
          <w:sz w:val="24"/>
          <w:lang w:val="pt-PT"/>
        </w:rPr>
        <w:noBreakHyphen/>
        <w:t>200/07 e C</w:t>
      </w:r>
      <w:r w:rsidRPr="0025037D">
        <w:rPr>
          <w:sz w:val="24"/>
          <w:lang w:val="pt-PT"/>
        </w:rPr>
        <w:noBreakHyphen/>
        <w:t xml:space="preserve">201/07, ECLI:EU:C:2008:579; acórdão do Tribunal Geral de 19 de março de 2010, </w:t>
      </w:r>
      <w:r w:rsidRPr="0025037D">
        <w:rPr>
          <w:sz w:val="24"/>
          <w:lang w:val="pt-PT"/>
        </w:rPr>
        <w:t>Gollnisch</w:t>
      </w:r>
      <w:r w:rsidRPr="0025037D">
        <w:rPr>
          <w:sz w:val="24"/>
          <w:lang w:val="pt-PT"/>
        </w:rPr>
        <w:t>/Parlamento Europeu, T</w:t>
      </w:r>
      <w:r w:rsidRPr="0025037D">
        <w:rPr>
          <w:sz w:val="24"/>
          <w:lang w:val="pt-PT"/>
        </w:rPr>
        <w:noBreakHyphen/>
        <w:t xml:space="preserve">42/06, ECLI:EU:T:2010:102; Acórdão do Tribunal de Justiça de 6 de setembro de 2011, </w:t>
      </w:r>
      <w:r w:rsidRPr="008B2D2C">
        <w:rPr>
          <w:sz w:val="24"/>
          <w:lang w:val="pt-PT"/>
        </w:rPr>
        <w:t>Patriciello</w:t>
      </w:r>
      <w:r w:rsidRPr="0025037D">
        <w:rPr>
          <w:sz w:val="24"/>
          <w:lang w:val="pt-PT"/>
        </w:rPr>
        <w:t>, C</w:t>
      </w:r>
      <w:r w:rsidRPr="0025037D">
        <w:rPr>
          <w:sz w:val="24"/>
          <w:lang w:val="pt-PT"/>
        </w:rPr>
        <w:noBreakHyphen/>
        <w:t xml:space="preserve"> 163/10, ECLI: EU:C:2011:543; Acórdão do Tribunal Geral de 17 de janeiro de 2013, </w:t>
      </w:r>
      <w:r w:rsidRPr="0025037D">
        <w:rPr>
          <w:sz w:val="24"/>
          <w:lang w:val="pt-PT"/>
        </w:rPr>
        <w:t>Gollnisch</w:t>
      </w:r>
      <w:r w:rsidRPr="0025037D">
        <w:rPr>
          <w:sz w:val="24"/>
          <w:lang w:val="pt-PT"/>
        </w:rPr>
        <w:t>/Parlamento Europeu, T</w:t>
      </w:r>
      <w:r w:rsidRPr="0025037D">
        <w:rPr>
          <w:sz w:val="24"/>
          <w:lang w:val="pt-PT"/>
        </w:rPr>
        <w:noBreakHyphen/>
        <w:t>346/11 e T</w:t>
      </w:r>
      <w:r w:rsidRPr="0025037D">
        <w:rPr>
          <w:sz w:val="24"/>
          <w:lang w:val="pt-PT"/>
        </w:rPr>
        <w:noBreakHyphen/>
        <w:t>347/11, ECLI:EU:T:2013:23</w:t>
      </w:r>
      <w:r w:rsidR="00623BA9">
        <w:rPr>
          <w:sz w:val="24"/>
          <w:lang w:val="pt-PT"/>
        </w:rPr>
        <w:t>;</w:t>
      </w:r>
      <w:r w:rsidRPr="0025037D">
        <w:rPr>
          <w:sz w:val="24"/>
          <w:lang w:val="pt-PT"/>
        </w:rPr>
        <w:t xml:space="preserve"> Acórdão do Tribunal de Justiça de 19 de dezembro de 2019, </w:t>
      </w:r>
      <w:r w:rsidRPr="008B2D2C">
        <w:rPr>
          <w:sz w:val="24"/>
          <w:lang w:val="pt-PT"/>
        </w:rPr>
        <w:t>Junqueras</w:t>
      </w:r>
      <w:r w:rsidRPr="008B2D2C">
        <w:rPr>
          <w:sz w:val="24"/>
          <w:lang w:val="pt-PT"/>
        </w:rPr>
        <w:t xml:space="preserve"> </w:t>
      </w:r>
      <w:r w:rsidRPr="008B2D2C">
        <w:rPr>
          <w:sz w:val="24"/>
          <w:lang w:val="pt-PT"/>
        </w:rPr>
        <w:t>Vies</w:t>
      </w:r>
      <w:r w:rsidRPr="00623BA9">
        <w:rPr>
          <w:sz w:val="24"/>
          <w:lang w:val="pt-PT"/>
        </w:rPr>
        <w:t>,</w:t>
      </w:r>
      <w:r w:rsidRPr="0025037D">
        <w:rPr>
          <w:sz w:val="24"/>
          <w:lang w:val="pt-PT"/>
        </w:rPr>
        <w:t xml:space="preserve"> C 502/19, ECLI:EU:C:2019:1115.</w:t>
      </w:r>
    </w:p>
  </w:footnote>
  <w:footnote w:id="3">
    <w:p w:rsidR="00EC01DA" w:rsidRPr="0025037D" w:rsidP="0025037D" w14:paraId="245588A3" w14:textId="1B6E71B7">
      <w:pPr>
        <w:pStyle w:val="FootnoteText"/>
        <w:ind w:left="567" w:hanging="567"/>
        <w:rPr>
          <w:sz w:val="24"/>
          <w:lang w:val="pt-PT"/>
        </w:rPr>
      </w:pPr>
      <w:r w:rsidRPr="0025037D">
        <w:rPr>
          <w:rStyle w:val="FootnoteReference"/>
          <w:sz w:val="24"/>
          <w:lang w:val="pt-PT"/>
        </w:rPr>
        <w:footnoteRef/>
      </w:r>
      <w:r w:rsidRPr="0025037D" w:rsidR="0025037D">
        <w:rPr>
          <w:sz w:val="24"/>
          <w:lang w:val="pt-PT"/>
        </w:rPr>
        <w:t xml:space="preserve"> </w:t>
      </w:r>
      <w:r w:rsidRPr="0025037D" w:rsidR="0025037D">
        <w:rPr>
          <w:sz w:val="24"/>
          <w:lang w:val="pt-PT"/>
        </w:rPr>
        <w:tab/>
      </w:r>
      <w:r w:rsidRPr="0025037D">
        <w:rPr>
          <w:sz w:val="24"/>
          <w:lang w:val="pt-PT"/>
        </w:rPr>
        <w:t xml:space="preserve">Acórdão do Tribunal Geral de 30 de abril de 2019, </w:t>
      </w:r>
      <w:r w:rsidRPr="0025037D">
        <w:rPr>
          <w:sz w:val="24"/>
          <w:lang w:val="pt-PT"/>
        </w:rPr>
        <w:t>Briois</w:t>
      </w:r>
      <w:r w:rsidRPr="0025037D">
        <w:rPr>
          <w:sz w:val="24"/>
          <w:lang w:val="pt-PT"/>
        </w:rPr>
        <w:t>/Parlamento Europeu, T</w:t>
      </w:r>
      <w:r w:rsidRPr="0025037D">
        <w:rPr>
          <w:sz w:val="24"/>
          <w:lang w:val="pt-PT"/>
        </w:rPr>
        <w:noBreakHyphen/>
        <w:t>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37D" w14:paraId="6B2DC80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37D" w14:paraId="17F7B16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37D" w14:paraId="718EFD3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0611221">
    <w:abstractNumId w:val="9"/>
  </w:num>
  <w:num w:numId="2" w16cid:durableId="12194955">
    <w:abstractNumId w:val="9"/>
  </w:num>
  <w:num w:numId="3" w16cid:durableId="1464537063">
    <w:abstractNumId w:val="7"/>
  </w:num>
  <w:num w:numId="4" w16cid:durableId="316031528">
    <w:abstractNumId w:val="7"/>
  </w:num>
  <w:num w:numId="5" w16cid:durableId="1898932097">
    <w:abstractNumId w:val="6"/>
  </w:num>
  <w:num w:numId="6" w16cid:durableId="1883862700">
    <w:abstractNumId w:val="6"/>
  </w:num>
  <w:num w:numId="7" w16cid:durableId="1611358541">
    <w:abstractNumId w:val="5"/>
  </w:num>
  <w:num w:numId="8" w16cid:durableId="394663302">
    <w:abstractNumId w:val="5"/>
  </w:num>
  <w:num w:numId="9" w16cid:durableId="442268168">
    <w:abstractNumId w:val="4"/>
  </w:num>
  <w:num w:numId="10" w16cid:durableId="2086996631">
    <w:abstractNumId w:val="4"/>
  </w:num>
  <w:num w:numId="11" w16cid:durableId="276840636">
    <w:abstractNumId w:val="8"/>
  </w:num>
  <w:num w:numId="12" w16cid:durableId="2037074214">
    <w:abstractNumId w:val="8"/>
  </w:num>
  <w:num w:numId="13" w16cid:durableId="278952102">
    <w:abstractNumId w:val="3"/>
  </w:num>
  <w:num w:numId="14" w16cid:durableId="699206311">
    <w:abstractNumId w:val="3"/>
  </w:num>
  <w:num w:numId="15" w16cid:durableId="1852332029">
    <w:abstractNumId w:val="2"/>
  </w:num>
  <w:num w:numId="16" w16cid:durableId="1293516265">
    <w:abstractNumId w:val="2"/>
  </w:num>
  <w:num w:numId="17" w16cid:durableId="952249508">
    <w:abstractNumId w:val="1"/>
  </w:num>
  <w:num w:numId="18" w16cid:durableId="1209294478">
    <w:abstractNumId w:val="1"/>
  </w:num>
  <w:num w:numId="19" w16cid:durableId="393436116">
    <w:abstractNumId w:val="0"/>
  </w:num>
  <w:num w:numId="20" w16cid:durableId="384569813">
    <w:abstractNumId w:val="0"/>
  </w:num>
  <w:num w:numId="21" w16cid:durableId="1308169852">
    <w:abstractNumId w:val="9"/>
  </w:num>
  <w:num w:numId="22" w16cid:durableId="1572227757">
    <w:abstractNumId w:val="7"/>
  </w:num>
  <w:num w:numId="23" w16cid:durableId="778333306">
    <w:abstractNumId w:val="6"/>
  </w:num>
  <w:num w:numId="24" w16cid:durableId="18745543">
    <w:abstractNumId w:val="5"/>
  </w:num>
  <w:num w:numId="25" w16cid:durableId="1179546804">
    <w:abstractNumId w:val="4"/>
  </w:num>
  <w:num w:numId="26" w16cid:durableId="859010536">
    <w:abstractNumId w:val="8"/>
  </w:num>
  <w:num w:numId="27" w16cid:durableId="1555461711">
    <w:abstractNumId w:val="3"/>
  </w:num>
  <w:num w:numId="28" w16cid:durableId="1112046925">
    <w:abstractNumId w:val="2"/>
  </w:num>
  <w:num w:numId="29" w16cid:durableId="521624792">
    <w:abstractNumId w:val="1"/>
  </w:num>
  <w:num w:numId="30" w16cid:durableId="1055352041">
    <w:abstractNumId w:val="0"/>
  </w:num>
  <w:num w:numId="31" w16cid:durableId="1872373504">
    <w:abstractNumId w:val="9"/>
  </w:num>
  <w:num w:numId="32" w16cid:durableId="226306533">
    <w:abstractNumId w:val="7"/>
  </w:num>
  <w:num w:numId="33" w16cid:durableId="156382902">
    <w:abstractNumId w:val="6"/>
  </w:num>
  <w:num w:numId="34" w16cid:durableId="780492932">
    <w:abstractNumId w:val="5"/>
  </w:num>
  <w:num w:numId="35" w16cid:durableId="1145583310">
    <w:abstractNumId w:val="4"/>
  </w:num>
  <w:num w:numId="36" w16cid:durableId="282083370">
    <w:abstractNumId w:val="8"/>
  </w:num>
  <w:num w:numId="37" w16cid:durableId="2107384315">
    <w:abstractNumId w:val="3"/>
  </w:num>
  <w:num w:numId="38" w16cid:durableId="177080862">
    <w:abstractNumId w:val="2"/>
  </w:num>
  <w:num w:numId="39" w16cid:durableId="1474761719">
    <w:abstractNumId w:val="1"/>
  </w:num>
  <w:num w:numId="40" w16cid:durableId="1989288626">
    <w:abstractNumId w:val="0"/>
  </w:num>
  <w:num w:numId="41" w16cid:durableId="637732932">
    <w:abstractNumId w:val="10"/>
  </w:num>
  <w:num w:numId="42" w16cid:durableId="2017070925">
    <w:abstractNumId w:val="10"/>
  </w:num>
  <w:num w:numId="43" w16cid:durableId="1661421985">
    <w:abstractNumId w:val="10"/>
  </w:num>
  <w:num w:numId="44" w16cid:durableId="14771372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40"/>
    <w:rsid w:val="00002272"/>
    <w:rsid w:val="00026BD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037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EA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BA9"/>
    <w:rsid w:val="0063209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F72"/>
    <w:rsid w:val="0077609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D2C"/>
    <w:rsid w:val="008C2AC6"/>
    <w:rsid w:val="00930C23"/>
    <w:rsid w:val="0093193B"/>
    <w:rsid w:val="009509D8"/>
    <w:rsid w:val="00950B64"/>
    <w:rsid w:val="00981893"/>
    <w:rsid w:val="009C0C9A"/>
    <w:rsid w:val="00A1687D"/>
    <w:rsid w:val="00A43E52"/>
    <w:rsid w:val="00A4678D"/>
    <w:rsid w:val="00A561F0"/>
    <w:rsid w:val="00A778C7"/>
    <w:rsid w:val="00AB441E"/>
    <w:rsid w:val="00AB6293"/>
    <w:rsid w:val="00AB6B81"/>
    <w:rsid w:val="00AE0928"/>
    <w:rsid w:val="00AF3B82"/>
    <w:rsid w:val="00B12E95"/>
    <w:rsid w:val="00B22876"/>
    <w:rsid w:val="00B47AB8"/>
    <w:rsid w:val="00B558F0"/>
    <w:rsid w:val="00B82C3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FBC"/>
    <w:rsid w:val="00DC6440"/>
    <w:rsid w:val="00DD39CB"/>
    <w:rsid w:val="00DE13DC"/>
    <w:rsid w:val="00E365E1"/>
    <w:rsid w:val="00E820A4"/>
    <w:rsid w:val="00EB006A"/>
    <w:rsid w:val="00EB4772"/>
    <w:rsid w:val="00EC01DA"/>
    <w:rsid w:val="00EC29C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4/2026"/>
    <w:docVar w:name="dvlangue" w:val="PT"/>
    <w:docVar w:name="dvnumam" w:val="0"/>
    <w:docVar w:name="dvpe" w:val="788.823"/>
    <w:docVar w:name="dvrapporteur" w:val="Relator: "/>
    <w:docVar w:name="dvtitre" w:val="Decisão do Parlamento Europeu, de ... de ... de 2026,&#13;_x000a_ sobre o pedido de levantamento da imunidade de Fulvio Martusciello(2025/2099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2D9F738"/>
  <w15:chartTrackingRefBased/>
  <w15:docId w15:val="{C972D890-B25C-47F3-B088-2C62997C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C01DA"/>
    <w:pPr>
      <w:spacing w:after="240"/>
      <w:ind w:left="567" w:hanging="567"/>
    </w:pPr>
  </w:style>
  <w:style w:type="paragraph" w:customStyle="1" w:styleId="EPComma">
    <w:name w:val="EPComma"/>
    <w:basedOn w:val="Normal"/>
    <w:rsid w:val="00EC01DA"/>
    <w:pPr>
      <w:spacing w:before="480" w:after="240"/>
    </w:pPr>
  </w:style>
  <w:style w:type="paragraph" w:styleId="Revision">
    <w:name w:val="Revision"/>
    <w:hidden/>
    <w:uiPriority w:val="99"/>
    <w:semiHidden/>
    <w:rsid w:val="00EC29C0"/>
    <w:rPr>
      <w:sz w:val="24"/>
      <w:lang w:val="pt-PT"/>
    </w:rPr>
  </w:style>
  <w:style w:type="character" w:styleId="CommentReference">
    <w:name w:val="annotation reference"/>
    <w:basedOn w:val="DefaultParagraphFont"/>
    <w:rsid w:val="00EC29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29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29C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C29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29C0"/>
    <w:rPr>
      <w:b/>
      <w:bCs/>
      <w:lang w:val="pt-PT"/>
    </w:rPr>
  </w:style>
  <w:style w:type="character" w:styleId="Hyperlink">
    <w:name w:val="Hyperlink"/>
    <w:basedOn w:val="DefaultParagraphFont"/>
    <w:rsid w:val="00EC29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2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1148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2026-06-16T11:28:00Z</dcterms:created>
  <dcterms:modified xsi:type="dcterms:W3CDTF">2026-06-16T11:28:00Z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A10-0154/2026</vt:lpwstr>
  </property>
  <property fmtid="{D5CDD505-2E9C-101B-9397-08002B2CF9AE}" pid="4" name="&lt;Type&gt;">
    <vt:lpwstr>RR</vt:lpwstr>
  </property>
</Properties>
</file>