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0B0EF6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072F" w:rsidP="0010095E" w14:paraId="23A1DD13" w14:textId="77777777">
            <w:pPr>
              <w:pStyle w:val="EPName"/>
            </w:pPr>
            <w:r w:rsidRPr="0080072F">
              <w:t>Parlamentul European</w:t>
            </w:r>
          </w:p>
          <w:p w:rsidR="00751A4A" w:rsidRPr="0080072F" w:rsidP="005F1B17" w14:paraId="13AAF8B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072F">
              <w:t>2024</w:t>
            </w:r>
            <w:r w:rsidRPr="0080072F" w:rsidR="00817416">
              <w:t>-202</w:t>
            </w:r>
            <w:r w:rsidRPr="0080072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072F" w:rsidP="0010095E" w14:paraId="21157EDF" w14:textId="77777777">
            <w:pPr>
              <w:pStyle w:val="EPLogo"/>
            </w:pPr>
            <w:r w:rsidRPr="0080072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072F" w:rsidP="004C5D52" w14:paraId="2EDE0E34" w14:textId="77777777">
      <w:pPr>
        <w:pStyle w:val="LineTop"/>
      </w:pPr>
    </w:p>
    <w:p w:rsidR="00680577" w:rsidRPr="0080072F" w:rsidP="00680577" w14:paraId="17D3A00F" w14:textId="77777777">
      <w:pPr>
        <w:pStyle w:val="EPBodyTA1"/>
      </w:pPr>
      <w:r w:rsidRPr="0080072F">
        <w:t>TEXTE ADOPTATE</w:t>
      </w:r>
    </w:p>
    <w:p w:rsidR="00D058B8" w:rsidRPr="0080072F" w:rsidP="00D058B8" w14:paraId="2CB017A6" w14:textId="77777777">
      <w:pPr>
        <w:pStyle w:val="LineBottom"/>
      </w:pPr>
    </w:p>
    <w:p w:rsidR="001F1A44" w:rsidRPr="0080072F" w:rsidP="001F1A44" w14:paraId="7A87F79E" w14:textId="75F4FFE9">
      <w:pPr>
        <w:pStyle w:val="ATHeading1"/>
      </w:pPr>
      <w:bookmarkStart w:id="0" w:name="TANumber"/>
      <w:r w:rsidRPr="0080072F">
        <w:t>P10_TA(2026)0</w:t>
      </w:r>
      <w:bookmarkEnd w:id="0"/>
      <w:r w:rsidRPr="0080072F" w:rsidR="0080072F">
        <w:t>194</w:t>
      </w:r>
    </w:p>
    <w:p w:rsidR="001F1A44" w:rsidRPr="0080072F" w:rsidP="001F1A44" w14:paraId="4D337111" w14:textId="77777777">
      <w:pPr>
        <w:pStyle w:val="ATHeading2"/>
      </w:pPr>
      <w:bookmarkStart w:id="1" w:name="title"/>
      <w:r w:rsidRPr="0080072F">
        <w:t xml:space="preserve">Cerere de ridicare a imunității deputatului </w:t>
      </w:r>
      <w:r w:rsidRPr="0080072F">
        <w:t>Fulvio</w:t>
      </w:r>
      <w:r w:rsidRPr="0080072F">
        <w:t xml:space="preserve"> </w:t>
      </w:r>
      <w:r w:rsidRPr="0080072F">
        <w:t>Martusciello</w:t>
      </w:r>
      <w:bookmarkEnd w:id="1"/>
    </w:p>
    <w:p w:rsidR="001F1A44" w:rsidRPr="0080072F" w:rsidP="001F1A44" w14:paraId="49857F01" w14:textId="77777777">
      <w:pPr>
        <w:rPr>
          <w:i/>
          <w:vanish/>
        </w:rPr>
      </w:pPr>
      <w:r>
        <w:rPr>
          <w:i/>
        </w:rPr>
        <w:fldChar w:fldCharType="begin"/>
      </w:r>
      <w:r w:rsidRPr="0080072F">
        <w:rPr>
          <w:i/>
        </w:rPr>
        <w:instrText xml:space="preserve"> TC"(</w:instrText>
      </w:r>
      <w:bookmarkStart w:id="2" w:name="DocNumber"/>
      <w:r w:rsidRPr="0080072F">
        <w:rPr>
          <w:i/>
        </w:rPr>
        <w:instrText>A10-0154/2026</w:instrText>
      </w:r>
      <w:bookmarkEnd w:id="2"/>
      <w:r w:rsidRPr="0080072F">
        <w:rPr>
          <w:i/>
        </w:rPr>
        <w:instrText xml:space="preserve"> - Raportor: Dominik Tarczyński)"\l3 \n&gt; \* MERGEFORMAT </w:instrText>
      </w:r>
      <w:r>
        <w:rPr>
          <w:i/>
        </w:rPr>
        <w:fldChar w:fldCharType="end"/>
      </w:r>
    </w:p>
    <w:p w:rsidR="001F1A44" w:rsidRPr="0080072F" w:rsidP="001F1A44" w14:paraId="21661D6F" w14:textId="77777777">
      <w:pPr>
        <w:rPr>
          <w:vanish/>
        </w:rPr>
      </w:pPr>
      <w:bookmarkStart w:id="3" w:name="Commission"/>
      <w:r w:rsidRPr="0080072F">
        <w:rPr>
          <w:vanish/>
        </w:rPr>
        <w:t>Comisia pentru afaceri juridice</w:t>
      </w:r>
      <w:bookmarkEnd w:id="3"/>
    </w:p>
    <w:p w:rsidR="001F1A44" w:rsidRPr="0080072F" w:rsidP="001F1A44" w14:paraId="6583FD85" w14:textId="77777777">
      <w:pPr>
        <w:rPr>
          <w:vanish/>
        </w:rPr>
      </w:pPr>
      <w:bookmarkStart w:id="4" w:name="PE"/>
      <w:r w:rsidRPr="0080072F">
        <w:rPr>
          <w:vanish/>
        </w:rPr>
        <w:t>PE788.823</w:t>
      </w:r>
      <w:bookmarkEnd w:id="4"/>
    </w:p>
    <w:p w:rsidR="001F1A44" w:rsidRPr="0080072F" w:rsidP="001F1A44" w14:paraId="13A1BB20" w14:textId="77777777">
      <w:pPr>
        <w:pStyle w:val="ATHeading3"/>
      </w:pPr>
      <w:bookmarkStart w:id="5" w:name="Sujet"/>
      <w:r w:rsidRPr="0080072F">
        <w:t xml:space="preserve">Decizia Parlamentului European din 16 iunie 2026 privind cererea de ridicare a imunității deputatului </w:t>
      </w:r>
      <w:r w:rsidRPr="0080072F">
        <w:t>Fulvio</w:t>
      </w:r>
      <w:r w:rsidRPr="0080072F">
        <w:t xml:space="preserve"> </w:t>
      </w:r>
      <w:r w:rsidRPr="0080072F">
        <w:t>Martusciello</w:t>
      </w:r>
      <w:bookmarkEnd w:id="5"/>
      <w:r w:rsidRPr="0080072F">
        <w:t xml:space="preserve"> </w:t>
      </w:r>
      <w:bookmarkStart w:id="6" w:name="References"/>
      <w:r w:rsidRPr="0080072F">
        <w:t>(2025/2099(IMM))</w:t>
      </w:r>
      <w:bookmarkEnd w:id="6"/>
    </w:p>
    <w:p w:rsidR="003A2534" w:rsidRPr="0080072F" w:rsidP="003A2534" w14:paraId="79FA6C7E" w14:textId="77777777">
      <w:pPr>
        <w:pStyle w:val="EPComma"/>
      </w:pPr>
      <w:bookmarkStart w:id="7" w:name="TextBodyBegin"/>
      <w:bookmarkEnd w:id="7"/>
      <w:r w:rsidRPr="0080072F">
        <w:rPr>
          <w:i/>
        </w:rPr>
        <w:t>Parlamentul European</w:t>
      </w:r>
      <w:r w:rsidRPr="0080072F">
        <w:t>,</w:t>
      </w:r>
    </w:p>
    <w:p w:rsidR="003A2534" w:rsidRPr="0080072F" w:rsidP="003A2534" w14:paraId="172127DE" w14:textId="7C90B2EC">
      <w:pPr>
        <w:pStyle w:val="NormalHanging12a"/>
      </w:pPr>
      <w:r w:rsidRPr="0080072F">
        <w:t>–</w:t>
      </w:r>
      <w:r w:rsidRPr="0080072F">
        <w:tab/>
        <w:t xml:space="preserve">având în vedere cererea de ridicare a imunității deputatului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 xml:space="preserve">, primită prin scrisoarea din 6 mai 2025 din partea Serviciului public federal belgian </w:t>
      </w:r>
      <w:r w:rsidRPr="0080072F" w:rsidR="00AB0372">
        <w:t xml:space="preserve">pentru </w:t>
      </w:r>
      <w:r w:rsidRPr="0080072F" w:rsidR="0095121D">
        <w:t>a</w:t>
      </w:r>
      <w:r w:rsidRPr="0080072F">
        <w:t xml:space="preserve">faceri externe, comerț exterior și cooperare pentru dezvoltare, care a transmis o cerere, cu data de 16 aprilie 2025, din partea Parchetului Federal al Belgiei în legătură cu procedurile penale care urmează să fie inițiate împotriva lui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 xml:space="preserve">, și anunțată în </w:t>
      </w:r>
      <w:r w:rsidRPr="0080072F" w:rsidR="0095121D">
        <w:t>plen</w:t>
      </w:r>
      <w:r w:rsidRPr="0080072F">
        <w:t xml:space="preserve"> la 21 mai 2025,</w:t>
      </w:r>
    </w:p>
    <w:p w:rsidR="003A2534" w:rsidRPr="0080072F" w:rsidP="003A2534" w14:paraId="6E03407E" w14:textId="77777777">
      <w:pPr>
        <w:pStyle w:val="NormalHanging12a"/>
        <w:rPr>
          <w:bCs/>
        </w:rPr>
      </w:pPr>
      <w:r w:rsidRPr="0080072F">
        <w:t>–</w:t>
      </w:r>
      <w:r w:rsidRPr="0080072F">
        <w:tab/>
        <w:t xml:space="preserve">având în vedere audierea deputatului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 xml:space="preserve"> la 24 martie 2026, în conformitate cu articolul 9 alineatul (6) din Regulamentul său de procedură,</w:t>
      </w:r>
    </w:p>
    <w:p w:rsidR="003A2534" w:rsidRPr="0080072F" w:rsidP="003A2534" w14:paraId="0DCE219B" w14:textId="77777777">
      <w:pPr>
        <w:pStyle w:val="NormalHanging12a"/>
      </w:pPr>
      <w:r w:rsidRPr="0080072F">
        <w:t>–</w:t>
      </w:r>
      <w:r w:rsidRPr="0080072F">
        <w:tab/>
        <w:t>având în vedere articolele 8 și 9 din Protocolul nr. 7 privind privilegiile și imunitățile Uniunii Europene, precum și articolul 6 alineatul (2) din Actul din 20 septembrie 1976 privind alegerea membrilor Parlamentului European prin vot universal direct,</w:t>
      </w:r>
    </w:p>
    <w:p w:rsidR="003A2534" w:rsidRPr="0080072F" w:rsidP="003A2534" w14:paraId="37EBE64A" w14:textId="77777777">
      <w:pPr>
        <w:pStyle w:val="NormalHanging12a"/>
      </w:pPr>
      <w:r w:rsidRPr="0080072F">
        <w:t>–</w:t>
      </w:r>
      <w:r w:rsidRPr="0080072F">
        <w:tab/>
        <w:t>având în vedere hotărârile Curții de Justiție a Uniunii Europene din 21 octombrie 2008, 19 martie 2010, 6 septembrie 2011, 17 ianuarie 2013 și 19 decembrie 2019</w:t>
      </w:r>
      <w:r>
        <w:rPr>
          <w:vertAlign w:val="superscript"/>
        </w:rPr>
        <w:footnoteReference w:id="2"/>
      </w:r>
      <w:r w:rsidRPr="0080072F">
        <w:t>,</w:t>
      </w:r>
    </w:p>
    <w:p w:rsidR="003A2534" w:rsidRPr="0080072F" w:rsidP="003A2534" w14:paraId="6FEE7A73" w14:textId="77777777">
      <w:pPr>
        <w:pStyle w:val="NormalHanging12a"/>
      </w:pPr>
      <w:r w:rsidRPr="0080072F">
        <w:t>–</w:t>
      </w:r>
      <w:r w:rsidRPr="0080072F">
        <w:tab/>
        <w:t>având în vedere articolul 5 alineatul (2), articolul 6 alineatul (1) și articolul 9 din Regulamentul său de procedură,</w:t>
      </w:r>
    </w:p>
    <w:p w:rsidR="003A2534" w:rsidRPr="0080072F" w:rsidP="003A2534" w14:paraId="2ADC7841" w14:textId="77777777">
      <w:pPr>
        <w:pStyle w:val="NormalHanging12a"/>
      </w:pPr>
      <w:r w:rsidRPr="0080072F">
        <w:t>–</w:t>
      </w:r>
      <w:r w:rsidRPr="0080072F">
        <w:tab/>
        <w:t>având în vedere raportul Comisiei pentru afaceri juridice (A10-0154/2026),</w:t>
      </w:r>
    </w:p>
    <w:p w:rsidR="003A2534" w:rsidRPr="0080072F" w:rsidP="003A2534" w14:paraId="66FE0D6F" w14:textId="4767BFDA">
      <w:pPr>
        <w:pStyle w:val="NormalHanging12a"/>
      </w:pPr>
      <w:r w:rsidRPr="0080072F">
        <w:t>A.</w:t>
      </w:r>
      <w:r w:rsidRPr="0080072F">
        <w:tab/>
      </w:r>
      <w:bookmarkStart w:id="8" w:name="_Hlk223949138"/>
      <w:r w:rsidRPr="0080072F">
        <w:t xml:space="preserve">întrucât, la </w:t>
      </w:r>
      <w:bookmarkStart w:id="9" w:name="_Hlk210982066"/>
      <w:r w:rsidRPr="0080072F" w:rsidR="00AB0372">
        <w:t xml:space="preserve">6 mai 2025 Serviciul public federal belgian pentru </w:t>
      </w:r>
      <w:r w:rsidRPr="0080072F" w:rsidR="0095121D">
        <w:t>a</w:t>
      </w:r>
      <w:r w:rsidRPr="0080072F" w:rsidR="00AB0372">
        <w:t>faceri externe, comerț exterior și cooperare pentru dezvoltare a transmis o cerere</w:t>
      </w:r>
      <w:bookmarkEnd w:id="9"/>
      <w:r w:rsidRPr="0080072F">
        <w:t xml:space="preserve"> </w:t>
      </w:r>
      <w:r w:rsidRPr="0080072F" w:rsidR="00AB0372">
        <w:t xml:space="preserve">din partea </w:t>
      </w:r>
      <w:r w:rsidRPr="0080072F">
        <w:t>procurorul</w:t>
      </w:r>
      <w:r w:rsidRPr="0080072F" w:rsidR="00AB0372">
        <w:t>ui</w:t>
      </w:r>
      <w:r w:rsidRPr="0080072F">
        <w:t xml:space="preserve"> federal</w:t>
      </w:r>
      <w:r w:rsidRPr="0080072F" w:rsidR="00AB0372">
        <w:t>, datată 16 aprilie 2025, pentru</w:t>
      </w:r>
      <w:r w:rsidRPr="0080072F">
        <w:t xml:space="preserve"> ridicarea imunității lui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 xml:space="preserve">, </w:t>
      </w:r>
      <w:r w:rsidRPr="0080072F">
        <w:t>deputat în Parlamentul European ales în Italia, în legătură cu procedurile penale care urmează să fie inițiate împotriva sa pentru presupuse acte de corupție;</w:t>
      </w:r>
      <w:bookmarkEnd w:id="8"/>
    </w:p>
    <w:p w:rsidR="003A2534" w:rsidRPr="0080072F" w:rsidP="003A2534" w14:paraId="3B564187" w14:textId="1E73722C">
      <w:pPr>
        <w:pStyle w:val="NormalHanging12a"/>
      </w:pPr>
      <w:r w:rsidRPr="0080072F">
        <w:t>B.</w:t>
      </w:r>
      <w:r w:rsidRPr="0080072F">
        <w:tab/>
      </w:r>
      <w:bookmarkStart w:id="10" w:name="_Hlk223949179"/>
      <w:r w:rsidRPr="0080072F">
        <w:t xml:space="preserve">întrucât o anchetă amplă privind societatea </w:t>
      </w:r>
      <w:r w:rsidRPr="0080072F">
        <w:t>Huawei</w:t>
      </w:r>
      <w:r w:rsidRPr="0080072F">
        <w:t xml:space="preserve"> ar fi adus dovezi serioase cu privire la existența unei organizații criminale al cărei scop ar fi fost să influențeze deciziile instituțiilor U</w:t>
      </w:r>
      <w:r w:rsidRPr="0080072F" w:rsidR="00AB0372">
        <w:t>niunii</w:t>
      </w:r>
      <w:r w:rsidRPr="0080072F">
        <w:t xml:space="preserve"> prin coruperea unor deputați în Parlamentul European; întrucât ancheta respectivă pare să fi scos la iveală mai multe presupuse acte de corupție despre care se prezumă că au fost comise în mod repetat între 2021 și 2024; întrucât schema de corupție ar fi luat diverse forme, inclusiv invitarea unor deputați în Parlamentul European la evenimente sprijinite de </w:t>
      </w:r>
      <w:r w:rsidRPr="0080072F">
        <w:t>Huawei</w:t>
      </w:r>
      <w:r w:rsidRPr="0080072F">
        <w:t>, aparent în schimbul adoptării unor poziții politice favorabile societăți</w:t>
      </w:r>
      <w:r w:rsidRPr="0080072F" w:rsidR="0095121D">
        <w:t>i respective</w:t>
      </w:r>
      <w:r w:rsidRPr="0080072F">
        <w:t>, precum și oferirea de cadouri excesive, cum ar fi cheltuieli de masă și de deplasare, sau invitații periodice la meciuri de fotbal în afara cadrului Parlamentului European;</w:t>
      </w:r>
      <w:bookmarkEnd w:id="10"/>
    </w:p>
    <w:p w:rsidR="003A2534" w:rsidRPr="0080072F" w:rsidP="003A2534" w14:paraId="771CA896" w14:textId="3C3AFE41">
      <w:pPr>
        <w:pStyle w:val="NormalHanging12a"/>
      </w:pPr>
      <w:bookmarkStart w:id="11" w:name="_Hlk223949214"/>
      <w:r w:rsidRPr="0080072F">
        <w:t>C.</w:t>
      </w:r>
      <w:r w:rsidRPr="0080072F">
        <w:tab/>
        <w:t>întrucât, potrivit cererii de ridicare a imunității, în februarie 2021, mai mulți deputați în Parlamentul European au trimis o scrisoare către trei comisari cu scopul de a influența politica U</w:t>
      </w:r>
      <w:r w:rsidRPr="0080072F" w:rsidR="00AB0372">
        <w:t>niunii</w:t>
      </w:r>
      <w:r w:rsidRPr="0080072F">
        <w:t xml:space="preserve"> privind implementarea tehnologiei 5G în Europa, în special în ceea ce privește sprijinul acordat întreprinderilor din afara U</w:t>
      </w:r>
      <w:r w:rsidRPr="0080072F" w:rsidR="00AB0372">
        <w:t>niunii</w:t>
      </w:r>
      <w:r w:rsidRPr="0080072F">
        <w:t xml:space="preserve">, cum ar fi </w:t>
      </w:r>
      <w:r w:rsidRPr="0080072F">
        <w:t>Huawei</w:t>
      </w:r>
      <w:r w:rsidRPr="0080072F">
        <w:t>; întrucât ancheta pare să fi fost în măsură să stabilească o cale clară de la crearea scrisorii până la diseminarea, impactul și facturarea acesteia, ceea ce pare să confirme că scrisoarea ar face parte dintr-un circuit care a depășit influența sau activitățile de lobby, pentru a se înscrie într-un context de corupție</w:t>
      </w:r>
      <w:r w:rsidRPr="0080072F" w:rsidR="004D1F29">
        <w:t>;</w:t>
      </w:r>
      <w:r w:rsidRPr="0080072F">
        <w:t xml:space="preserve"> întrucât se presupune că principalul susținător al redactării scrisorii a fost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 xml:space="preserve"> care este primul semnatar al scrisorii și care ar fi fost plătit, prin circuite financiare complexe care au încercat să disimuleze presupusul pact, pentru a se implica în acte de corupție în exercitarea influenței sale politice;</w:t>
      </w:r>
    </w:p>
    <w:p w:rsidR="003A2534" w:rsidRPr="0080072F" w:rsidP="003A2534" w14:paraId="217C8CD0" w14:textId="0E7EA743">
      <w:pPr>
        <w:pStyle w:val="NormalHanging12a"/>
      </w:pPr>
      <w:r w:rsidRPr="0080072F">
        <w:t>D.</w:t>
      </w:r>
      <w:r w:rsidRPr="0080072F">
        <w:tab/>
      </w:r>
      <w:bookmarkEnd w:id="11"/>
      <w:r w:rsidRPr="0080072F">
        <w:t xml:space="preserve">întrucât se presupune, de asemenea, că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 xml:space="preserve"> s-a implicat activ în promovarea intereselor </w:t>
      </w:r>
      <w:r w:rsidRPr="0080072F">
        <w:t>Huawei</w:t>
      </w:r>
      <w:r w:rsidRPr="0080072F">
        <w:t>, ca parte a presupusului pact de corupție, prin depunerea de amendamente la un proiect de rezoluție referitoare la politica U</w:t>
      </w:r>
      <w:r w:rsidRPr="0080072F" w:rsidR="00F66D96">
        <w:t>niunii</w:t>
      </w:r>
      <w:r w:rsidRPr="0080072F">
        <w:t xml:space="preserve"> în domeniul concurenței care pare să fi fost formulate în interesul </w:t>
      </w:r>
      <w:r w:rsidRPr="0080072F">
        <w:t>Huawei</w:t>
      </w:r>
      <w:r w:rsidRPr="0080072F">
        <w:t xml:space="preserve"> și elaborate în perioada ianuarie 2021-martie 2021 – și anume în același interval de timp ca și crearea și difuzarea scrisorii </w:t>
      </w:r>
      <w:r w:rsidRPr="0080072F" w:rsidR="00F66D96">
        <w:t>menționată în considerentul C</w:t>
      </w:r>
      <w:r w:rsidRPr="0080072F">
        <w:t xml:space="preserve"> – și prin facilitarea participării studenților din circumscripția sa la Academia </w:t>
      </w:r>
      <w:r w:rsidRPr="0080072F">
        <w:t>Huawei</w:t>
      </w:r>
      <w:r w:rsidRPr="0080072F">
        <w:t xml:space="preserve"> pentru a obține voturi care să permită realegerea sa în Parlament;</w:t>
      </w:r>
    </w:p>
    <w:p w:rsidR="003A2534" w:rsidRPr="0080072F" w:rsidP="003A2534" w14:paraId="4232C707" w14:textId="42D1EEE0">
      <w:pPr>
        <w:pStyle w:val="NormalHanging12a"/>
      </w:pPr>
      <w:bookmarkStart w:id="12" w:name="_Hlk223949297"/>
      <w:r w:rsidRPr="0080072F">
        <w:t>E.</w:t>
      </w:r>
      <w:r w:rsidRPr="0080072F">
        <w:tab/>
        <w:t xml:space="preserve">întrucât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 xml:space="preserve"> a fost reales în Parlamentul European la alegerile europene din iunie 2024 și</w:t>
      </w:r>
      <w:r w:rsidRPr="0080072F" w:rsidR="00F66D96">
        <w:t>, prin urmare,</w:t>
      </w:r>
      <w:r w:rsidRPr="0080072F">
        <w:t xml:space="preserve"> era deputat în Parlamentul European la momentul</w:t>
      </w:r>
      <w:r w:rsidRPr="0080072F" w:rsidR="00356A9F">
        <w:t xml:space="preserve"> săvârșirii</w:t>
      </w:r>
      <w:r w:rsidRPr="0080072F">
        <w:t xml:space="preserve"> presupusei infracțiuni;</w:t>
      </w:r>
    </w:p>
    <w:p w:rsidR="003A2534" w:rsidRPr="0080072F" w:rsidP="003A2534" w14:paraId="310A2B9D" w14:textId="500D7684">
      <w:pPr>
        <w:pStyle w:val="NormalHanging12a"/>
      </w:pPr>
      <w:r w:rsidRPr="0080072F">
        <w:t>F.</w:t>
      </w:r>
      <w:r w:rsidRPr="0080072F">
        <w:tab/>
        <w:t>întrucât Parlamentul nu poate fi asimilat unei instanțe judecătorești și în contextul unei proceduri de ridicare a imunității, deputatul în cauză nu poate fi considerat „persoană acuzată”</w:t>
      </w:r>
      <w:r>
        <w:rPr>
          <w:vertAlign w:val="superscript"/>
        </w:rPr>
        <w:footnoteReference w:id="3"/>
      </w:r>
      <w:r w:rsidRPr="0080072F">
        <w:t>;</w:t>
      </w:r>
    </w:p>
    <w:p w:rsidR="003A2534" w:rsidRPr="0080072F" w:rsidP="003A2534" w14:paraId="6E37F83B" w14:textId="77777777">
      <w:pPr>
        <w:pStyle w:val="NormalHanging12a"/>
      </w:pPr>
      <w:r w:rsidRPr="0080072F">
        <w:t>G.</w:t>
      </w:r>
      <w:r w:rsidRPr="0080072F">
        <w:tab/>
        <w:t xml:space="preserve">întrucât scopul imunității parlamentare prevăzute de Protocolul nr. 7 privind privilegiile și imunitățile Uniunii Europene este de a proteja Parlamentul și pe deputații săi de proceduri judiciare în legătură cu activitățile desfășurate în exercitarea funcțiilor </w:t>
      </w:r>
      <w:r w:rsidRPr="0080072F">
        <w:t>parlamentare și care nu pot fi disociate de aceste funcții;</w:t>
      </w:r>
    </w:p>
    <w:p w:rsidR="003A2534" w:rsidRPr="0080072F" w:rsidP="003A2534" w14:paraId="743AD33C" w14:textId="47321979">
      <w:pPr>
        <w:pStyle w:val="NormalHanging12a"/>
      </w:pPr>
      <w:r w:rsidRPr="0080072F">
        <w:t>H.</w:t>
      </w:r>
      <w:r w:rsidRPr="0080072F">
        <w:tab/>
        <w:t xml:space="preserve">întrucât, în conformitate cu articolul 5 alineatul (2) din Regulamentul său de procedură, imunitatea parlamentară nu este un privilegiu personal al deputaților, ci o garanție </w:t>
      </w:r>
      <w:r w:rsidRPr="0080072F" w:rsidR="00F66D96">
        <w:t>pentru</w:t>
      </w:r>
      <w:r w:rsidRPr="0080072F">
        <w:t xml:space="preserve"> independenț</w:t>
      </w:r>
      <w:r w:rsidRPr="0080072F" w:rsidR="00F66D96">
        <w:t>a</w:t>
      </w:r>
      <w:r w:rsidRPr="0080072F">
        <w:t xml:space="preserve"> Parlamentului European în ansamblu și a </w:t>
      </w:r>
      <w:r w:rsidRPr="0080072F" w:rsidR="000C078E">
        <w:t>membrilor</w:t>
      </w:r>
      <w:r w:rsidRPr="0080072F">
        <w:t xml:space="preserve"> săi;</w:t>
      </w:r>
    </w:p>
    <w:p w:rsidR="003A2534" w:rsidRPr="0080072F" w:rsidP="003A2534" w14:paraId="0FC6A2E8" w14:textId="77777777">
      <w:pPr>
        <w:pStyle w:val="NormalHanging12a"/>
      </w:pPr>
      <w:r w:rsidRPr="0080072F">
        <w:t>I.</w:t>
      </w:r>
      <w:r w:rsidRPr="0080072F">
        <w:tab/>
        <w:t xml:space="preserve">întrucât articolul 8 din Protocolul nr. 7 privind privilegiile și imunitățile Uniunii Europene prevede că membrii Parlamentului European nu pot fi cercetați, reținuți sau urmăriți datorită opiniilor sau voturilor exprimate în cadrul exercitării funcțiilor lor; întrucât presupusa infracțiune nu are legătură cu o opinie sau vot exprimat de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 xml:space="preserve"> în exercitarea funcțiilor sale, în sensul articolului 8 din protocolul respectiv;</w:t>
      </w:r>
    </w:p>
    <w:p w:rsidR="003A2534" w:rsidRPr="0080072F" w:rsidP="003A2534" w14:paraId="5264465E" w14:textId="6808143E">
      <w:pPr>
        <w:pStyle w:val="NormalHanging12a"/>
      </w:pPr>
      <w:r w:rsidRPr="0080072F">
        <w:t>J.</w:t>
      </w:r>
      <w:r w:rsidRPr="0080072F">
        <w:tab/>
        <w:t>întrucât articolul 9 primul paragraf litera (b) din Protocolul nr. 7 privind privilegiile și imunitățile Uniunii Europene stipulează că</w:t>
      </w:r>
      <w:r w:rsidRPr="0080072F" w:rsidR="00F66D96">
        <w:t>,</w:t>
      </w:r>
      <w:r w:rsidRPr="0080072F">
        <w:t xml:space="preserve"> </w:t>
      </w:r>
      <w:r w:rsidRPr="0080072F" w:rsidR="00F66D96">
        <w:t>pe durata sesiunilor Parlamentului European, membrii acestuia</w:t>
      </w:r>
      <w:r w:rsidRPr="0080072F">
        <w:t xml:space="preserve"> beneficiază, pe teritoriul oricărui alt stat membru, de exceptare privind orice măsură de detenție sau urmărire penală;</w:t>
      </w:r>
    </w:p>
    <w:p w:rsidR="003A2534" w:rsidRPr="0080072F" w:rsidP="003A2534" w14:paraId="6BEC64CE" w14:textId="5FD13F71">
      <w:pPr>
        <w:pStyle w:val="NormalHanging12a"/>
      </w:pPr>
      <w:r w:rsidRPr="0080072F">
        <w:t>K.</w:t>
      </w:r>
      <w:r w:rsidRPr="0080072F">
        <w:tab/>
        <w:t xml:space="preserve">întrucât ancheta a vizat multe persoane, nu numai pe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 xml:space="preserve">; </w:t>
      </w:r>
      <w:bookmarkStart w:id="13" w:name="_Hlk228970940"/>
      <w:r w:rsidRPr="0080072F">
        <w:t xml:space="preserve">întrucât cererea de ridicare a imunității deputatului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 xml:space="preserve"> pare</w:t>
      </w:r>
      <w:bookmarkEnd w:id="13"/>
      <w:r w:rsidRPr="0080072F">
        <w:t xml:space="preserve"> să rezulte dintr-o anchetă mai amplă privind presupusele practici de corupție și nu pare să vizeze activitatea sa politică; întrucât Parlamentul nu a </w:t>
      </w:r>
      <w:r w:rsidRPr="0080072F" w:rsidR="00512C6E">
        <w:t>putut stabili existența</w:t>
      </w:r>
      <w:r w:rsidRPr="0080072F">
        <w:t xml:space="preserve"> </w:t>
      </w:r>
      <w:r w:rsidRPr="0080072F">
        <w:rPr>
          <w:i/>
          <w:iCs/>
        </w:rPr>
        <w:t>fumus</w:t>
      </w:r>
      <w:r w:rsidRPr="0080072F">
        <w:rPr>
          <w:i/>
          <w:iCs/>
        </w:rPr>
        <w:t xml:space="preserve"> </w:t>
      </w:r>
      <w:r w:rsidRPr="0080072F">
        <w:rPr>
          <w:i/>
          <w:iCs/>
        </w:rPr>
        <w:t>persecutionis</w:t>
      </w:r>
      <w:r w:rsidRPr="0080072F">
        <w:t xml:space="preserve">, </w:t>
      </w:r>
      <w:r w:rsidRPr="0080072F" w:rsidR="00F66D96">
        <w:t>adică</w:t>
      </w:r>
      <w:r w:rsidRPr="0080072F">
        <w:t xml:space="preserve"> </w:t>
      </w:r>
      <w:r w:rsidRPr="0080072F" w:rsidR="0006791D">
        <w:t>nu rezultă</w:t>
      </w:r>
      <w:r w:rsidRPr="0080072F">
        <w:t xml:space="preserve"> că intenția care stă la baza procedurii </w:t>
      </w:r>
      <w:r w:rsidRPr="0080072F" w:rsidR="00F66D96">
        <w:t xml:space="preserve">judiciare </w:t>
      </w:r>
      <w:r w:rsidRPr="0080072F">
        <w:t xml:space="preserve">în cauză </w:t>
      </w:r>
      <w:r w:rsidRPr="0080072F" w:rsidR="00F66D96">
        <w:t>este</w:t>
      </w:r>
      <w:r w:rsidRPr="0080072F" w:rsidR="0006791D">
        <w:t xml:space="preserve"> de a </w:t>
      </w:r>
      <w:r w:rsidRPr="0080072F" w:rsidR="00F66D96">
        <w:t xml:space="preserve">prejudicia </w:t>
      </w:r>
      <w:r w:rsidRPr="0080072F">
        <w:t>activit</w:t>
      </w:r>
      <w:r w:rsidRPr="0080072F" w:rsidR="0006791D">
        <w:t>atea</w:t>
      </w:r>
      <w:r w:rsidRPr="0080072F">
        <w:t xml:space="preserve"> politic</w:t>
      </w:r>
      <w:r w:rsidRPr="0080072F" w:rsidR="0006791D">
        <w:t>ă</w:t>
      </w:r>
      <w:r w:rsidRPr="0080072F">
        <w:t xml:space="preserve"> a lui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 xml:space="preserve"> în calitatea sa de deputat în Parlamentul European</w:t>
      </w:r>
      <w:r w:rsidRPr="0080072F" w:rsidR="00F66D96">
        <w:t xml:space="preserve"> </w:t>
      </w:r>
      <w:r w:rsidRPr="0080072F" w:rsidR="00F66D96">
        <w:rPr>
          <w:color w:val="000000"/>
        </w:rPr>
        <w:t>și, prin urmare, independența Parlamentului</w:t>
      </w:r>
      <w:r w:rsidR="008C4543">
        <w:rPr>
          <w:color w:val="000000"/>
        </w:rPr>
        <w:t>,</w:t>
      </w:r>
    </w:p>
    <w:bookmarkEnd w:id="12"/>
    <w:p w:rsidR="003A2534" w:rsidRPr="0080072F" w:rsidP="003A2534" w14:paraId="66E418D0" w14:textId="77777777">
      <w:pPr>
        <w:pStyle w:val="NormalHanging12a"/>
      </w:pPr>
      <w:r w:rsidRPr="0080072F">
        <w:t>1.</w:t>
      </w:r>
      <w:r w:rsidRPr="0080072F">
        <w:tab/>
      </w:r>
      <w:bookmarkStart w:id="14" w:name="_Hlk223949317"/>
      <w:r w:rsidRPr="0080072F">
        <w:t>hotărăște să ridice imunitatea</w:t>
      </w:r>
      <w:bookmarkEnd w:id="14"/>
      <w:r w:rsidRPr="0080072F">
        <w:t xml:space="preserve"> deputatului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>;</w:t>
      </w:r>
    </w:p>
    <w:p w:rsidR="00800DC9" w:rsidRPr="0080072F" w:rsidP="00800DC9" w14:paraId="5798C5A4" w14:textId="25DD07B9">
      <w:pPr>
        <w:pStyle w:val="NormalHanging12a"/>
      </w:pPr>
      <w:r w:rsidRPr="0080072F">
        <w:t>2.</w:t>
      </w:r>
      <w:r w:rsidRPr="0080072F">
        <w:tab/>
        <w:t>încredințează Președintei sarcina de a transmite imediat prezenta decizie, precum și raportul comisiei competente autorități</w:t>
      </w:r>
      <w:r w:rsidRPr="0080072F" w:rsidR="0006791D">
        <w:t>i</w:t>
      </w:r>
      <w:r w:rsidRPr="0080072F">
        <w:t xml:space="preserve"> competente a Regatului Belgiei și deputatului </w:t>
      </w:r>
      <w:r w:rsidRPr="0080072F">
        <w:t>Fulvio</w:t>
      </w:r>
      <w:r w:rsidRPr="0080072F">
        <w:t xml:space="preserve"> </w:t>
      </w:r>
      <w:r w:rsidRPr="0080072F">
        <w:t>Martusciello</w:t>
      </w:r>
      <w:r w:rsidRPr="0080072F">
        <w:t>.</w:t>
      </w:r>
    </w:p>
    <w:p w:rsidR="00E365E1" w:rsidRPr="0080072F" w:rsidP="001F1A44" w14:paraId="255A9C5A" w14:textId="544B757B"/>
    <w:sectPr w:rsidSect="00800D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00DC9" w14:paraId="6D69A50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00DC9" w14:paraId="6F51E8A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00DC9" w14:paraId="61700DB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F1A44" w:rsidRPr="00800DC9" w14:paraId="362FC6D4" w14:textId="77777777">
      <w:r w:rsidRPr="00800DC9">
        <w:separator/>
      </w:r>
    </w:p>
  </w:footnote>
  <w:footnote w:type="continuationSeparator" w:id="1">
    <w:p w:rsidR="001F1A44" w:rsidRPr="00800DC9" w14:paraId="2106A795" w14:textId="77777777">
      <w:r w:rsidRPr="00800DC9">
        <w:continuationSeparator/>
      </w:r>
    </w:p>
  </w:footnote>
  <w:footnote w:id="2">
    <w:p w:rsidR="003A2534" w:rsidRPr="00800DC9" w:rsidP="00800DC9" w14:paraId="15B0CDB9" w14:textId="62E1AD96">
      <w:pPr>
        <w:pStyle w:val="FootnoteText"/>
        <w:ind w:left="567" w:hanging="567"/>
        <w:rPr>
          <w:sz w:val="24"/>
          <w:lang w:val="ro-RO"/>
        </w:rPr>
      </w:pPr>
      <w:r w:rsidRPr="00800DC9">
        <w:rPr>
          <w:rStyle w:val="FootnoteReference"/>
          <w:sz w:val="24"/>
          <w:lang w:val="ro-RO"/>
        </w:rPr>
        <w:footnoteRef/>
      </w:r>
      <w:r w:rsidRPr="00800DC9" w:rsidR="00800DC9">
        <w:rPr>
          <w:sz w:val="24"/>
          <w:lang w:val="ro-RO"/>
        </w:rPr>
        <w:t xml:space="preserve"> </w:t>
      </w:r>
      <w:r w:rsidRPr="00800DC9" w:rsidR="00800DC9">
        <w:rPr>
          <w:sz w:val="24"/>
          <w:lang w:val="ro-RO"/>
        </w:rPr>
        <w:tab/>
      </w:r>
      <w:r w:rsidRPr="00800DC9">
        <w:rPr>
          <w:sz w:val="24"/>
          <w:lang w:val="ro-RO"/>
        </w:rPr>
        <w:t xml:space="preserve">Hotărârea Curții de Justiție din 21 octombrie 2008, </w:t>
      </w:r>
      <w:r w:rsidRPr="00800DC9">
        <w:rPr>
          <w:sz w:val="24"/>
          <w:lang w:val="ro-RO"/>
        </w:rPr>
        <w:t>Marra</w:t>
      </w:r>
      <w:r w:rsidRPr="00800DC9">
        <w:rPr>
          <w:sz w:val="24"/>
          <w:lang w:val="ro-RO"/>
        </w:rPr>
        <w:t xml:space="preserve">/De Gregorio și Clemente, C-200/07 și C-201/07, ECLI:EU:C:2008:579, Hotărârea Tribunalului din 19 martie 2010, </w:t>
      </w:r>
      <w:r w:rsidRPr="00800DC9">
        <w:rPr>
          <w:sz w:val="24"/>
          <w:lang w:val="ro-RO"/>
        </w:rPr>
        <w:t>Gollnisch</w:t>
      </w:r>
      <w:r w:rsidRPr="00800DC9">
        <w:rPr>
          <w:sz w:val="24"/>
          <w:lang w:val="ro-RO"/>
        </w:rPr>
        <w:t xml:space="preserve">/Parlamentul, T-42/06, ECLI:EU:T:2010:102, Hotărârea Curții de Justiție din 6 septembrie 2011, </w:t>
      </w:r>
      <w:r w:rsidRPr="00800DC9">
        <w:rPr>
          <w:sz w:val="24"/>
          <w:lang w:val="ro-RO"/>
        </w:rPr>
        <w:t>Patriciello</w:t>
      </w:r>
      <w:r w:rsidRPr="00800DC9">
        <w:rPr>
          <w:sz w:val="24"/>
          <w:lang w:val="ro-RO"/>
        </w:rPr>
        <w:t xml:space="preserve">, C- 163/10, ECLI: EU:C:2011:543; Hotărârea Tribunalului din 17 ianuarie 2013, </w:t>
      </w:r>
      <w:r w:rsidRPr="00800DC9">
        <w:rPr>
          <w:sz w:val="24"/>
          <w:lang w:val="ro-RO"/>
        </w:rPr>
        <w:t>Gollnisch</w:t>
      </w:r>
      <w:r w:rsidRPr="00800DC9">
        <w:rPr>
          <w:sz w:val="24"/>
          <w:lang w:val="ro-RO"/>
        </w:rPr>
        <w:t xml:space="preserve">/Parlamentul, T-346/11 și T-347/11, ECLI:EU:T:2013:23, Hotărârea Curții de Justiție din 19 decembrie 2019, </w:t>
      </w:r>
      <w:r w:rsidRPr="00800DC9">
        <w:rPr>
          <w:sz w:val="24"/>
          <w:lang w:val="ro-RO"/>
        </w:rPr>
        <w:t>Junqueras</w:t>
      </w:r>
      <w:r w:rsidRPr="00800DC9">
        <w:rPr>
          <w:sz w:val="24"/>
          <w:lang w:val="ro-RO"/>
        </w:rPr>
        <w:t xml:space="preserve"> </w:t>
      </w:r>
      <w:r w:rsidRPr="00800DC9">
        <w:rPr>
          <w:sz w:val="24"/>
          <w:lang w:val="ro-RO"/>
        </w:rPr>
        <w:t>Vies</w:t>
      </w:r>
      <w:r w:rsidRPr="00800DC9">
        <w:rPr>
          <w:sz w:val="24"/>
          <w:lang w:val="ro-RO"/>
        </w:rPr>
        <w:t>, C-502/19, ECLI:EU:C:2019:1115.</w:t>
      </w:r>
    </w:p>
  </w:footnote>
  <w:footnote w:id="3">
    <w:p w:rsidR="003A2534" w:rsidRPr="00800DC9" w:rsidP="00800DC9" w14:paraId="3AD0DCEB" w14:textId="097BDA1B">
      <w:pPr>
        <w:pStyle w:val="FootnoteText"/>
        <w:ind w:left="567" w:hanging="567"/>
        <w:rPr>
          <w:sz w:val="24"/>
          <w:lang w:val="ro-RO"/>
        </w:rPr>
      </w:pPr>
      <w:r w:rsidRPr="00800DC9">
        <w:rPr>
          <w:rStyle w:val="FootnoteReference"/>
          <w:sz w:val="24"/>
          <w:lang w:val="ro-RO"/>
        </w:rPr>
        <w:footnoteRef/>
      </w:r>
      <w:r w:rsidRPr="00800DC9" w:rsidR="00800DC9">
        <w:rPr>
          <w:sz w:val="24"/>
          <w:lang w:val="ro-RO"/>
        </w:rPr>
        <w:t xml:space="preserve"> </w:t>
      </w:r>
      <w:r w:rsidRPr="00800DC9" w:rsidR="00800DC9">
        <w:rPr>
          <w:sz w:val="24"/>
          <w:lang w:val="ro-RO"/>
        </w:rPr>
        <w:tab/>
      </w:r>
      <w:r w:rsidRPr="00800DC9">
        <w:rPr>
          <w:sz w:val="24"/>
          <w:lang w:val="ro-RO"/>
        </w:rPr>
        <w:t xml:space="preserve">Hotărârea Tribunalului din 30 aprilie 2019, </w:t>
      </w:r>
      <w:r w:rsidRPr="00800DC9">
        <w:rPr>
          <w:sz w:val="24"/>
          <w:lang w:val="ro-RO"/>
        </w:rPr>
        <w:t>Briois</w:t>
      </w:r>
      <w:r w:rsidRPr="00800DC9">
        <w:rPr>
          <w:sz w:val="24"/>
          <w:lang w:val="ro-RO"/>
        </w:rPr>
        <w:t>/Parlamentul,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00DC9" w14:paraId="181F905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00DC9" w14:paraId="1A8BEF4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00DC9" w14:paraId="3C1F6A2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9851147">
    <w:abstractNumId w:val="9"/>
  </w:num>
  <w:num w:numId="2" w16cid:durableId="1902785783">
    <w:abstractNumId w:val="9"/>
  </w:num>
  <w:num w:numId="3" w16cid:durableId="73671992">
    <w:abstractNumId w:val="7"/>
  </w:num>
  <w:num w:numId="4" w16cid:durableId="1962489447">
    <w:abstractNumId w:val="7"/>
  </w:num>
  <w:num w:numId="5" w16cid:durableId="1287389383">
    <w:abstractNumId w:val="6"/>
  </w:num>
  <w:num w:numId="6" w16cid:durableId="1749768532">
    <w:abstractNumId w:val="6"/>
  </w:num>
  <w:num w:numId="7" w16cid:durableId="1884639201">
    <w:abstractNumId w:val="5"/>
  </w:num>
  <w:num w:numId="8" w16cid:durableId="1311980636">
    <w:abstractNumId w:val="5"/>
  </w:num>
  <w:num w:numId="9" w16cid:durableId="2129354826">
    <w:abstractNumId w:val="4"/>
  </w:num>
  <w:num w:numId="10" w16cid:durableId="73086580">
    <w:abstractNumId w:val="4"/>
  </w:num>
  <w:num w:numId="11" w16cid:durableId="345250456">
    <w:abstractNumId w:val="8"/>
  </w:num>
  <w:num w:numId="12" w16cid:durableId="1825857063">
    <w:abstractNumId w:val="8"/>
  </w:num>
  <w:num w:numId="13" w16cid:durableId="1915315223">
    <w:abstractNumId w:val="3"/>
  </w:num>
  <w:num w:numId="14" w16cid:durableId="632557804">
    <w:abstractNumId w:val="3"/>
  </w:num>
  <w:num w:numId="15" w16cid:durableId="959848000">
    <w:abstractNumId w:val="2"/>
  </w:num>
  <w:num w:numId="16" w16cid:durableId="1407418292">
    <w:abstractNumId w:val="2"/>
  </w:num>
  <w:num w:numId="17" w16cid:durableId="653066655">
    <w:abstractNumId w:val="1"/>
  </w:num>
  <w:num w:numId="18" w16cid:durableId="2048407661">
    <w:abstractNumId w:val="1"/>
  </w:num>
  <w:num w:numId="19" w16cid:durableId="2047564400">
    <w:abstractNumId w:val="0"/>
  </w:num>
  <w:num w:numId="20" w16cid:durableId="1549992284">
    <w:abstractNumId w:val="0"/>
  </w:num>
  <w:num w:numId="21" w16cid:durableId="2089034552">
    <w:abstractNumId w:val="9"/>
  </w:num>
  <w:num w:numId="22" w16cid:durableId="1771312748">
    <w:abstractNumId w:val="7"/>
  </w:num>
  <w:num w:numId="23" w16cid:durableId="747268974">
    <w:abstractNumId w:val="6"/>
  </w:num>
  <w:num w:numId="24" w16cid:durableId="670565827">
    <w:abstractNumId w:val="5"/>
  </w:num>
  <w:num w:numId="25" w16cid:durableId="1761021850">
    <w:abstractNumId w:val="4"/>
  </w:num>
  <w:num w:numId="26" w16cid:durableId="1610619677">
    <w:abstractNumId w:val="8"/>
  </w:num>
  <w:num w:numId="27" w16cid:durableId="1464539199">
    <w:abstractNumId w:val="3"/>
  </w:num>
  <w:num w:numId="28" w16cid:durableId="285355344">
    <w:abstractNumId w:val="2"/>
  </w:num>
  <w:num w:numId="29" w16cid:durableId="616330543">
    <w:abstractNumId w:val="1"/>
  </w:num>
  <w:num w:numId="30" w16cid:durableId="1820921829">
    <w:abstractNumId w:val="0"/>
  </w:num>
  <w:num w:numId="31" w16cid:durableId="1932659644">
    <w:abstractNumId w:val="9"/>
  </w:num>
  <w:num w:numId="32" w16cid:durableId="888881044">
    <w:abstractNumId w:val="7"/>
  </w:num>
  <w:num w:numId="33" w16cid:durableId="1184785146">
    <w:abstractNumId w:val="6"/>
  </w:num>
  <w:num w:numId="34" w16cid:durableId="1749687734">
    <w:abstractNumId w:val="5"/>
  </w:num>
  <w:num w:numId="35" w16cid:durableId="1176114790">
    <w:abstractNumId w:val="4"/>
  </w:num>
  <w:num w:numId="36" w16cid:durableId="45835889">
    <w:abstractNumId w:val="8"/>
  </w:num>
  <w:num w:numId="37" w16cid:durableId="691495997">
    <w:abstractNumId w:val="3"/>
  </w:num>
  <w:num w:numId="38" w16cid:durableId="1683970110">
    <w:abstractNumId w:val="2"/>
  </w:num>
  <w:num w:numId="39" w16cid:durableId="486871561">
    <w:abstractNumId w:val="1"/>
  </w:num>
  <w:num w:numId="40" w16cid:durableId="1602912054">
    <w:abstractNumId w:val="0"/>
  </w:num>
  <w:num w:numId="41" w16cid:durableId="1642805204">
    <w:abstractNumId w:val="10"/>
  </w:num>
  <w:num w:numId="42" w16cid:durableId="113330486">
    <w:abstractNumId w:val="10"/>
  </w:num>
  <w:num w:numId="43" w16cid:durableId="929196044">
    <w:abstractNumId w:val="10"/>
  </w:num>
  <w:num w:numId="44" w16cid:durableId="6182206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44"/>
    <w:rsid w:val="00002272"/>
    <w:rsid w:val="00064002"/>
    <w:rsid w:val="000677B9"/>
    <w:rsid w:val="0006791D"/>
    <w:rsid w:val="000831BA"/>
    <w:rsid w:val="000A42CC"/>
    <w:rsid w:val="000C078E"/>
    <w:rsid w:val="000E7DD9"/>
    <w:rsid w:val="0010095E"/>
    <w:rsid w:val="00125B37"/>
    <w:rsid w:val="00187494"/>
    <w:rsid w:val="001F1A44"/>
    <w:rsid w:val="001F32AE"/>
    <w:rsid w:val="002767FF"/>
    <w:rsid w:val="002B18FE"/>
    <w:rsid w:val="002B5493"/>
    <w:rsid w:val="00343214"/>
    <w:rsid w:val="00356A9F"/>
    <w:rsid w:val="00361C00"/>
    <w:rsid w:val="00395FA1"/>
    <w:rsid w:val="003A2534"/>
    <w:rsid w:val="003B78B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F29"/>
    <w:rsid w:val="0050519A"/>
    <w:rsid w:val="005072A1"/>
    <w:rsid w:val="00512C6E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72F"/>
    <w:rsid w:val="00800DC9"/>
    <w:rsid w:val="00817416"/>
    <w:rsid w:val="00842779"/>
    <w:rsid w:val="00865F67"/>
    <w:rsid w:val="00881A7B"/>
    <w:rsid w:val="008840E5"/>
    <w:rsid w:val="00887B3E"/>
    <w:rsid w:val="008C2AC6"/>
    <w:rsid w:val="008C4543"/>
    <w:rsid w:val="00911A79"/>
    <w:rsid w:val="00930C23"/>
    <w:rsid w:val="0093193B"/>
    <w:rsid w:val="009509D8"/>
    <w:rsid w:val="00950B64"/>
    <w:rsid w:val="0095121D"/>
    <w:rsid w:val="00981893"/>
    <w:rsid w:val="00A1687D"/>
    <w:rsid w:val="00A43E52"/>
    <w:rsid w:val="00A4678D"/>
    <w:rsid w:val="00A778C7"/>
    <w:rsid w:val="00A97C54"/>
    <w:rsid w:val="00AB0372"/>
    <w:rsid w:val="00AB441E"/>
    <w:rsid w:val="00AB6293"/>
    <w:rsid w:val="00AE0928"/>
    <w:rsid w:val="00AF3B82"/>
    <w:rsid w:val="00B12E95"/>
    <w:rsid w:val="00B22876"/>
    <w:rsid w:val="00B3655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D96"/>
    <w:rsid w:val="00F74202"/>
    <w:rsid w:val="00F87713"/>
    <w:rsid w:val="00FB4360"/>
    <w:rsid w:val="00FD0C70"/>
  </w:rsids>
  <w:docVars>
    <w:docVar w:name="dvdocse" w:val="A10-0154/2026"/>
    <w:docVar w:name="dvlangue" w:val="RO"/>
    <w:docVar w:name="dvnumam" w:val="0"/>
    <w:docVar w:name="dvpe" w:val="788.823"/>
    <w:docVar w:name="dvrapporteur" w:val="Raportor: "/>
    <w:docVar w:name="dvtitre" w:val="Decizia Parlamentului European din 16 iunie 2026 privind cererea de ridicare a imunității deputatului Fulvio Martusciello(2025/2099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7B78A7"/>
  <w15:chartTrackingRefBased/>
  <w15:docId w15:val="{52D0CA2A-FEFB-4289-8FCA-23E4C712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A2534"/>
    <w:pPr>
      <w:spacing w:after="240"/>
      <w:ind w:left="567" w:hanging="567"/>
    </w:pPr>
  </w:style>
  <w:style w:type="paragraph" w:customStyle="1" w:styleId="EPComma">
    <w:name w:val="EPComma"/>
    <w:basedOn w:val="Normal"/>
    <w:rsid w:val="003A2534"/>
    <w:pPr>
      <w:spacing w:before="480" w:after="240"/>
    </w:pPr>
  </w:style>
  <w:style w:type="paragraph" w:styleId="Revision">
    <w:name w:val="Revision"/>
    <w:hidden/>
    <w:uiPriority w:val="99"/>
    <w:semiHidden/>
    <w:rsid w:val="00AB0372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1021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2026-07-23T09:38:00Z</dcterms:created>
  <dcterms:modified xsi:type="dcterms:W3CDTF">2026-07-23T09:38:00Z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A10-0154/2026</vt:lpwstr>
  </property>
  <property fmtid="{D5CDD505-2E9C-101B-9397-08002B2CF9AE}" pid="4" name="&lt;Type&gt;">
    <vt:lpwstr>RR</vt:lpwstr>
  </property>
</Properties>
</file>