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EE0367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180C" w:rsidP="0010095E" w14:paraId="0C89D190" w14:textId="1F609BEC">
            <w:pPr>
              <w:pStyle w:val="EPName"/>
            </w:pPr>
            <w:r w:rsidRPr="00D8180C">
              <w:t>Európsky parlament</w:t>
            </w:r>
          </w:p>
          <w:p w:rsidR="00751A4A" w:rsidRPr="00D8180C" w:rsidP="005F1B17" w14:paraId="1E392EA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180C">
              <w:t>2024</w:t>
            </w:r>
            <w:r w:rsidRPr="00D8180C" w:rsidR="00817416">
              <w:t>-202</w:t>
            </w:r>
            <w:r w:rsidRPr="00D8180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8180C" w:rsidP="0010095E" w14:paraId="12BF45AA" w14:textId="77777777">
            <w:pPr>
              <w:pStyle w:val="EPLogo"/>
            </w:pPr>
            <w:r w:rsidRPr="00D8180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180C" w:rsidP="004C5D52" w14:paraId="0A9562EC" w14:textId="77777777">
      <w:pPr>
        <w:pStyle w:val="LineTop"/>
      </w:pPr>
    </w:p>
    <w:p w:rsidR="00680577" w:rsidRPr="00D8180C" w:rsidP="00680577" w14:paraId="2000B15B" w14:textId="3998DAEF">
      <w:pPr>
        <w:pStyle w:val="EPBodyTA1"/>
      </w:pPr>
      <w:r w:rsidRPr="00D8180C">
        <w:t>PRIJATÉ TEXTY</w:t>
      </w:r>
    </w:p>
    <w:p w:rsidR="00D058B8" w:rsidRPr="00D8180C" w:rsidP="00D058B8" w14:paraId="55A0BDAF" w14:textId="77777777">
      <w:pPr>
        <w:pStyle w:val="LineBottom"/>
      </w:pPr>
    </w:p>
    <w:p w:rsidR="00912D62" w:rsidRPr="00D8180C" w:rsidP="00912D62" w14:paraId="333FF6BE" w14:textId="73525A28">
      <w:pPr>
        <w:pStyle w:val="ATHeading1"/>
      </w:pPr>
      <w:bookmarkStart w:id="0" w:name="TANumber"/>
      <w:r w:rsidRPr="00D8180C">
        <w:t>P10_TA(2026)0</w:t>
      </w:r>
      <w:r w:rsidRPr="00D8180C" w:rsidR="00D8180C">
        <w:t>194</w:t>
      </w:r>
      <w:bookmarkEnd w:id="0"/>
    </w:p>
    <w:p w:rsidR="00912D62" w:rsidRPr="00D8180C" w:rsidP="00912D62" w14:paraId="35138A15" w14:textId="22FF8F47">
      <w:pPr>
        <w:pStyle w:val="ATHeading2"/>
      </w:pPr>
      <w:bookmarkStart w:id="1" w:name="title"/>
      <w:r w:rsidRPr="00D8180C">
        <w:t>Ž</w:t>
      </w:r>
      <w:r w:rsidRPr="00D8180C">
        <w:t>iados</w:t>
      </w:r>
      <w:r w:rsidRPr="00D8180C">
        <w:t>ť</w:t>
      </w:r>
      <w:r w:rsidRPr="00D8180C">
        <w:t xml:space="preserve"> o zbavenie Fulvia </w:t>
      </w:r>
      <w:r w:rsidRPr="00D8180C">
        <w:t>Martusciella</w:t>
      </w:r>
      <w:r w:rsidRPr="00D8180C">
        <w:t xml:space="preserve"> imunity</w:t>
      </w:r>
      <w:bookmarkEnd w:id="1"/>
    </w:p>
    <w:p w:rsidR="00912D62" w:rsidRPr="00D8180C" w:rsidP="00912D62" w14:paraId="29701CDC" w14:textId="77777777">
      <w:pPr>
        <w:rPr>
          <w:i/>
          <w:vanish/>
        </w:rPr>
      </w:pPr>
      <w:r>
        <w:rPr>
          <w:i/>
        </w:rPr>
        <w:fldChar w:fldCharType="begin"/>
      </w:r>
      <w:r w:rsidRPr="00D8180C">
        <w:rPr>
          <w:i/>
        </w:rPr>
        <w:instrText xml:space="preserve"> TC"(</w:instrText>
      </w:r>
      <w:bookmarkStart w:id="2" w:name="DocNumber"/>
      <w:r w:rsidRPr="00D8180C">
        <w:rPr>
          <w:i/>
        </w:rPr>
        <w:instrText>A10-0154/2026</w:instrText>
      </w:r>
      <w:bookmarkEnd w:id="2"/>
      <w:r w:rsidRPr="00D8180C">
        <w:rPr>
          <w:i/>
        </w:rPr>
        <w:instrText xml:space="preserve"> - Spravodajca: Dominik Tarczyński)"\l3 \n&gt; \* MERGEFORMAT </w:instrText>
      </w:r>
      <w:r>
        <w:rPr>
          <w:i/>
        </w:rPr>
        <w:fldChar w:fldCharType="end"/>
      </w:r>
    </w:p>
    <w:p w:rsidR="00912D62" w:rsidRPr="00D8180C" w:rsidP="00912D62" w14:paraId="3A01A178" w14:textId="77777777">
      <w:pPr>
        <w:rPr>
          <w:vanish/>
        </w:rPr>
      </w:pPr>
      <w:bookmarkStart w:id="3" w:name="Commission"/>
      <w:r w:rsidRPr="00D8180C">
        <w:rPr>
          <w:vanish/>
        </w:rPr>
        <w:t>Výbor pre právne veci</w:t>
      </w:r>
      <w:bookmarkEnd w:id="3"/>
    </w:p>
    <w:p w:rsidR="00912D62" w:rsidRPr="00D8180C" w:rsidP="00912D62" w14:paraId="6C4A3B5E" w14:textId="77777777">
      <w:pPr>
        <w:rPr>
          <w:vanish/>
        </w:rPr>
      </w:pPr>
      <w:bookmarkStart w:id="4" w:name="PE"/>
      <w:r w:rsidRPr="00D8180C">
        <w:rPr>
          <w:vanish/>
        </w:rPr>
        <w:t>PE788.823</w:t>
      </w:r>
      <w:bookmarkEnd w:id="4"/>
    </w:p>
    <w:p w:rsidR="00912D62" w:rsidRPr="00D8180C" w:rsidP="00912D62" w14:paraId="5D050E44" w14:textId="2CDF509A">
      <w:pPr>
        <w:pStyle w:val="ATHeading3"/>
      </w:pPr>
      <w:bookmarkStart w:id="5" w:name="Sujet"/>
      <w:r w:rsidRPr="00D8180C">
        <w:t xml:space="preserve">Rozhodnutie Európskeho parlamentu zo </w:t>
      </w:r>
      <w:r w:rsidRPr="00D8180C" w:rsidR="0083536D">
        <w:t>16. júna</w:t>
      </w:r>
      <w:r w:rsidRPr="00D8180C">
        <w:t xml:space="preserve"> 2026 o žiadosti o zbavenie Fulvia </w:t>
      </w:r>
      <w:r w:rsidRPr="00D8180C">
        <w:t>Martusciella</w:t>
      </w:r>
      <w:r w:rsidRPr="00D8180C">
        <w:t xml:space="preserve"> imunity</w:t>
      </w:r>
      <w:bookmarkEnd w:id="5"/>
      <w:r w:rsidRPr="00D8180C">
        <w:t xml:space="preserve"> </w:t>
      </w:r>
      <w:bookmarkStart w:id="6" w:name="References"/>
      <w:r w:rsidRPr="00D8180C">
        <w:t>(2025/2099(IMM))</w:t>
      </w:r>
      <w:bookmarkEnd w:id="6"/>
    </w:p>
    <w:p w:rsidR="00DA1E6C" w:rsidRPr="00D8180C" w:rsidP="00DA1E6C" w14:paraId="4C468B9D" w14:textId="77777777">
      <w:pPr>
        <w:pStyle w:val="EPComma"/>
      </w:pPr>
      <w:bookmarkStart w:id="7" w:name="TextBodyBegin"/>
      <w:bookmarkEnd w:id="7"/>
      <w:r w:rsidRPr="00D8180C">
        <w:rPr>
          <w:i/>
          <w:iCs/>
        </w:rPr>
        <w:t>Európsky parlament</w:t>
      </w:r>
      <w:r w:rsidRPr="00D8180C">
        <w:t>,</w:t>
      </w:r>
    </w:p>
    <w:p w:rsidR="00DA1E6C" w:rsidRPr="00D8180C" w:rsidP="00DA1E6C" w14:paraId="4966DF93" w14:textId="3D41CE82">
      <w:pPr>
        <w:pStyle w:val="NormalHanging12a"/>
      </w:pPr>
      <w:r w:rsidRPr="00D8180C">
        <w:t>–</w:t>
      </w:r>
      <w:r w:rsidRPr="00D8180C">
        <w:tab/>
        <w:t xml:space="preserve">so zreteľom na žiadosť o zbavenie Fulvia </w:t>
      </w:r>
      <w:r w:rsidRPr="00D8180C">
        <w:t>Martusciella</w:t>
      </w:r>
      <w:r w:rsidRPr="00D8180C">
        <w:t xml:space="preserve"> imunity doručenú listom </w:t>
      </w:r>
      <w:r w:rsidRPr="00D8180C" w:rsidR="00012361">
        <w:t xml:space="preserve">od </w:t>
      </w:r>
      <w:r w:rsidRPr="00D8180C">
        <w:t xml:space="preserve">belgickej federálnej verejnej služby pre zahraničné veci, zahraničný obchod a rozvojovú spoluprácu zo 6. mája 2025, v ktorom bola podaná žiadosť belgickej federálnej prokuratúry zo 16. apríla 2025 v súvislosti s trestným konaním, ktoré sa má začať proti </w:t>
      </w:r>
      <w:r w:rsidRPr="00D8180C">
        <w:t>Fulviovi</w:t>
      </w:r>
      <w:r w:rsidRPr="00D8180C">
        <w:t xml:space="preserve"> </w:t>
      </w:r>
      <w:r w:rsidRPr="00D8180C">
        <w:t>Martusciellovi</w:t>
      </w:r>
      <w:r w:rsidRPr="00D8180C">
        <w:t>, a ktorá bola oznámená v</w:t>
      </w:r>
      <w:r w:rsidRPr="00D8180C" w:rsidR="0083536D">
        <w:t> Európskom p</w:t>
      </w:r>
      <w:r w:rsidRPr="00D8180C">
        <w:t>arlamente 21. mája 2025,</w:t>
      </w:r>
    </w:p>
    <w:p w:rsidR="00DA1E6C" w:rsidRPr="00D8180C" w:rsidP="00DA1E6C" w14:paraId="0A9BE691" w14:textId="77777777">
      <w:pPr>
        <w:pStyle w:val="NormalHanging12a"/>
        <w:rPr>
          <w:bCs/>
        </w:rPr>
      </w:pPr>
      <w:r w:rsidRPr="00D8180C">
        <w:t>–</w:t>
      </w:r>
      <w:r w:rsidRPr="00D8180C">
        <w:tab/>
        <w:t xml:space="preserve">po vypočutí Fulvia </w:t>
      </w:r>
      <w:r w:rsidRPr="00D8180C">
        <w:t>Martusciella</w:t>
      </w:r>
      <w:r w:rsidRPr="00D8180C">
        <w:t xml:space="preserve"> 24. marca 2026 v súlade s článkom 9 ods. 6 rokovacieho poriadku,</w:t>
      </w:r>
    </w:p>
    <w:p w:rsidR="00DA1E6C" w:rsidRPr="00D8180C" w:rsidP="00DA1E6C" w14:paraId="19E90C30" w14:textId="77777777">
      <w:pPr>
        <w:pStyle w:val="NormalHanging12a"/>
      </w:pPr>
      <w:r w:rsidRPr="00D8180C">
        <w:t>–</w:t>
      </w:r>
      <w:r w:rsidRPr="00D8180C"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 w:rsidR="00DA1E6C" w:rsidRPr="00D8180C" w:rsidP="00DA1E6C" w14:paraId="1C855A2B" w14:textId="77777777">
      <w:pPr>
        <w:pStyle w:val="NormalHanging12a"/>
      </w:pPr>
      <w:r w:rsidRPr="00D8180C">
        <w:t>–</w:t>
      </w:r>
      <w:r w:rsidRPr="00D8180C">
        <w:tab/>
        <w:t>so zreteľom na rozsudky Súdneho dvora Európskej únie z 21. októbra 2008, 19. marca 2010, 6. septembra 2011, 17. januára 2013 a 19. decembra 2019</w:t>
      </w:r>
      <w:r>
        <w:rPr>
          <w:vertAlign w:val="superscript"/>
        </w:rPr>
        <w:footnoteReference w:id="2"/>
      </w:r>
      <w:r w:rsidRPr="00D8180C">
        <w:t>,</w:t>
      </w:r>
    </w:p>
    <w:p w:rsidR="00DA1E6C" w:rsidRPr="00D8180C" w:rsidP="00DA1E6C" w14:paraId="42E0D719" w14:textId="77777777">
      <w:pPr>
        <w:pStyle w:val="NormalHanging12a"/>
      </w:pPr>
      <w:r w:rsidRPr="00D8180C">
        <w:t>–</w:t>
      </w:r>
      <w:r w:rsidRPr="00D8180C">
        <w:tab/>
        <w:t>so zreteľom na článok 5 ods. 2, článok 6 ods. 1 a článok 9 rokovacieho poriadku,</w:t>
      </w:r>
    </w:p>
    <w:p w:rsidR="00DA1E6C" w:rsidRPr="00D8180C" w:rsidP="00DA1E6C" w14:paraId="46A8ABC1" w14:textId="77777777">
      <w:pPr>
        <w:pStyle w:val="NormalHanging12a"/>
      </w:pPr>
      <w:r w:rsidRPr="00D8180C">
        <w:t>–</w:t>
      </w:r>
      <w:r w:rsidRPr="00D8180C">
        <w:tab/>
        <w:t>so zreteľom na správu Výboru pre právne veci (A10-0154/2026),</w:t>
      </w:r>
    </w:p>
    <w:p w:rsidR="00DA1E6C" w:rsidRPr="00D8180C" w:rsidP="00DA1E6C" w14:paraId="4FD1E481" w14:textId="3895D5B3">
      <w:pPr>
        <w:pStyle w:val="NormalHanging12a"/>
      </w:pPr>
      <w:r w:rsidRPr="00D8180C">
        <w:t>A.</w:t>
      </w:r>
      <w:r w:rsidRPr="00D8180C">
        <w:tab/>
      </w:r>
      <w:bookmarkStart w:id="8" w:name="_Hlk223949138"/>
      <w:r w:rsidRPr="00D8180C">
        <w:t xml:space="preserve">keďže </w:t>
      </w:r>
      <w:bookmarkStart w:id="9" w:name="_Hlk210982066"/>
      <w:r w:rsidRPr="00D8180C" w:rsidR="00213EEA">
        <w:t xml:space="preserve">Federálna verejná služba pre zahraničné veci, zahraničný obchod a rozvojovú </w:t>
      </w:r>
      <w:r w:rsidRPr="00D8180C" w:rsidR="00213EEA">
        <w:t xml:space="preserve">spoluprácu zaslala 6. mája 2025 žiadosť </w:t>
      </w:r>
      <w:bookmarkEnd w:id="9"/>
      <w:r w:rsidRPr="00D8180C">
        <w:t>federáln</w:t>
      </w:r>
      <w:r w:rsidRPr="00D8180C" w:rsidR="00213EEA">
        <w:t>eho</w:t>
      </w:r>
      <w:r w:rsidRPr="00D8180C">
        <w:t xml:space="preserve"> prokurátor</w:t>
      </w:r>
      <w:r w:rsidRPr="00D8180C" w:rsidR="00213EEA">
        <w:t>a</w:t>
      </w:r>
      <w:r w:rsidRPr="00D8180C">
        <w:t xml:space="preserve"> </w:t>
      </w:r>
      <w:r w:rsidRPr="00D8180C" w:rsidR="008F5EE4">
        <w:t xml:space="preserve">zo 16. apríla </w:t>
      </w:r>
      <w:r w:rsidR="00EC5DB0">
        <w:t xml:space="preserve">2025 </w:t>
      </w:r>
      <w:r w:rsidRPr="00D8180C">
        <w:t xml:space="preserve">o zbavenie Fulvia </w:t>
      </w:r>
      <w:r w:rsidRPr="00D8180C">
        <w:t>Martusciella</w:t>
      </w:r>
      <w:r w:rsidRPr="00D8180C" w:rsidR="00213EEA">
        <w:t xml:space="preserve"> imunity</w:t>
      </w:r>
      <w:r w:rsidRPr="00D8180C">
        <w:t>, poslanca Európskeho parlamentu zvoleného v Taliansku, v súvislosti s trestným konaním, ktoré sa má proti nemu začať;</w:t>
      </w:r>
      <w:bookmarkEnd w:id="8"/>
    </w:p>
    <w:p w:rsidR="00DA1E6C" w:rsidRPr="00D8180C" w:rsidP="00DA1E6C" w14:paraId="4237F717" w14:textId="5F666FA4">
      <w:pPr>
        <w:pStyle w:val="NormalHanging12a"/>
      </w:pPr>
      <w:r w:rsidRPr="00D8180C">
        <w:t>B.</w:t>
      </w:r>
      <w:r w:rsidRPr="00D8180C">
        <w:tab/>
      </w:r>
      <w:bookmarkStart w:id="10" w:name="_Hlk223949179"/>
      <w:r w:rsidRPr="00D8180C">
        <w:t>keďže rozsiahle vyšetrovanie týkajúce sa spoločnosti Huawei údajne prinieslo závažné dôkazy o existencii zločineckej organizácie, ktorej cieľom bolo údajne ovplyvňovať rozhodnutia inštitúcií Ú</w:t>
      </w:r>
      <w:r w:rsidRPr="00D8180C" w:rsidR="00213EEA">
        <w:t>nie</w:t>
      </w:r>
      <w:r w:rsidRPr="00D8180C">
        <w:t xml:space="preserve"> tým, že sa podieľala na korumpovaní poslancov Európskeho parlamentu; keďže sa zdá, že toto vyšetrovanie odhalilo viacero prípadov údajnej korupcie, ku ktorým malo dochádzať pravidelne od roku 2021 do roku 2024; keďže korupčný systém mal údajne rôzne podoby vrátane pozývania poslancov Európskeho parlamentu na podujatia podporované spoločnosťou Huawei, údajne výmenou za zaujatie politických pozícií v prospech tejto spoločnosti, a poskytovania neprimeraných darov, ako napríklad úhrady nákladov na stravu a cestovné alebo pravidelných pozvánok na futbalové zápasy mimo rámca Európskeho parlamentu;</w:t>
      </w:r>
      <w:bookmarkEnd w:id="10"/>
    </w:p>
    <w:p w:rsidR="00DA1E6C" w:rsidRPr="00D8180C" w:rsidP="00DA1E6C" w14:paraId="780EF91B" w14:textId="3BA951A3">
      <w:pPr>
        <w:pStyle w:val="NormalHanging12a"/>
      </w:pPr>
      <w:bookmarkStart w:id="11" w:name="_Hlk223949214"/>
      <w:r w:rsidRPr="00D8180C">
        <w:t>C.</w:t>
      </w:r>
      <w:r w:rsidRPr="00D8180C">
        <w:tab/>
        <w:t>keďže podľa žiadosti o zbavenie imunity zaslalo niekoľko poslancov Európskeho parlamentu vo februári 2021 trom komisárom list s cieľom ovplyvniť politiku Ú</w:t>
      </w:r>
      <w:r w:rsidRPr="00D8180C" w:rsidR="00213EEA">
        <w:t>nie</w:t>
      </w:r>
      <w:r w:rsidRPr="00D8180C">
        <w:t xml:space="preserve"> v oblasti zavádzania sietí 5G v Európe, najmä v spojení s podporou spoločností z krajín mimo Ú</w:t>
      </w:r>
      <w:r w:rsidRPr="00D8180C" w:rsidR="00213EEA">
        <w:t>nie</w:t>
      </w:r>
      <w:r w:rsidRPr="00D8180C">
        <w:t xml:space="preserve">, ako je spoločnosť Huawei; keďže sa zdá, že vyšetrovaním sa podarilo preukázať jasnú cestu od vyhotovenia listu až po jeho šírenie, vplyv a fakturáciu, čím sa podľa všetkého potvrdilo, že list bol súčasťou okruhu, ktorý presahoval rámec ovplyvňovania alebo lobovania, a namiesto toho bol údajne súčasťou korupčnej dohody; keďže hlavným podporovateľom vyhotovenia listu bol údajne </w:t>
      </w:r>
      <w:r w:rsidRPr="00D8180C">
        <w:t>Fulvio</w:t>
      </w:r>
      <w:r w:rsidRPr="00D8180C">
        <w:t xml:space="preserve"> </w:t>
      </w:r>
      <w:r w:rsidRPr="00D8180C">
        <w:t>Martusciello</w:t>
      </w:r>
      <w:r w:rsidRPr="00D8180C">
        <w:t>, ktorý je prvým signatárom listu a údajne cez zložité finančné toky, ktorých cieľom bolo zakryť údajnú dohodu, dostával odmenu za to, že sa podieľal na korupcii využijúc svoj politický vplyv;</w:t>
      </w:r>
    </w:p>
    <w:p w:rsidR="00DA1E6C" w:rsidRPr="00D8180C" w:rsidP="00DA1E6C" w14:paraId="71777326" w14:textId="61F6D089">
      <w:pPr>
        <w:pStyle w:val="NormalHanging12a"/>
      </w:pPr>
      <w:r w:rsidRPr="00D8180C">
        <w:t>D.</w:t>
      </w:r>
      <w:r w:rsidRPr="00D8180C">
        <w:tab/>
      </w:r>
      <w:bookmarkEnd w:id="11"/>
      <w:r w:rsidRPr="00D8180C">
        <w:t xml:space="preserve">keďže </w:t>
      </w:r>
      <w:r w:rsidRPr="00D8180C">
        <w:t>Fulvio</w:t>
      </w:r>
      <w:r w:rsidRPr="00D8180C">
        <w:t xml:space="preserve"> </w:t>
      </w:r>
      <w:r w:rsidRPr="00D8180C">
        <w:t>Martusciello</w:t>
      </w:r>
      <w:r w:rsidRPr="00D8180C">
        <w:t xml:space="preserve"> sa tiež údajne aktívne zapojil do presadzovania záujmov spoločnosti Huawei, potenciálne v rámci údajnej korupčnej dohody, a to predložením pozmeňujúcich návrhov k návrhu uznesenia o politike hospodárskej súťaže Ú</w:t>
      </w:r>
      <w:r w:rsidRPr="00D8180C" w:rsidR="00213EEA">
        <w:t>nie</w:t>
      </w:r>
      <w:r w:rsidRPr="00D8180C">
        <w:t xml:space="preserve">, ktoré boli zrejme sformulované v záujme spoločnosti Huawei a vypracované od januára 2021 do marca 2021 – t. j. v rovnakom časovom rámci ako vyhotovenie a šírenie listu </w:t>
      </w:r>
      <w:r w:rsidRPr="00D8180C" w:rsidR="00213EEA">
        <w:t>uvedeného v odôvodnení C</w:t>
      </w:r>
      <w:r w:rsidRPr="00D8180C">
        <w:t xml:space="preserve"> – a uľahčením účasti študentov z jeho volebného obvodu na programe Huawei </w:t>
      </w:r>
      <w:r w:rsidRPr="00D8180C">
        <w:t>Academy</w:t>
      </w:r>
      <w:r w:rsidRPr="00D8180C">
        <w:t xml:space="preserve"> s cieľom získať hlasy, ktoré umožnia jeho opätovné zvolenie do </w:t>
      </w:r>
      <w:r w:rsidRPr="00D8180C" w:rsidR="0083536D">
        <w:t>Európskeho p</w:t>
      </w:r>
      <w:r w:rsidRPr="00D8180C">
        <w:t>arlamentu;</w:t>
      </w:r>
    </w:p>
    <w:p w:rsidR="00DA1E6C" w:rsidRPr="00D8180C" w:rsidP="00DA1E6C" w14:paraId="0E8959D7" w14:textId="402E5AE0">
      <w:pPr>
        <w:pStyle w:val="NormalHanging12a"/>
      </w:pPr>
      <w:bookmarkStart w:id="12" w:name="_Hlk223949297"/>
      <w:r w:rsidRPr="00D8180C">
        <w:t>E.</w:t>
      </w:r>
      <w:r w:rsidRPr="00D8180C">
        <w:tab/>
        <w:t xml:space="preserve">keďže </w:t>
      </w:r>
      <w:r w:rsidRPr="00D8180C">
        <w:t>Fulvio</w:t>
      </w:r>
      <w:r w:rsidRPr="00D8180C">
        <w:t xml:space="preserve"> </w:t>
      </w:r>
      <w:r w:rsidRPr="00D8180C">
        <w:t>Martusciello</w:t>
      </w:r>
      <w:r w:rsidRPr="00D8180C">
        <w:t xml:space="preserve"> bol opätovne zvolený do Európskeho parlamentu v európskych voľbách v júni 2024 a</w:t>
      </w:r>
      <w:r w:rsidRPr="00D8180C" w:rsidR="00213EEA">
        <w:t xml:space="preserve"> bol preto </w:t>
      </w:r>
      <w:r w:rsidRPr="00D8180C">
        <w:t>v čase spáchania údajného trestného činu poslancom Európskeho parlamentu;</w:t>
      </w:r>
    </w:p>
    <w:p w:rsidR="00DA1E6C" w:rsidRPr="00D8180C" w:rsidP="00DA1E6C" w14:paraId="46484946" w14:textId="3FBB0C0A">
      <w:pPr>
        <w:pStyle w:val="NormalHanging12a"/>
      </w:pPr>
      <w:r w:rsidRPr="00D8180C">
        <w:t>F.</w:t>
      </w:r>
      <w:r w:rsidRPr="00D8180C">
        <w:tab/>
        <w:t xml:space="preserve">keďže </w:t>
      </w:r>
      <w:r w:rsidRPr="00D8180C" w:rsidR="0083536D">
        <w:t>Európsky p</w:t>
      </w:r>
      <w:r w:rsidRPr="00D8180C">
        <w:t>arlament nemožno považovať za súd a poslanec nemôže byť v súvislosti s postupom zbavenia imunity považovaný za obvineného</w:t>
      </w:r>
      <w:r>
        <w:rPr>
          <w:vertAlign w:val="superscript"/>
        </w:rPr>
        <w:footnoteReference w:id="3"/>
      </w:r>
      <w:r w:rsidRPr="00D8180C">
        <w:t>;</w:t>
      </w:r>
    </w:p>
    <w:p w:rsidR="00DA1E6C" w:rsidRPr="00D8180C" w:rsidP="00DA1E6C" w14:paraId="5E2FD6CC" w14:textId="77777777">
      <w:pPr>
        <w:pStyle w:val="NormalHanging12a"/>
      </w:pPr>
      <w:r w:rsidRPr="00D8180C">
        <w:t>G.</w:t>
      </w:r>
      <w:r w:rsidRPr="00D8180C">
        <w:tab/>
        <w:t>keďže účelom poslaneckej imunity podľa Protokolu č. 7 o výsadách a imunitách Európskej únie je chrániť Európsky parlament a jeho poslancov pred súdnymi konaniami v súvislosti s činnosťami vykonávanými pri plnení poslaneckých povinností, ktoré nemožno oddeliť od týchto povinností;</w:t>
      </w:r>
    </w:p>
    <w:p w:rsidR="00DA1E6C" w:rsidRPr="00D8180C" w:rsidP="00DA1E6C" w14:paraId="6C503E2D" w14:textId="77777777">
      <w:pPr>
        <w:pStyle w:val="NormalHanging12a"/>
      </w:pPr>
      <w:r w:rsidRPr="00D8180C">
        <w:t>H.</w:t>
      </w:r>
      <w:r w:rsidRPr="00D8180C">
        <w:tab/>
        <w:t>keďže v súlade s článkom 5 ods. 2 rokovacieho poriadku poslanecká imunita nie je osobná výsada poslanca, ale záruka nezávislosti Európskeho parlamentu ako celku a jeho poslancov;</w:t>
      </w:r>
    </w:p>
    <w:p w:rsidR="00DA1E6C" w:rsidRPr="00D8180C" w:rsidP="00DA1E6C" w14:paraId="5D6E3E08" w14:textId="77777777">
      <w:pPr>
        <w:pStyle w:val="NormalHanging12a"/>
      </w:pPr>
      <w:r w:rsidRPr="00D8180C">
        <w:t>I.</w:t>
      </w:r>
      <w:r w:rsidRPr="00D8180C">
        <w:tab/>
        <w:t xml:space="preserve">keďže v článku 8 Protokolu č. 7 o výsadách a imunitách Európskej únie sa stanovuje, že poslanci Európskeho parlamentu nesmú byť vyšetrovaní, zadržaní alebo stíhaní pre vyjadrené názory alebo hlasovanie pri výkone svojich úloh; keďže údajný trestný čin sa netýka vyjadreného názoru ani hlasovania Fulvia </w:t>
      </w:r>
      <w:r w:rsidRPr="00D8180C">
        <w:t>Martusciella</w:t>
      </w:r>
      <w:r w:rsidRPr="00D8180C">
        <w:t xml:space="preserve"> pri výkone jeho úloh v zmysle článku 8 uvedeného protokolu;</w:t>
      </w:r>
    </w:p>
    <w:p w:rsidR="00DA1E6C" w:rsidRPr="00D8180C" w:rsidP="00DA1E6C" w14:paraId="694E9225" w14:textId="05C99F86">
      <w:pPr>
        <w:pStyle w:val="NormalHanging12a"/>
      </w:pPr>
      <w:r w:rsidRPr="00D8180C">
        <w:t>J.</w:t>
      </w:r>
      <w:r w:rsidRPr="00D8180C">
        <w:tab/>
        <w:t xml:space="preserve">keďže v článku 9 prvom odseku písm. b) Protokolu č. 7 o výsadách a imunitách Európskej únie sa stanovuje, že </w:t>
      </w:r>
      <w:r w:rsidRPr="00D8180C" w:rsidR="00213EEA">
        <w:t xml:space="preserve">počas zasadnutí Európskeho parlamentu jeho </w:t>
      </w:r>
      <w:r w:rsidRPr="00D8180C">
        <w:t>poslanci požívajú na území ktoréhokoľvek iného členského štátu, než je ich vlastný, imunitu voči zadržaniu a súdnemu konaniu;</w:t>
      </w:r>
    </w:p>
    <w:p w:rsidR="00DA1E6C" w:rsidRPr="00D8180C" w:rsidP="00DA1E6C" w14:paraId="06497C19" w14:textId="0E913E71">
      <w:pPr>
        <w:pStyle w:val="NormalHanging12a"/>
      </w:pPr>
      <w:r w:rsidRPr="00D8180C">
        <w:t>K.</w:t>
      </w:r>
      <w:r w:rsidRPr="00D8180C">
        <w:tab/>
        <w:t xml:space="preserve">keďže vyšetrovanie sa okrem Fulvia </w:t>
      </w:r>
      <w:r w:rsidRPr="00D8180C">
        <w:t>Martusciella</w:t>
      </w:r>
      <w:r w:rsidRPr="00D8180C">
        <w:t xml:space="preserve"> týkalo aj mnohých ďalších osôb; </w:t>
      </w:r>
      <w:bookmarkStart w:id="13" w:name="_Hlk228970940"/>
      <w:r w:rsidRPr="00D8180C">
        <w:t xml:space="preserve">keďže žiadosť o zbavenie Fulvia </w:t>
      </w:r>
      <w:r w:rsidRPr="00D8180C">
        <w:t>Martusciella</w:t>
      </w:r>
      <w:r w:rsidRPr="00D8180C">
        <w:t xml:space="preserve"> imunity sa zdá</w:t>
      </w:r>
      <w:bookmarkEnd w:id="13"/>
      <w:r w:rsidRPr="00D8180C">
        <w:t xml:space="preserve"> súčasťou širšieho vyšetrovania údajných korupčných praktík a nezdá sa, že by sa zameriavala na jeho politickú činnosť; keďže Európsky parlament nenašiel žiadny dôkaz </w:t>
      </w:r>
      <w:r w:rsidRPr="00D8180C">
        <w:rPr>
          <w:i/>
          <w:iCs/>
        </w:rPr>
        <w:t>fumus</w:t>
      </w:r>
      <w:r w:rsidRPr="00D8180C">
        <w:rPr>
          <w:i/>
          <w:iCs/>
        </w:rPr>
        <w:t xml:space="preserve"> </w:t>
      </w:r>
      <w:r w:rsidRPr="00D8180C">
        <w:rPr>
          <w:i/>
          <w:iCs/>
        </w:rPr>
        <w:t>persecutionis</w:t>
      </w:r>
      <w:r w:rsidRPr="00D8180C">
        <w:t xml:space="preserve">, </w:t>
      </w:r>
      <w:r w:rsidRPr="00D8180C" w:rsidR="00206C8D">
        <w:t>to znamená</w:t>
      </w:r>
      <w:r w:rsidRPr="00D8180C">
        <w:t xml:space="preserve">, </w:t>
      </w:r>
      <w:r w:rsidRPr="00D8180C" w:rsidR="00206C8D">
        <w:t xml:space="preserve">že sa </w:t>
      </w:r>
      <w:r w:rsidRPr="00D8180C">
        <w:t>nezdá, že zámerom konania je</w:t>
      </w:r>
      <w:r w:rsidRPr="00D8180C" w:rsidR="00206C8D">
        <w:t xml:space="preserve"> poškodiť</w:t>
      </w:r>
      <w:r w:rsidRPr="00D8180C">
        <w:t xml:space="preserve"> politickú činnosť Fulvia </w:t>
      </w:r>
      <w:r w:rsidRPr="00D8180C">
        <w:t>Martusciella</w:t>
      </w:r>
      <w:r w:rsidRPr="00D8180C">
        <w:t xml:space="preserve"> ako poslanca Európskeho parlamentu</w:t>
      </w:r>
      <w:r w:rsidRPr="00D8180C" w:rsidR="00206C8D">
        <w:t>, a tým aj nezávislosť Európskeho parlamentu</w:t>
      </w:r>
      <w:r w:rsidRPr="00D8180C">
        <w:t>;</w:t>
      </w:r>
    </w:p>
    <w:bookmarkEnd w:id="12"/>
    <w:p w:rsidR="00DA1E6C" w:rsidRPr="00D8180C" w:rsidP="00DA1E6C" w14:paraId="4C2A78B7" w14:textId="77777777">
      <w:pPr>
        <w:pStyle w:val="NormalHanging12a"/>
      </w:pPr>
      <w:r w:rsidRPr="00D8180C">
        <w:t>1.</w:t>
      </w:r>
      <w:r w:rsidRPr="00D8180C">
        <w:tab/>
      </w:r>
      <w:bookmarkStart w:id="14" w:name="_Hlk223949317"/>
      <w:r w:rsidRPr="00D8180C">
        <w:t xml:space="preserve">rozhodol zbaviť Fulvia </w:t>
      </w:r>
      <w:bookmarkEnd w:id="14"/>
      <w:r w:rsidRPr="00D8180C">
        <w:t>Martusciella</w:t>
      </w:r>
      <w:r w:rsidRPr="00D8180C">
        <w:t xml:space="preserve"> imunity;</w:t>
      </w:r>
    </w:p>
    <w:p w:rsidR="00BA040B" w:rsidRPr="00D8180C" w:rsidP="00BA040B" w14:paraId="1465CFB6" w14:textId="5BE1B9E5">
      <w:pPr>
        <w:pStyle w:val="NormalHanging12a"/>
      </w:pPr>
      <w:r w:rsidRPr="00D8180C">
        <w:t>2.</w:t>
      </w:r>
      <w:r w:rsidRPr="00D8180C">
        <w:tab/>
        <w:t>poveruje svoju predsedníčku, aby bezodkladne postúpila toto rozhodnutie a správu gestorského výboru príslušn</w:t>
      </w:r>
      <w:r w:rsidRPr="00D8180C" w:rsidR="00F12414">
        <w:t>ému</w:t>
      </w:r>
      <w:r w:rsidRPr="00D8180C">
        <w:t xml:space="preserve"> orgán</w:t>
      </w:r>
      <w:r w:rsidRPr="00D8180C" w:rsidR="00F12414">
        <w:t>u</w:t>
      </w:r>
      <w:r w:rsidRPr="00D8180C">
        <w:t xml:space="preserve"> Belgického kráľovstva a </w:t>
      </w:r>
      <w:r w:rsidRPr="00D8180C">
        <w:t>Fulviovi</w:t>
      </w:r>
      <w:r w:rsidRPr="00D8180C">
        <w:t xml:space="preserve"> </w:t>
      </w:r>
      <w:r w:rsidRPr="00D8180C">
        <w:t>Martusciellovi</w:t>
      </w:r>
      <w:r w:rsidRPr="00D8180C">
        <w:t>.</w:t>
      </w:r>
    </w:p>
    <w:sectPr w:rsidSect="00BA04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040B" w14:paraId="0C74F63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040B" w14:paraId="6087A54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040B" w14:paraId="1C4705B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12D62" w:rsidRPr="00BA040B" w14:paraId="5A8642DC" w14:textId="77777777">
      <w:r w:rsidRPr="00BA040B">
        <w:separator/>
      </w:r>
    </w:p>
  </w:footnote>
  <w:footnote w:type="continuationSeparator" w:id="1">
    <w:p w:rsidR="00912D62" w:rsidRPr="00BA040B" w14:paraId="3C7F3565" w14:textId="77777777">
      <w:r w:rsidRPr="00BA040B">
        <w:continuationSeparator/>
      </w:r>
    </w:p>
  </w:footnote>
  <w:footnote w:id="2">
    <w:p w:rsidR="00DA1E6C" w:rsidRPr="00BA040B" w:rsidP="00BA040B" w14:paraId="087DFC95" w14:textId="6833BE92">
      <w:pPr>
        <w:pStyle w:val="FootnoteText"/>
        <w:ind w:left="567" w:hanging="567"/>
        <w:rPr>
          <w:sz w:val="24"/>
          <w:lang w:val="sk-SK"/>
        </w:rPr>
      </w:pPr>
      <w:r w:rsidRPr="00BA040B">
        <w:rPr>
          <w:rStyle w:val="FootnoteReference"/>
          <w:sz w:val="24"/>
          <w:lang w:val="sk-SK"/>
        </w:rPr>
        <w:footnoteRef/>
      </w:r>
      <w:r w:rsidRPr="00BA040B" w:rsidR="00BA040B">
        <w:rPr>
          <w:sz w:val="24"/>
          <w:lang w:val="sk-SK"/>
        </w:rPr>
        <w:t xml:space="preserve"> </w:t>
      </w:r>
      <w:r w:rsidRPr="00BA040B" w:rsidR="00BA040B">
        <w:rPr>
          <w:sz w:val="24"/>
          <w:lang w:val="sk-SK"/>
        </w:rPr>
        <w:tab/>
      </w:r>
      <w:r w:rsidRPr="00BA040B">
        <w:rPr>
          <w:sz w:val="24"/>
          <w:lang w:val="sk-SK"/>
        </w:rPr>
        <w:t xml:space="preserve">Rozsudok Súdneho dvora z 21. októbra 2008, </w:t>
      </w:r>
      <w:r w:rsidRPr="00BA040B">
        <w:rPr>
          <w:sz w:val="24"/>
          <w:lang w:val="sk-SK"/>
        </w:rPr>
        <w:t>Marra</w:t>
      </w:r>
      <w:r w:rsidRPr="00BA040B">
        <w:rPr>
          <w:sz w:val="24"/>
          <w:lang w:val="sk-SK"/>
        </w:rPr>
        <w:t xml:space="preserve">/De </w:t>
      </w:r>
      <w:r w:rsidRPr="00BA040B">
        <w:rPr>
          <w:sz w:val="24"/>
          <w:lang w:val="sk-SK"/>
        </w:rPr>
        <w:t>Gregorio</w:t>
      </w:r>
      <w:r w:rsidRPr="00BA040B">
        <w:rPr>
          <w:sz w:val="24"/>
          <w:lang w:val="sk-SK"/>
        </w:rPr>
        <w:t xml:space="preserve"> a </w:t>
      </w:r>
      <w:r w:rsidRPr="00BA040B">
        <w:rPr>
          <w:sz w:val="24"/>
          <w:lang w:val="sk-SK"/>
        </w:rPr>
        <w:t>Clemente</w:t>
      </w:r>
      <w:r w:rsidRPr="00BA040B">
        <w:rPr>
          <w:sz w:val="24"/>
          <w:lang w:val="sk-SK"/>
        </w:rPr>
        <w:t xml:space="preserve">, C-200/07 a C-201/07, ECLI:EU:C:2008:579; rozsudok Všeobecného súdu z 19. marca 2010, </w:t>
      </w:r>
      <w:r w:rsidRPr="00BA040B">
        <w:rPr>
          <w:sz w:val="24"/>
          <w:lang w:val="sk-SK"/>
        </w:rPr>
        <w:t>Gollnisch</w:t>
      </w:r>
      <w:r w:rsidRPr="00BA040B">
        <w:rPr>
          <w:sz w:val="24"/>
          <w:lang w:val="sk-SK"/>
        </w:rPr>
        <w:t xml:space="preserve">/Parlament, T-42/06, ECLI:EU:T:2010:102; rozsudok Súdneho dvora zo 6. septembra 2011, </w:t>
      </w:r>
      <w:r w:rsidRPr="00BA040B">
        <w:rPr>
          <w:sz w:val="24"/>
          <w:lang w:val="sk-SK"/>
        </w:rPr>
        <w:t>Patriciello</w:t>
      </w:r>
      <w:r w:rsidRPr="00BA040B">
        <w:rPr>
          <w:sz w:val="24"/>
          <w:lang w:val="sk-SK"/>
        </w:rPr>
        <w:t xml:space="preserve">, C-163/10, ECLI: EU:C:2011:543; rozsudok Všeobecného súdu zo 17. januára 2013, </w:t>
      </w:r>
      <w:r w:rsidRPr="00BA040B">
        <w:rPr>
          <w:sz w:val="24"/>
          <w:lang w:val="sk-SK"/>
        </w:rPr>
        <w:t>Gollnisch</w:t>
      </w:r>
      <w:r w:rsidRPr="00BA040B">
        <w:rPr>
          <w:sz w:val="24"/>
          <w:lang w:val="sk-SK"/>
        </w:rPr>
        <w:t xml:space="preserve">/Parlament, T-346/11 a T-347/11, ECLI:EU:T:2013:23; rozsudok Súdneho dvora z 19. decembra 2019, </w:t>
      </w:r>
      <w:r w:rsidRPr="00BA040B">
        <w:rPr>
          <w:sz w:val="24"/>
          <w:lang w:val="sk-SK"/>
        </w:rPr>
        <w:t>Junqueras</w:t>
      </w:r>
      <w:r w:rsidRPr="00BA040B">
        <w:rPr>
          <w:sz w:val="24"/>
          <w:lang w:val="sk-SK"/>
        </w:rPr>
        <w:t xml:space="preserve"> </w:t>
      </w:r>
      <w:r w:rsidRPr="00BA040B">
        <w:rPr>
          <w:sz w:val="24"/>
          <w:lang w:val="sk-SK"/>
        </w:rPr>
        <w:t>Vies</w:t>
      </w:r>
      <w:r w:rsidRPr="00BA040B">
        <w:rPr>
          <w:sz w:val="24"/>
          <w:lang w:val="sk-SK"/>
        </w:rPr>
        <w:t>, C-502/19, ECLI:EU:C:2019:1115.</w:t>
      </w:r>
    </w:p>
  </w:footnote>
  <w:footnote w:id="3">
    <w:p w:rsidR="00DA1E6C" w:rsidRPr="00BA040B" w:rsidP="00BA040B" w14:paraId="644F8BA9" w14:textId="69111293">
      <w:pPr>
        <w:pStyle w:val="FootnoteText"/>
        <w:ind w:left="567" w:hanging="567"/>
        <w:rPr>
          <w:sz w:val="24"/>
          <w:lang w:val="sk-SK"/>
        </w:rPr>
      </w:pPr>
      <w:r w:rsidRPr="00BA040B">
        <w:rPr>
          <w:rStyle w:val="FootnoteReference"/>
          <w:sz w:val="24"/>
          <w:lang w:val="sk-SK"/>
        </w:rPr>
        <w:footnoteRef/>
      </w:r>
      <w:r w:rsidRPr="00BA040B" w:rsidR="00BA040B">
        <w:rPr>
          <w:sz w:val="24"/>
          <w:lang w:val="sk-SK"/>
        </w:rPr>
        <w:t xml:space="preserve"> </w:t>
      </w:r>
      <w:r w:rsidRPr="00BA040B" w:rsidR="00BA040B">
        <w:rPr>
          <w:sz w:val="24"/>
          <w:lang w:val="sk-SK"/>
        </w:rPr>
        <w:tab/>
      </w:r>
      <w:r w:rsidRPr="00BA040B">
        <w:rPr>
          <w:sz w:val="24"/>
          <w:lang w:val="sk-SK"/>
        </w:rPr>
        <w:t xml:space="preserve">Rozsudok Všeobecného súdu z 30. apríla 2019, </w:t>
      </w:r>
      <w:r w:rsidRPr="00BA040B">
        <w:rPr>
          <w:sz w:val="24"/>
          <w:lang w:val="sk-SK"/>
        </w:rPr>
        <w:t>Briois</w:t>
      </w:r>
      <w:r w:rsidRPr="00BA040B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040B" w14:paraId="6F208C6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040B" w14:paraId="56BA954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040B" w14:paraId="1DEE6B8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8974573">
    <w:abstractNumId w:val="9"/>
  </w:num>
  <w:num w:numId="2" w16cid:durableId="1332299273">
    <w:abstractNumId w:val="9"/>
  </w:num>
  <w:num w:numId="3" w16cid:durableId="718558285">
    <w:abstractNumId w:val="7"/>
  </w:num>
  <w:num w:numId="4" w16cid:durableId="2139908149">
    <w:abstractNumId w:val="7"/>
  </w:num>
  <w:num w:numId="5" w16cid:durableId="62798781">
    <w:abstractNumId w:val="6"/>
  </w:num>
  <w:num w:numId="6" w16cid:durableId="906768035">
    <w:abstractNumId w:val="6"/>
  </w:num>
  <w:num w:numId="7" w16cid:durableId="2068676209">
    <w:abstractNumId w:val="5"/>
  </w:num>
  <w:num w:numId="8" w16cid:durableId="1589727657">
    <w:abstractNumId w:val="5"/>
  </w:num>
  <w:num w:numId="9" w16cid:durableId="1539466262">
    <w:abstractNumId w:val="4"/>
  </w:num>
  <w:num w:numId="10" w16cid:durableId="1472164551">
    <w:abstractNumId w:val="4"/>
  </w:num>
  <w:num w:numId="11" w16cid:durableId="257950182">
    <w:abstractNumId w:val="8"/>
  </w:num>
  <w:num w:numId="12" w16cid:durableId="595358881">
    <w:abstractNumId w:val="8"/>
  </w:num>
  <w:num w:numId="13" w16cid:durableId="1558591747">
    <w:abstractNumId w:val="3"/>
  </w:num>
  <w:num w:numId="14" w16cid:durableId="1798327654">
    <w:abstractNumId w:val="3"/>
  </w:num>
  <w:num w:numId="15" w16cid:durableId="1563560620">
    <w:abstractNumId w:val="2"/>
  </w:num>
  <w:num w:numId="16" w16cid:durableId="1346637919">
    <w:abstractNumId w:val="2"/>
  </w:num>
  <w:num w:numId="17" w16cid:durableId="802429613">
    <w:abstractNumId w:val="1"/>
  </w:num>
  <w:num w:numId="18" w16cid:durableId="1322268634">
    <w:abstractNumId w:val="1"/>
  </w:num>
  <w:num w:numId="19" w16cid:durableId="318507613">
    <w:abstractNumId w:val="0"/>
  </w:num>
  <w:num w:numId="20" w16cid:durableId="1639870519">
    <w:abstractNumId w:val="0"/>
  </w:num>
  <w:num w:numId="21" w16cid:durableId="1474979114">
    <w:abstractNumId w:val="9"/>
  </w:num>
  <w:num w:numId="22" w16cid:durableId="1406493913">
    <w:abstractNumId w:val="7"/>
  </w:num>
  <w:num w:numId="23" w16cid:durableId="2058428186">
    <w:abstractNumId w:val="6"/>
  </w:num>
  <w:num w:numId="24" w16cid:durableId="994338578">
    <w:abstractNumId w:val="5"/>
  </w:num>
  <w:num w:numId="25" w16cid:durableId="1406300657">
    <w:abstractNumId w:val="4"/>
  </w:num>
  <w:num w:numId="26" w16cid:durableId="1901165580">
    <w:abstractNumId w:val="8"/>
  </w:num>
  <w:num w:numId="27" w16cid:durableId="346907083">
    <w:abstractNumId w:val="3"/>
  </w:num>
  <w:num w:numId="28" w16cid:durableId="853107476">
    <w:abstractNumId w:val="2"/>
  </w:num>
  <w:num w:numId="29" w16cid:durableId="1698852290">
    <w:abstractNumId w:val="1"/>
  </w:num>
  <w:num w:numId="30" w16cid:durableId="1580358675">
    <w:abstractNumId w:val="0"/>
  </w:num>
  <w:num w:numId="31" w16cid:durableId="43219670">
    <w:abstractNumId w:val="9"/>
  </w:num>
  <w:num w:numId="32" w16cid:durableId="2009795400">
    <w:abstractNumId w:val="7"/>
  </w:num>
  <w:num w:numId="33" w16cid:durableId="59914742">
    <w:abstractNumId w:val="6"/>
  </w:num>
  <w:num w:numId="34" w16cid:durableId="1948538747">
    <w:abstractNumId w:val="5"/>
  </w:num>
  <w:num w:numId="35" w16cid:durableId="769204427">
    <w:abstractNumId w:val="4"/>
  </w:num>
  <w:num w:numId="36" w16cid:durableId="892038600">
    <w:abstractNumId w:val="8"/>
  </w:num>
  <w:num w:numId="37" w16cid:durableId="474638100">
    <w:abstractNumId w:val="3"/>
  </w:num>
  <w:num w:numId="38" w16cid:durableId="1720124258">
    <w:abstractNumId w:val="2"/>
  </w:num>
  <w:num w:numId="39" w16cid:durableId="56057431">
    <w:abstractNumId w:val="1"/>
  </w:num>
  <w:num w:numId="40" w16cid:durableId="2037845320">
    <w:abstractNumId w:val="0"/>
  </w:num>
  <w:num w:numId="41" w16cid:durableId="1444882651">
    <w:abstractNumId w:val="10"/>
  </w:num>
  <w:num w:numId="42" w16cid:durableId="715393870">
    <w:abstractNumId w:val="10"/>
  </w:num>
  <w:num w:numId="43" w16cid:durableId="1128085932">
    <w:abstractNumId w:val="10"/>
  </w:num>
  <w:num w:numId="44" w16cid:durableId="17425609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62"/>
    <w:rsid w:val="00002272"/>
    <w:rsid w:val="00012361"/>
    <w:rsid w:val="00064002"/>
    <w:rsid w:val="000677B9"/>
    <w:rsid w:val="000831BA"/>
    <w:rsid w:val="000A42CC"/>
    <w:rsid w:val="000E7DD9"/>
    <w:rsid w:val="0010095E"/>
    <w:rsid w:val="00125B37"/>
    <w:rsid w:val="00187494"/>
    <w:rsid w:val="001C4FDF"/>
    <w:rsid w:val="001F32AE"/>
    <w:rsid w:val="00206C8D"/>
    <w:rsid w:val="00213EEA"/>
    <w:rsid w:val="002767FF"/>
    <w:rsid w:val="002B18FE"/>
    <w:rsid w:val="002B1C8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75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36D"/>
    <w:rsid w:val="00842779"/>
    <w:rsid w:val="00865F67"/>
    <w:rsid w:val="00881A7B"/>
    <w:rsid w:val="00882F61"/>
    <w:rsid w:val="008840E5"/>
    <w:rsid w:val="00887B3E"/>
    <w:rsid w:val="008C2AC6"/>
    <w:rsid w:val="008F5EE4"/>
    <w:rsid w:val="00912D6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40B"/>
    <w:rsid w:val="00BD48FE"/>
    <w:rsid w:val="00BD7BD8"/>
    <w:rsid w:val="00BE6ADC"/>
    <w:rsid w:val="00C05BFE"/>
    <w:rsid w:val="00C23CD4"/>
    <w:rsid w:val="00C61C0C"/>
    <w:rsid w:val="00C941CB"/>
    <w:rsid w:val="00CA24EA"/>
    <w:rsid w:val="00CC2357"/>
    <w:rsid w:val="00CF071A"/>
    <w:rsid w:val="00D058B8"/>
    <w:rsid w:val="00D56C11"/>
    <w:rsid w:val="00D8180C"/>
    <w:rsid w:val="00D834A0"/>
    <w:rsid w:val="00D872DF"/>
    <w:rsid w:val="00D91E21"/>
    <w:rsid w:val="00DA1C80"/>
    <w:rsid w:val="00DA1E6C"/>
    <w:rsid w:val="00DA7FCD"/>
    <w:rsid w:val="00E365E1"/>
    <w:rsid w:val="00E820A4"/>
    <w:rsid w:val="00EB006A"/>
    <w:rsid w:val="00EB4772"/>
    <w:rsid w:val="00EC5DB0"/>
    <w:rsid w:val="00ED169E"/>
    <w:rsid w:val="00ED4235"/>
    <w:rsid w:val="00F04346"/>
    <w:rsid w:val="00F075DC"/>
    <w:rsid w:val="00F12414"/>
    <w:rsid w:val="00F14882"/>
    <w:rsid w:val="00F149E9"/>
    <w:rsid w:val="00F5134D"/>
    <w:rsid w:val="00F74202"/>
    <w:rsid w:val="00F87713"/>
    <w:rsid w:val="00FB4360"/>
    <w:rsid w:val="00FD0C70"/>
  </w:rsids>
  <w:docVars>
    <w:docVar w:name="dvdocse" w:val="A10-0154/2026"/>
    <w:docVar w:name="dvlangue" w:val="SK"/>
    <w:docVar w:name="dvnumam" w:val="0"/>
    <w:docVar w:name="dvpe" w:val="788.823"/>
    <w:docVar w:name="dvrapporteur" w:val="Spravodajca: "/>
    <w:docVar w:name="dvtitre" w:val="Rozhodnutie Európskeho parlamentu z/zo xx. xxx 2026 o žiadosti o zbavenie Fulvia Martusciella imunity(2025/2099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A03D0E"/>
  <w15:chartTrackingRefBased/>
  <w15:docId w15:val="{E1D8255E-7B8E-4A17-8BDA-B0F0A83E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A1E6C"/>
    <w:pPr>
      <w:spacing w:after="240"/>
      <w:ind w:left="567" w:hanging="567"/>
    </w:pPr>
  </w:style>
  <w:style w:type="paragraph" w:customStyle="1" w:styleId="EPComma">
    <w:name w:val="EPComma"/>
    <w:basedOn w:val="Normal"/>
    <w:rsid w:val="00DA1E6C"/>
    <w:pPr>
      <w:spacing w:before="480" w:after="240"/>
    </w:pPr>
  </w:style>
  <w:style w:type="paragraph" w:styleId="Revision">
    <w:name w:val="Revision"/>
    <w:hidden/>
    <w:uiPriority w:val="99"/>
    <w:semiHidden/>
    <w:rsid w:val="0083536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874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2026-07-14T12:20:00Z</dcterms:created>
  <dcterms:modified xsi:type="dcterms:W3CDTF">2026-07-14T12:20:00Z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A10-0154/2026</vt:lpwstr>
  </property>
  <property fmtid="{D5CDD505-2E9C-101B-9397-08002B2CF9AE}" pid="4" name="&lt;Type&gt;">
    <vt:lpwstr>RR</vt:lpwstr>
  </property>
</Properties>
</file>