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FE84A1D" w14:textId="77777777" w:rsidTr="0010095E">
        <w:tblPrEx>
          <w:tblW w:w="9072" w:type="dxa"/>
          <w:tblLook w:val="01E0"/>
        </w:tblPrEx>
        <w:trPr>
          <w:trHeight w:hRule="exact" w:val="1418"/>
        </w:trPr>
        <w:tc>
          <w:tcPr>
            <w:tcW w:w="6804" w:type="dxa"/>
            <w:shd w:val="clear" w:color="auto" w:fill="auto"/>
            <w:vAlign w:val="center"/>
          </w:tcPr>
          <w:p w:rsidR="00751A4A" w:rsidRPr="00EB0AB2" w:rsidP="0010095E" w14:paraId="57ED27FA" w14:textId="77777777">
            <w:pPr>
              <w:pStyle w:val="EPName"/>
            </w:pPr>
            <w:r w:rsidRPr="00EB0AB2">
              <w:t>Parlement européen</w:t>
            </w:r>
          </w:p>
          <w:p w:rsidR="00751A4A" w:rsidRPr="00EB0AB2" w:rsidP="005F1B17" w14:paraId="402384E0" w14:textId="77777777">
            <w:pPr>
              <w:pStyle w:val="EPTerm"/>
              <w:rPr>
                <w:rStyle w:val="HideTWBExt"/>
                <w:noProof w:val="0"/>
                <w:vanish w:val="0"/>
                <w:color w:val="auto"/>
              </w:rPr>
            </w:pPr>
            <w:r w:rsidRPr="00EB0AB2">
              <w:t>2024</w:t>
            </w:r>
            <w:r w:rsidRPr="00EB0AB2" w:rsidR="00817416">
              <w:t>-202</w:t>
            </w:r>
            <w:r w:rsidRPr="00EB0AB2">
              <w:t>9</w:t>
            </w:r>
          </w:p>
        </w:tc>
        <w:tc>
          <w:tcPr>
            <w:tcW w:w="2268" w:type="dxa"/>
            <w:shd w:val="clear" w:color="auto" w:fill="auto"/>
          </w:tcPr>
          <w:p w:rsidR="00751A4A" w:rsidRPr="00EB0AB2" w:rsidP="0010095E" w14:paraId="2DAD6429" w14:textId="77777777">
            <w:pPr>
              <w:pStyle w:val="EPLogo"/>
            </w:pPr>
            <w:r w:rsidRPr="00EB0AB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B0AB2" w:rsidP="004C5D52" w14:paraId="3D7036D7" w14:textId="77777777">
      <w:pPr>
        <w:pStyle w:val="LineTop"/>
      </w:pPr>
    </w:p>
    <w:p w:rsidR="00680577" w:rsidRPr="00EB0AB2" w:rsidP="00680577" w14:paraId="14F4BD23" w14:textId="77777777">
      <w:pPr>
        <w:pStyle w:val="EPBodyTA1"/>
      </w:pPr>
      <w:r w:rsidRPr="00EB0AB2">
        <w:t>TEXTES ADOPTÉS</w:t>
      </w:r>
    </w:p>
    <w:p w:rsidR="00D058B8" w:rsidRPr="00EB0AB2" w:rsidP="00D058B8" w14:paraId="0C0891D4" w14:textId="77777777">
      <w:pPr>
        <w:pStyle w:val="LineBottom"/>
      </w:pPr>
    </w:p>
    <w:p w:rsidR="00E05559" w:rsidRPr="0015095F" w:rsidP="00E05559" w14:paraId="3FCF28A4" w14:textId="30F5E115">
      <w:pPr>
        <w:pStyle w:val="ATHeading1"/>
      </w:pPr>
      <w:bookmarkStart w:id="0" w:name="TANumber"/>
      <w:r w:rsidRPr="0015095F">
        <w:t>P10_</w:t>
      </w:r>
      <w:r w:rsidRPr="0015095F">
        <w:t>TA(</w:t>
      </w:r>
      <w:r w:rsidRPr="0015095F">
        <w:t>2026)0</w:t>
      </w:r>
      <w:r w:rsidRPr="0015095F" w:rsidR="00434232">
        <w:t>195</w:t>
      </w:r>
      <w:bookmarkEnd w:id="0"/>
    </w:p>
    <w:p w:rsidR="00E05559" w:rsidRPr="0015095F" w:rsidP="00E05559" w14:paraId="0956DF04" w14:textId="26FF967A">
      <w:pPr>
        <w:pStyle w:val="ATHeading2"/>
      </w:pPr>
      <w:bookmarkStart w:id="1" w:name="title"/>
      <w:r w:rsidRPr="0015095F">
        <w:t xml:space="preserve">Demande de levée de l’immunité de Nikola </w:t>
      </w:r>
      <w:r w:rsidRPr="0015095F">
        <w:t>Minchev</w:t>
      </w:r>
      <w:bookmarkEnd w:id="1"/>
    </w:p>
    <w:p w:rsidR="00E05559" w:rsidRPr="0015095F" w:rsidP="00E05559" w14:paraId="64B66236" w14:textId="77777777">
      <w:pPr>
        <w:rPr>
          <w:i/>
          <w:vanish/>
        </w:rPr>
      </w:pPr>
      <w:r>
        <w:rPr>
          <w:i/>
        </w:rPr>
        <w:fldChar w:fldCharType="begin"/>
      </w:r>
      <w:r w:rsidRPr="0015095F">
        <w:rPr>
          <w:i/>
        </w:rPr>
        <w:instrText xml:space="preserve"> TC</w:instrText>
      </w:r>
      <w:r w:rsidRPr="0015095F">
        <w:rPr>
          <w:i/>
        </w:rPr>
        <w:instrText>"(</w:instrText>
      </w:r>
      <w:bookmarkStart w:id="2" w:name="DocNumber"/>
      <w:r w:rsidRPr="0015095F">
        <w:rPr>
          <w:i/>
        </w:rPr>
        <w:instrText>A10-0155/2026</w:instrText>
      </w:r>
      <w:bookmarkEnd w:id="2"/>
      <w:r w:rsidRPr="0015095F">
        <w:rPr>
          <w:i/>
        </w:rPr>
        <w:instrText xml:space="preserve"> - Rapporteur: </w:instrText>
      </w:r>
      <w:r w:rsidRPr="0015095F">
        <w:rPr>
          <w:i/>
        </w:rPr>
        <w:instrText>Ilhan</w:instrText>
      </w:r>
      <w:r w:rsidRPr="0015095F">
        <w:rPr>
          <w:i/>
        </w:rPr>
        <w:instrText xml:space="preserve"> </w:instrText>
      </w:r>
      <w:r w:rsidRPr="0015095F">
        <w:rPr>
          <w:i/>
        </w:rPr>
        <w:instrText>Kyuchyuk</w:instrText>
      </w:r>
      <w:r w:rsidRPr="0015095F">
        <w:rPr>
          <w:i/>
        </w:rPr>
        <w:instrText xml:space="preserve">)"\l3 \n&gt; \* MERGEFORMAT </w:instrText>
      </w:r>
      <w:r>
        <w:rPr>
          <w:i/>
        </w:rPr>
        <w:fldChar w:fldCharType="end"/>
      </w:r>
    </w:p>
    <w:p w:rsidR="00E05559" w:rsidRPr="0015095F" w:rsidP="00E05559" w14:paraId="43E28F94" w14:textId="77777777">
      <w:pPr>
        <w:rPr>
          <w:vanish/>
        </w:rPr>
      </w:pPr>
      <w:bookmarkStart w:id="3" w:name="Commission"/>
      <w:r w:rsidRPr="0015095F">
        <w:rPr>
          <w:vanish/>
        </w:rPr>
        <w:t>Commission des affaires juridiques</w:t>
      </w:r>
      <w:bookmarkEnd w:id="3"/>
    </w:p>
    <w:p w:rsidR="00E05559" w:rsidRPr="0015095F" w:rsidP="00E05559" w14:paraId="65AAF210" w14:textId="77777777">
      <w:pPr>
        <w:rPr>
          <w:vanish/>
        </w:rPr>
      </w:pPr>
      <w:bookmarkStart w:id="4" w:name="PE"/>
      <w:r w:rsidRPr="0015095F">
        <w:rPr>
          <w:vanish/>
        </w:rPr>
        <w:t>PE782.200</w:t>
      </w:r>
      <w:bookmarkEnd w:id="4"/>
    </w:p>
    <w:p w:rsidR="00E05559" w:rsidRPr="0015095F" w:rsidP="00E05559" w14:paraId="6A152CB9" w14:textId="1792BF93">
      <w:pPr>
        <w:pStyle w:val="ATHeading3"/>
      </w:pPr>
      <w:bookmarkStart w:id="5" w:name="Sujet"/>
      <w:r w:rsidRPr="0015095F">
        <w:t xml:space="preserve">Décision du Parlement européen du </w:t>
      </w:r>
      <w:r w:rsidRPr="0015095F" w:rsidR="00176816">
        <w:t>16 juin</w:t>
      </w:r>
      <w:r w:rsidRPr="0015095F">
        <w:t xml:space="preserve"> 2026 sur la demande de levée de l’immunité de Nikola </w:t>
      </w:r>
      <w:r w:rsidRPr="0015095F">
        <w:t>Minchev</w:t>
      </w:r>
      <w:bookmarkEnd w:id="5"/>
      <w:r w:rsidRPr="0015095F">
        <w:t xml:space="preserve"> </w:t>
      </w:r>
      <w:bookmarkStart w:id="6" w:name="References"/>
      <w:r w:rsidRPr="0015095F">
        <w:t>(2025/2100(IMM))</w:t>
      </w:r>
      <w:bookmarkEnd w:id="6"/>
    </w:p>
    <w:p w:rsidR="00373B5F" w:rsidRPr="0015095F" w:rsidP="00373B5F" w14:paraId="7F8BEF6D" w14:textId="77777777">
      <w:pPr>
        <w:pStyle w:val="EPComma"/>
      </w:pPr>
      <w:bookmarkStart w:id="7" w:name="TextBodyBegin"/>
      <w:bookmarkEnd w:id="7"/>
      <w:r w:rsidRPr="0015095F">
        <w:rPr>
          <w:i/>
        </w:rPr>
        <w:t>Le Parlement européen</w:t>
      </w:r>
      <w:r w:rsidRPr="0015095F">
        <w:t>,</w:t>
      </w:r>
    </w:p>
    <w:p w:rsidR="00373B5F" w:rsidRPr="0015095F" w:rsidP="004650EC" w14:paraId="366D26C7" w14:textId="1748E71C">
      <w:pPr>
        <w:pStyle w:val="NormalHanging12a"/>
        <w:widowControl/>
      </w:pPr>
      <w:r w:rsidRPr="0015095F">
        <w:t>–</w:t>
      </w:r>
      <w:r w:rsidRPr="0015095F">
        <w:tab/>
      </w:r>
      <w:bookmarkStart w:id="8" w:name="_Hlk231477072"/>
      <w:r w:rsidRPr="0015095F">
        <w:t xml:space="preserve">vu la demande de levée de l’immunité de Nikola </w:t>
      </w:r>
      <w:r w:rsidRPr="0015095F">
        <w:t>Minchev</w:t>
      </w:r>
      <w:r w:rsidRPr="0015095F">
        <w:t>, reçue par lettre du 6 mai 2025 du service public fédéral belge</w:t>
      </w:r>
      <w:r w:rsidRPr="0015095F">
        <w:t xml:space="preserve"> «Affaires</w:t>
      </w:r>
      <w:r w:rsidRPr="0015095F">
        <w:t xml:space="preserve"> étrangères, Commerce extérieur et Coopération au développement», transmettant une demande </w:t>
      </w:r>
      <w:r w:rsidRPr="0015095F" w:rsidR="00DE7282">
        <w:t xml:space="preserve">datée </w:t>
      </w:r>
      <w:r w:rsidRPr="0015095F">
        <w:t xml:space="preserve">du 16 avril 2025 du Parquet fédéral belge en liaison avec des poursuites pénales à engager contre Nikola </w:t>
      </w:r>
      <w:r w:rsidRPr="0015095F">
        <w:t>Minchev</w:t>
      </w:r>
      <w:r w:rsidRPr="0015095F">
        <w:t>, et communiquée en séance plénière le 21 mai 2025,</w:t>
      </w:r>
    </w:p>
    <w:p w:rsidR="00373B5F" w:rsidRPr="0015095F" w:rsidP="009E7366" w14:paraId="147575A4" w14:textId="69D7F664">
      <w:pPr>
        <w:pStyle w:val="NormalHanging12a"/>
        <w:rPr>
          <w:bCs/>
        </w:rPr>
      </w:pPr>
      <w:r w:rsidRPr="0015095F">
        <w:t>–</w:t>
      </w:r>
      <w:r w:rsidRPr="0015095F">
        <w:tab/>
      </w:r>
      <w:bookmarkStart w:id="9" w:name="_Hlk225077637"/>
      <w:r w:rsidRPr="0015095F">
        <w:t xml:space="preserve">vu les informations complémentaires fournies par le procureur fédéral et le juge d’instruction lors d’un échange de vues le 15 juillet 2025, ainsi que la réponse fournie le 18 septembre 2025 </w:t>
      </w:r>
      <w:r w:rsidRPr="0015095F" w:rsidR="00176816">
        <w:t xml:space="preserve">par le procureur fédéral </w:t>
      </w:r>
      <w:r w:rsidRPr="0015095F">
        <w:t xml:space="preserve">après une nouvelle demande écrite de renseignements; vu le fait qu’une demande de levée de l’immunité d’un député </w:t>
      </w:r>
      <w:bookmarkStart w:id="10" w:name="_Hlk225077824"/>
      <w:r w:rsidRPr="0015095F">
        <w:t>doi</w:t>
      </w:r>
      <w:r w:rsidRPr="0015095F" w:rsidR="00DE7282">
        <w:t>t</w:t>
      </w:r>
      <w:r w:rsidRPr="0015095F">
        <w:t xml:space="preserve"> répondre à certaines</w:t>
      </w:r>
      <w:bookmarkEnd w:id="10"/>
      <w:r w:rsidRPr="0015095F">
        <w:t xml:space="preserve"> normes, notamment, être formulée de manière claire, y compris en ce qui concerne le cadre juridique sur lequel elle se fonde, et fournir des éléments et des informations clairs et suffisants pour permettre au Parlement d’examiner la demande afin de parvenir à une conclusion et de clore cet examen le plus rapidement possible, compte tenu également de la complexité relative de l’affaire,</w:t>
      </w:r>
      <w:bookmarkEnd w:id="9"/>
    </w:p>
    <w:p w:rsidR="00373B5F" w:rsidRPr="0015095F" w:rsidP="009E7366" w14:paraId="792EC3C8" w14:textId="77777777">
      <w:pPr>
        <w:pStyle w:val="NormalHanging12a"/>
      </w:pPr>
      <w:r w:rsidRPr="0015095F">
        <w:t>–</w:t>
      </w:r>
      <w:r w:rsidRPr="0015095F">
        <w:tab/>
        <w:t xml:space="preserve">ayant entendu Nikola </w:t>
      </w:r>
      <w:r w:rsidRPr="0015095F">
        <w:t>Minchev</w:t>
      </w:r>
      <w:r w:rsidRPr="0015095F">
        <w:t xml:space="preserve"> le 3 décembre 2025, conformément à l’article 9, paragraphe 6, de son règlement intérieur,</w:t>
      </w:r>
    </w:p>
    <w:p w:rsidR="00373B5F" w:rsidRPr="0015095F" w:rsidP="009E7366" w14:paraId="1219BA22" w14:textId="77777777">
      <w:pPr>
        <w:pStyle w:val="NormalHanging12a"/>
      </w:pPr>
      <w:r w:rsidRPr="0015095F">
        <w:t>–</w:t>
      </w:r>
      <w:r w:rsidRPr="0015095F">
        <w:tab/>
        <w:t>vu les articles 8 et 9 du protocole nº 7 sur les privilèges et immunités de l’Union européenne ainsi que l’article 6, paragraphe 2, de l’acte portant élection des membres du Parlement européen au suffrage universel direct, du 20 septembre 1976,</w:t>
      </w:r>
    </w:p>
    <w:p w:rsidR="00373B5F" w:rsidRPr="0015095F" w:rsidP="009E7366" w14:paraId="0006622D" w14:textId="77777777">
      <w:pPr>
        <w:pStyle w:val="NormalHanging12a"/>
      </w:pPr>
      <w:r w:rsidRPr="0015095F">
        <w:t>–</w:t>
      </w:r>
      <w:r w:rsidRPr="0015095F">
        <w:tab/>
        <w:t xml:space="preserve">vu les arrêts rendus par la Cour de justice de l’Union européenne les 21 octobre 2008, </w:t>
      </w:r>
      <w:r w:rsidRPr="0015095F">
        <w:t>19 mars 2010, 6 septembre 2011, 17 janvier 2013 et 19 décembre 2019</w:t>
      </w:r>
      <w:r>
        <w:rPr>
          <w:vertAlign w:val="superscript"/>
        </w:rPr>
        <w:footnoteReference w:id="2"/>
      </w:r>
      <w:r w:rsidRPr="0015095F">
        <w:t>,</w:t>
      </w:r>
    </w:p>
    <w:p w:rsidR="00373B5F" w:rsidRPr="0015095F" w:rsidP="009E7366" w14:paraId="0FF11831" w14:textId="77777777">
      <w:pPr>
        <w:pStyle w:val="NormalHanging12a"/>
      </w:pPr>
      <w:r w:rsidRPr="0015095F">
        <w:t>–</w:t>
      </w:r>
      <w:r w:rsidRPr="0015095F">
        <w:tab/>
        <w:t>vu l’article 5, paragraphe 2, l’article 6, paragraphe 1, et l’article 9 de son règlement intérieur,</w:t>
      </w:r>
    </w:p>
    <w:p w:rsidR="00373B5F" w:rsidRPr="0015095F" w:rsidP="004650EC" w14:paraId="2F39B9FD" w14:textId="77777777">
      <w:pPr>
        <w:pStyle w:val="NormalHanging12a"/>
        <w:widowControl/>
      </w:pPr>
      <w:r w:rsidRPr="0015095F">
        <w:t>–</w:t>
      </w:r>
      <w:r w:rsidRPr="0015095F">
        <w:tab/>
        <w:t>vu le rapport de la commission des affaires juridiques (A10-0155/2026),</w:t>
      </w:r>
    </w:p>
    <w:p w:rsidR="00373B5F" w:rsidRPr="0015095F" w:rsidP="004650EC" w14:paraId="54A0EA28" w14:textId="3765BD07">
      <w:pPr>
        <w:pStyle w:val="NormalHanging12a"/>
        <w:widowControl/>
      </w:pPr>
      <w:r w:rsidRPr="0015095F">
        <w:t>A.</w:t>
      </w:r>
      <w:r w:rsidRPr="0015095F">
        <w:tab/>
        <w:t>considérant</w:t>
      </w:r>
      <w:r w:rsidRPr="0015095F" w:rsidR="00176816">
        <w:t xml:space="preserve"> que, le 6 mai 2025,</w:t>
      </w:r>
      <w:r w:rsidRPr="0015095F">
        <w:t xml:space="preserve"> </w:t>
      </w:r>
      <w:r w:rsidRPr="0015095F" w:rsidR="00176816">
        <w:t xml:space="preserve">le service public fédéral </w:t>
      </w:r>
      <w:r w:rsidRPr="0015095F" w:rsidR="00DE7282">
        <w:t>belge</w:t>
      </w:r>
      <w:r w:rsidRPr="0015095F" w:rsidR="00176816">
        <w:t xml:space="preserve"> </w:t>
      </w:r>
      <w:r w:rsidRPr="0015095F" w:rsidR="00DE7282">
        <w:t>« </w:t>
      </w:r>
      <w:r w:rsidRPr="0015095F" w:rsidR="00176816">
        <w:t>Affaires étrangères, Commerce extérieur et Coopération au développement</w:t>
      </w:r>
      <w:r w:rsidRPr="0015095F" w:rsidR="00DE7282">
        <w:t> »</w:t>
      </w:r>
      <w:r w:rsidRPr="0015095F" w:rsidR="00176816">
        <w:t xml:space="preserve"> a transmis une demande </w:t>
      </w:r>
      <w:r w:rsidRPr="0015095F" w:rsidR="00DE7282">
        <w:t>du</w:t>
      </w:r>
      <w:r w:rsidRPr="0015095F">
        <w:t xml:space="preserve"> </w:t>
      </w:r>
      <w:r w:rsidRPr="0015095F" w:rsidR="00DE7282">
        <w:t xml:space="preserve">procureur </w:t>
      </w:r>
      <w:r w:rsidRPr="0015095F">
        <w:t>fédéral</w:t>
      </w:r>
      <w:r w:rsidRPr="0015095F" w:rsidR="00DE7282">
        <w:t>, datée</w:t>
      </w:r>
      <w:r w:rsidRPr="0015095F" w:rsidR="00A66CE6">
        <w:t xml:space="preserve"> du 16 avril 2025</w:t>
      </w:r>
      <w:r w:rsidRPr="0015095F" w:rsidR="00DE7282">
        <w:t>, visant à lever</w:t>
      </w:r>
      <w:r w:rsidRPr="0015095F">
        <w:t xml:space="preserve"> l’immunité de Nikola </w:t>
      </w:r>
      <w:r w:rsidRPr="0015095F">
        <w:t>Minchev</w:t>
      </w:r>
      <w:r w:rsidRPr="0015095F">
        <w:t xml:space="preserve">, député au Parlement européen élu en Bulgarie, en liaison avec des poursuites pénales à engager contre </w:t>
      </w:r>
      <w:r w:rsidRPr="0015095F">
        <w:t>lui;</w:t>
      </w:r>
    </w:p>
    <w:p w:rsidR="00373B5F" w:rsidRPr="0015095F" w:rsidP="004650EC" w14:paraId="3C43E097" w14:textId="0B8949FA">
      <w:pPr>
        <w:pStyle w:val="NormalHanging12a"/>
        <w:widowControl/>
      </w:pPr>
      <w:r w:rsidRPr="0015095F">
        <w:t>B.</w:t>
      </w:r>
      <w:r w:rsidRPr="0015095F">
        <w:tab/>
      </w:r>
      <w:bookmarkStart w:id="11" w:name="_Hlk229403782"/>
      <w:bookmarkStart w:id="12" w:name="_Hlk228968475"/>
      <w:bookmarkStart w:id="13" w:name="_Hlk223949179"/>
      <w:r w:rsidRPr="0015095F">
        <w:t xml:space="preserve">considérant qu’une vaste enquête concernant la société Huawei aurait mis au jour des preuves sérieuses de l’existence d’une association de malfaiteurs dont l’objectif aurait été d’influencer les décisions des institutions de l’Union en se livrant à des actes de corruption de députés </w:t>
      </w:r>
      <w:r w:rsidRPr="0015095F" w:rsidR="00DE7282">
        <w:t xml:space="preserve">au Parlement </w:t>
      </w:r>
      <w:r w:rsidRPr="0015095F">
        <w:t>européen</w:t>
      </w:r>
      <w:bookmarkEnd w:id="11"/>
      <w:r w:rsidRPr="0015095F">
        <w:t xml:space="preserve">; que cette enquête semble avoir révélé l’existence de plusieurs actes de corruption présumés qui auraient été commis de manière régulière entre 2021 et 2024; que le système de corruption aurait pris diverses formes, </w:t>
      </w:r>
      <w:bookmarkStart w:id="14" w:name="_Hlk229403810"/>
      <w:r w:rsidRPr="0015095F">
        <w:t xml:space="preserve">notamment l’invitation de députés </w:t>
      </w:r>
      <w:r w:rsidRPr="0015095F" w:rsidR="00DE7282">
        <w:t xml:space="preserve">au Parlement </w:t>
      </w:r>
      <w:r w:rsidRPr="0015095F">
        <w:t>européen à des événements parrainés par Huawei, supposément en échange de prises de position politique favorables à l’entreprise, ainsi que des cadeaux excessifs tels que la prise en charge de frais de restauration et de déplacement ou des invitations régulières à des matchs de football en dehors du cadre du Parlement européen</w:t>
      </w:r>
      <w:bookmarkEnd w:id="12"/>
      <w:bookmarkEnd w:id="14"/>
      <w:r w:rsidRPr="0015095F">
        <w:t>;</w:t>
      </w:r>
      <w:bookmarkEnd w:id="13"/>
    </w:p>
    <w:p w:rsidR="00373B5F" w:rsidRPr="0015095F" w:rsidP="004650EC" w14:paraId="130BD574" w14:textId="01C70247">
      <w:pPr>
        <w:pStyle w:val="NormalHanging12a"/>
        <w:widowControl/>
      </w:pPr>
      <w:r w:rsidRPr="0015095F">
        <w:t>C.</w:t>
      </w:r>
      <w:r w:rsidRPr="0015095F">
        <w:tab/>
        <w:t xml:space="preserve">considérant que, selon la demande de levée d’immunité, Nikola </w:t>
      </w:r>
      <w:r w:rsidRPr="0015095F">
        <w:t>Minchev</w:t>
      </w:r>
      <w:r w:rsidRPr="0015095F">
        <w:t xml:space="preserve"> aurait assisté, le 24 octobre 2024, à un match de football dans un stade à Bruxelles, avec son assistant parlementaire accrédité, deux représentants de Huawei et une autre personne; que, selon la demande, ils se trouvaient dans une loge louée pour un montant de 45 000 EUR par saison par Huawei, prétendument par l’entremise d’une société intermédiaire dans le but </w:t>
      </w:r>
      <w:r w:rsidRPr="0015095F" w:rsidR="00DE7282">
        <w:t xml:space="preserve">présumé </w:t>
      </w:r>
      <w:r w:rsidRPr="0015095F">
        <w:t xml:space="preserve">de faciliter les contacts avec certains députés au Parlement européen; que Nikola </w:t>
      </w:r>
      <w:r w:rsidRPr="0015095F">
        <w:t>Minchev</w:t>
      </w:r>
      <w:r w:rsidRPr="0015095F">
        <w:t xml:space="preserve"> ne semble pas avoir déclaré au Parlement européen la prise en charge des frais </w:t>
      </w:r>
      <w:r w:rsidRPr="0015095F" w:rsidR="00DE7282">
        <w:t xml:space="preserve">exposés </w:t>
      </w:r>
      <w:r w:rsidRPr="0015095F">
        <w:t xml:space="preserve">pour assister au match de football, dont le montant exact était inconnu de l’autorité demandant la levée de l’immunité; que, selon les informations complémentaires fournies par le procureur fédéral, Nikola </w:t>
      </w:r>
      <w:r w:rsidRPr="0015095F">
        <w:t>Minchev</w:t>
      </w:r>
      <w:r w:rsidRPr="0015095F">
        <w:t xml:space="preserve"> a également participé, le 16 juillet 2024, avec un cadre de Huawei, à un dîner organisé par l’un des deux représentants de Huawei;</w:t>
      </w:r>
    </w:p>
    <w:p w:rsidR="00373B5F" w:rsidRPr="0015095F" w:rsidP="004650EC" w14:paraId="48087963" w14:textId="3A61484B">
      <w:pPr>
        <w:pStyle w:val="NormalHanging12a"/>
        <w:widowControl/>
      </w:pPr>
      <w:r w:rsidRPr="0015095F">
        <w:t>D.</w:t>
      </w:r>
      <w:r w:rsidRPr="0015095F">
        <w:tab/>
        <w:t xml:space="preserve">considérant que ce n’est qu’à la suite des informations complémentaires fournies par le procureur fédéral en réponse à </w:t>
      </w:r>
      <w:r w:rsidRPr="0015095F" w:rsidR="00A66CE6">
        <w:t>une</w:t>
      </w:r>
      <w:r w:rsidRPr="0015095F">
        <w:t xml:space="preserve"> demande écrite d’informations complémentaires qu’il a été indiqué que les faits reprochés à Nikola </w:t>
      </w:r>
      <w:r w:rsidRPr="0015095F">
        <w:t>Minchev</w:t>
      </w:r>
      <w:r w:rsidRPr="0015095F">
        <w:t xml:space="preserve"> auraient pu constituer une corruption passive d’une personne exerçant une fonction publique, une infraction pénale au sens de l’article 246, paragraphe 1, du Code pénal </w:t>
      </w:r>
      <w:r w:rsidRPr="0015095F">
        <w:t>belge;</w:t>
      </w:r>
    </w:p>
    <w:p w:rsidR="00373B5F" w:rsidRPr="0015095F" w:rsidP="004650EC" w14:paraId="0825B84A" w14:textId="228BB115">
      <w:pPr>
        <w:pStyle w:val="NormalHanging12a"/>
        <w:widowControl/>
      </w:pPr>
      <w:r w:rsidRPr="0015095F">
        <w:t>E.</w:t>
      </w:r>
      <w:r w:rsidRPr="0015095F">
        <w:tab/>
        <w:t xml:space="preserve">considérant que Nikola </w:t>
      </w:r>
      <w:r w:rsidRPr="0015095F">
        <w:t>Minchev</w:t>
      </w:r>
      <w:r w:rsidRPr="0015095F">
        <w:t xml:space="preserve"> a été élu au Parlement européen lors des élections européennes de juin 2024 et qu’il était </w:t>
      </w:r>
      <w:r w:rsidRPr="0015095F" w:rsidR="00DE7282">
        <w:t xml:space="preserve">dès lors </w:t>
      </w:r>
      <w:r w:rsidRPr="0015095F">
        <w:t xml:space="preserve">député au Parlement européen au moment de l’infraction </w:t>
      </w:r>
      <w:r w:rsidRPr="0015095F">
        <w:t>alléguée;</w:t>
      </w:r>
    </w:p>
    <w:p w:rsidR="00373B5F" w:rsidRPr="0015095F" w:rsidP="004650EC" w14:paraId="2A1BA2E2" w14:textId="77777777">
      <w:pPr>
        <w:pStyle w:val="NormalHanging12a"/>
        <w:widowControl/>
      </w:pPr>
      <w:r w:rsidRPr="0015095F">
        <w:t>F.</w:t>
      </w:r>
      <w:r w:rsidRPr="0015095F">
        <w:tab/>
        <w:t>considérant, d’une part, que le Parlement ne saurait être assimilé à un tribunal et, d’autre part, que le député ne saurait, dans le contexte d’une procédure de levée d’immunité, être considéré comme un</w:t>
      </w:r>
      <w:r w:rsidRPr="0015095F">
        <w:t xml:space="preserve"> «accusé</w:t>
      </w:r>
      <w:r w:rsidRPr="0015095F">
        <w:t>»</w:t>
      </w:r>
      <w:r>
        <w:rPr>
          <w:vertAlign w:val="superscript"/>
        </w:rPr>
        <w:footnoteReference w:id="3"/>
      </w:r>
      <w:r w:rsidRPr="0015095F">
        <w:t>;</w:t>
      </w:r>
    </w:p>
    <w:p w:rsidR="00373B5F" w:rsidRPr="0015095F" w:rsidP="004650EC" w14:paraId="01449431" w14:textId="77777777">
      <w:pPr>
        <w:pStyle w:val="NormalHanging12a"/>
        <w:widowControl/>
      </w:pPr>
      <w:r w:rsidRPr="0015095F">
        <w:t>G.</w:t>
      </w:r>
      <w:r w:rsidRPr="0015095F">
        <w:tab/>
        <w:t>considérant que l’immunité parlementaire prévue au protocole nº 7 sur les privilèges et immunités de l’Union européenne a pour objet de protéger le Parlement et ses députés contre des procédures judiciaires visant des activités menées dans l’exercice des fonctions parlementaires et indissociables de celles-</w:t>
      </w:r>
      <w:r w:rsidRPr="0015095F">
        <w:t>ci;</w:t>
      </w:r>
    </w:p>
    <w:p w:rsidR="00373B5F" w:rsidRPr="0015095F" w:rsidP="004650EC" w14:paraId="3EF5D858" w14:textId="411F28AF">
      <w:pPr>
        <w:pStyle w:val="NormalHanging12a"/>
        <w:widowControl/>
      </w:pPr>
      <w:r w:rsidRPr="0015095F">
        <w:t>H.</w:t>
      </w:r>
      <w:r w:rsidRPr="0015095F">
        <w:tab/>
        <w:t xml:space="preserve">considérant que, conformément à l’article 5, paragraphe 2, de son règlement intérieur, l’immunité parlementaire n’est pas un privilège personnel du député, mais une garantie d’indépendance du Parlement dans son ensemble et de ses </w:t>
      </w:r>
      <w:r w:rsidRPr="0015095F">
        <w:t>députés;</w:t>
      </w:r>
    </w:p>
    <w:p w:rsidR="00373B5F" w:rsidRPr="0015095F" w:rsidP="004650EC" w14:paraId="787978D0" w14:textId="63688755">
      <w:pPr>
        <w:pStyle w:val="NormalHanging12a"/>
        <w:widowControl/>
      </w:pPr>
      <w:r w:rsidRPr="0015095F">
        <w:t>I.</w:t>
      </w:r>
      <w:r w:rsidRPr="0015095F">
        <w:tab/>
        <w:t xml:space="preserve">considérant qu’aux termes de l’article 8 du protocole nº 7 sur les privilèges et immunités de l’Union européenne, les membres du Parlement européen ne peuvent être recherchés, détenus ou poursuivis en raison des opinions ou votes émis par eux dans l’exercice de leurs </w:t>
      </w:r>
      <w:r w:rsidRPr="0015095F">
        <w:t>fonctions;</w:t>
      </w:r>
      <w:r w:rsidRPr="0015095F">
        <w:t xml:space="preserve"> que l’infraction alléguée ne concerne pas une opinion ou un vote émis par Nikola </w:t>
      </w:r>
      <w:r w:rsidRPr="0015095F">
        <w:t>Minchev</w:t>
      </w:r>
      <w:r w:rsidRPr="0015095F">
        <w:t xml:space="preserve"> dans l’exercice de ses fonctions</w:t>
      </w:r>
      <w:r w:rsidRPr="0015095F" w:rsidR="00DB3B95">
        <w:t xml:space="preserve"> au sens de</w:t>
      </w:r>
      <w:r w:rsidRPr="0015095F">
        <w:t xml:space="preserve"> l’article 8 dudit protocole;</w:t>
      </w:r>
    </w:p>
    <w:p w:rsidR="00373B5F" w:rsidRPr="0015095F" w:rsidP="004650EC" w14:paraId="671CCEDA" w14:textId="3C1CA5D7">
      <w:pPr>
        <w:pStyle w:val="NormalHanging12a"/>
        <w:widowControl/>
      </w:pPr>
      <w:r w:rsidRPr="0015095F">
        <w:t>J.</w:t>
      </w:r>
      <w:r w:rsidRPr="0015095F">
        <w:tab/>
        <w:t>considérant que l’article 9, premier alinéa, point b), du protocole nº 7 sur les privilèges et immunités de l’Union européenne dispose que</w:t>
      </w:r>
      <w:r w:rsidRPr="0015095F" w:rsidR="00A66CE6">
        <w:t xml:space="preserve">, pendant </w:t>
      </w:r>
      <w:r w:rsidRPr="0015095F" w:rsidR="00DB3B95">
        <w:t>la durée des</w:t>
      </w:r>
      <w:r w:rsidRPr="0015095F" w:rsidR="00A66CE6">
        <w:t xml:space="preserve"> sessions du Parlement européen,</w:t>
      </w:r>
      <w:r w:rsidRPr="0015095F">
        <w:t xml:space="preserve"> les membres </w:t>
      </w:r>
      <w:r w:rsidRPr="0015095F" w:rsidR="00DB3B95">
        <w:t xml:space="preserve">de celui-ci </w:t>
      </w:r>
      <w:r w:rsidRPr="0015095F">
        <w:t xml:space="preserve">bénéficient, sur le territoire de tout État membre qui n’est pas le leur, de l’exemption de toute mesure de détention et de toute poursuite </w:t>
      </w:r>
      <w:r w:rsidRPr="0015095F">
        <w:t>judiciaire;</w:t>
      </w:r>
    </w:p>
    <w:p w:rsidR="00373B5F" w:rsidRPr="0015095F" w:rsidP="004650EC" w14:paraId="573874CF" w14:textId="144CEC3A">
      <w:pPr>
        <w:pStyle w:val="NormalHanging12a"/>
        <w:widowControl/>
      </w:pPr>
      <w:r w:rsidRPr="0015095F">
        <w:t>K.</w:t>
      </w:r>
      <w:r w:rsidRPr="0015095F">
        <w:tab/>
        <w:t xml:space="preserve">considérant que toute conclusion concernant l’immunité de Nikola </w:t>
      </w:r>
      <w:r w:rsidRPr="0015095F">
        <w:t>Minchev</w:t>
      </w:r>
      <w:r w:rsidRPr="0015095F">
        <w:t xml:space="preserve"> doit être tirée </w:t>
      </w:r>
      <w:r w:rsidRPr="0015095F" w:rsidR="00DB3B95">
        <w:t>en se fondant sur</w:t>
      </w:r>
      <w:r w:rsidRPr="0015095F">
        <w:t xml:space="preserve"> la demande de levée de l’immunité et </w:t>
      </w:r>
      <w:r w:rsidRPr="0015095F" w:rsidR="00DB3B95">
        <w:t xml:space="preserve">sur les </w:t>
      </w:r>
      <w:r w:rsidRPr="0015095F">
        <w:t xml:space="preserve">informations et explications fournies dans cette affaire, </w:t>
      </w:r>
      <w:r w:rsidRPr="0015095F" w:rsidR="00DB3B95">
        <w:t xml:space="preserve">y compris </w:t>
      </w:r>
      <w:r w:rsidRPr="0015095F">
        <w:t xml:space="preserve">les réponses apportées par le procureur fédéral, tant lors de l’échange de vues que dans les informations supplémentaires fournies par écrit; qu’il existe un manque flagrant d’éléments concrets dans la demande de levée d’immunité; que les échanges </w:t>
      </w:r>
      <w:r w:rsidRPr="0015095F" w:rsidR="00DB3B95">
        <w:t xml:space="preserve">ultérieurs, oraux et écrits, </w:t>
      </w:r>
      <w:r w:rsidRPr="0015095F">
        <w:t>avec le procureur fédéral</w:t>
      </w:r>
      <w:r w:rsidRPr="0015095F" w:rsidR="00C201FE">
        <w:t xml:space="preserve"> </w:t>
      </w:r>
      <w:r w:rsidRPr="0015095F">
        <w:t xml:space="preserve">n’ont pas dissipé l’incertitude considérable quant aux différents éléments contenus dans la demande de levée de l’immunité de Nikola </w:t>
      </w:r>
      <w:r w:rsidRPr="0015095F">
        <w:t>Minchev</w:t>
      </w:r>
      <w:r w:rsidRPr="0015095F">
        <w:t>;</w:t>
      </w:r>
    </w:p>
    <w:p w:rsidR="00373B5F" w:rsidRPr="0015095F" w:rsidP="004650EC" w14:paraId="2BE60D74" w14:textId="77777777">
      <w:pPr>
        <w:pStyle w:val="NormalHanging12a"/>
        <w:widowControl/>
      </w:pPr>
      <w:r w:rsidRPr="0015095F">
        <w:t>L.</w:t>
      </w:r>
      <w:r w:rsidRPr="0015095F">
        <w:tab/>
        <w:t xml:space="preserve">considérant que, au vu de ce qui précède, l’ensemble des informations présentées n’a pas permis au Parlement de prendre en toute confiance une décision suffisamment éclairée pour lever l’immunité de Nikola </w:t>
      </w:r>
      <w:r w:rsidRPr="0015095F">
        <w:t>Minchev</w:t>
      </w:r>
      <w:r w:rsidRPr="0015095F">
        <w:t>;</w:t>
      </w:r>
      <w:r w:rsidRPr="0015095F">
        <w:t xml:space="preserve"> que l’incertitude considérable qui entoure les différents éléments de la présente affaire pourrait, en outre, en temps normal, être de nature à indiquer l’existence d’un </w:t>
      </w:r>
      <w:r w:rsidRPr="0015095F">
        <w:t>fumus</w:t>
      </w:r>
      <w:r w:rsidRPr="0015095F">
        <w:t xml:space="preserve"> </w:t>
      </w:r>
      <w:r w:rsidRPr="0015095F">
        <w:t>persecutionis</w:t>
      </w:r>
      <w:r w:rsidRPr="0015095F">
        <w:t>;</w:t>
      </w:r>
    </w:p>
    <w:p w:rsidR="00373B5F" w:rsidRPr="0015095F" w:rsidP="004650EC" w14:paraId="339EF654" w14:textId="77777777">
      <w:pPr>
        <w:pStyle w:val="NormalHanging12a"/>
        <w:widowControl/>
      </w:pPr>
      <w:r w:rsidRPr="0015095F">
        <w:t>1.</w:t>
      </w:r>
      <w:r w:rsidRPr="0015095F">
        <w:tab/>
        <w:t xml:space="preserve">décide de ne pas lever l’immunité de Nikola </w:t>
      </w:r>
      <w:r w:rsidRPr="0015095F">
        <w:t>Minchev</w:t>
      </w:r>
      <w:r w:rsidRPr="0015095F">
        <w:t>;</w:t>
      </w:r>
    </w:p>
    <w:p w:rsidR="00E365E1" w:rsidRPr="00EB0AB2" w:rsidP="004650EC" w14:paraId="20FF5C2D" w14:textId="660F3513">
      <w:pPr>
        <w:pStyle w:val="NormalHanging12a"/>
        <w:widowControl/>
      </w:pPr>
      <w:r w:rsidRPr="0015095F">
        <w:t>2.</w:t>
      </w:r>
      <w:r w:rsidRPr="0015095F">
        <w:tab/>
        <w:t xml:space="preserve">charge sa Présidente de transmettre immédiatement la présente décision et le rapport de sa commission compétente </w:t>
      </w:r>
      <w:r w:rsidRPr="0015095F" w:rsidR="00A66CE6">
        <w:t>à l'autorité compétente</w:t>
      </w:r>
      <w:r w:rsidRPr="0015095F">
        <w:t xml:space="preserve"> du Royaume de Belgique et à Nikola </w:t>
      </w:r>
      <w:r w:rsidRPr="0015095F">
        <w:t>Minchev</w:t>
      </w:r>
      <w:r w:rsidRPr="0015095F">
        <w:t>.</w:t>
      </w:r>
      <w:bookmarkEnd w:id="8"/>
    </w:p>
    <w:sectPr w:rsidSect="00EB0AB2">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0AB2" w14:paraId="78A3E79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0AB2" w14:paraId="2B4B63A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0AB2" w14:paraId="5DEFC6E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05559" w:rsidRPr="00EB0AB2" w14:paraId="4A984F50" w14:textId="77777777">
      <w:r w:rsidRPr="00EB0AB2">
        <w:separator/>
      </w:r>
    </w:p>
  </w:footnote>
  <w:footnote w:type="continuationSeparator" w:id="1">
    <w:p w:rsidR="00E05559" w:rsidRPr="00EB0AB2" w14:paraId="1A51F887" w14:textId="77777777">
      <w:r w:rsidRPr="00EB0AB2">
        <w:continuationSeparator/>
      </w:r>
    </w:p>
  </w:footnote>
  <w:footnote w:id="2">
    <w:p w:rsidR="00373B5F" w:rsidRPr="00EB0AB2" w:rsidP="00EB0AB2" w14:paraId="71EAC039" w14:textId="79CC2862">
      <w:pPr>
        <w:pStyle w:val="FootnoteText"/>
        <w:ind w:left="567" w:hanging="567"/>
        <w:rPr>
          <w:sz w:val="24"/>
        </w:rPr>
      </w:pPr>
      <w:r w:rsidRPr="00EB0AB2">
        <w:rPr>
          <w:rStyle w:val="FootnoteReference"/>
          <w:sz w:val="24"/>
        </w:rPr>
        <w:footnoteRef/>
      </w:r>
      <w:r w:rsidRPr="00EB0AB2" w:rsidR="00EB0AB2">
        <w:rPr>
          <w:sz w:val="24"/>
        </w:rPr>
        <w:t xml:space="preserve"> </w:t>
      </w:r>
      <w:r w:rsidRPr="00EB0AB2" w:rsidR="00EB0AB2">
        <w:rPr>
          <w:sz w:val="24"/>
        </w:rPr>
        <w:tab/>
      </w:r>
      <w:r w:rsidRPr="00EB0AB2">
        <w:rPr>
          <w:sz w:val="24"/>
        </w:rPr>
        <w:t xml:space="preserve">Arrêt de la Cour de justice du 21 octobre 2008, </w:t>
      </w:r>
      <w:r w:rsidRPr="0015095F">
        <w:rPr>
          <w:iCs/>
          <w:sz w:val="24"/>
        </w:rPr>
        <w:t xml:space="preserve">Marra/De Gregorio et </w:t>
      </w:r>
      <w:r w:rsidRPr="0015095F">
        <w:rPr>
          <w:iCs/>
          <w:sz w:val="24"/>
        </w:rPr>
        <w:t>Clemente</w:t>
      </w:r>
      <w:r w:rsidRPr="00EB0AB2">
        <w:rPr>
          <w:sz w:val="24"/>
        </w:rPr>
        <w:t xml:space="preserve">, C-200/07 et C-201/07, ECLI:EU:C:2008:579; arrêt du Tribunal du 19 mars 2010, </w:t>
      </w:r>
      <w:r w:rsidRPr="0015095F">
        <w:rPr>
          <w:iCs/>
          <w:sz w:val="24"/>
        </w:rPr>
        <w:t>Gollnisch</w:t>
      </w:r>
      <w:r w:rsidRPr="0015095F">
        <w:rPr>
          <w:iCs/>
          <w:sz w:val="24"/>
        </w:rPr>
        <w:t>/Parlement</w:t>
      </w:r>
      <w:r w:rsidRPr="00EB0AB2">
        <w:rPr>
          <w:sz w:val="24"/>
        </w:rPr>
        <w:t xml:space="preserve">, T-42/06, ECLI:EU:T:2010:102; arrêt de la Cour de justice du 6 septembre 2011, </w:t>
      </w:r>
      <w:r w:rsidRPr="0015095F">
        <w:rPr>
          <w:iCs/>
          <w:sz w:val="24"/>
        </w:rPr>
        <w:t>Patriciello</w:t>
      </w:r>
      <w:r w:rsidRPr="00EB0AB2">
        <w:rPr>
          <w:sz w:val="24"/>
        </w:rPr>
        <w:t xml:space="preserve">, C-163/10, ECLI, EU:C:2011:543; arrêt du Tribunal du 17 janvier 2013, </w:t>
      </w:r>
      <w:r w:rsidRPr="0015095F">
        <w:rPr>
          <w:iCs/>
          <w:sz w:val="24"/>
        </w:rPr>
        <w:t>Gollnisch/Parlement</w:t>
      </w:r>
      <w:r w:rsidRPr="00EB0AB2">
        <w:rPr>
          <w:sz w:val="24"/>
        </w:rPr>
        <w:t xml:space="preserve">, T-346/11 et T-347/11, ECLI:EU:T:2013:23. arrêt de la Cour de justice du 19 décembre 2019, </w:t>
      </w:r>
      <w:r w:rsidRPr="0015095F">
        <w:rPr>
          <w:iCs/>
          <w:sz w:val="24"/>
        </w:rPr>
        <w:t>Junqueras Vies</w:t>
      </w:r>
      <w:r w:rsidRPr="00EB0AB2">
        <w:rPr>
          <w:sz w:val="24"/>
        </w:rPr>
        <w:t>, C-502/19, ECLI:EU:C:2019:1115.</w:t>
      </w:r>
    </w:p>
  </w:footnote>
  <w:footnote w:id="3">
    <w:p w:rsidR="00373B5F" w:rsidRPr="00EB0AB2" w:rsidP="00EB0AB2" w14:paraId="55DD5121" w14:textId="44BC97ED">
      <w:pPr>
        <w:pStyle w:val="FootnoteText"/>
        <w:ind w:left="567" w:hanging="567"/>
        <w:rPr>
          <w:sz w:val="24"/>
        </w:rPr>
      </w:pPr>
      <w:r w:rsidRPr="00EB0AB2">
        <w:rPr>
          <w:rStyle w:val="FootnoteReference"/>
          <w:sz w:val="24"/>
        </w:rPr>
        <w:footnoteRef/>
      </w:r>
      <w:r w:rsidRPr="00EB0AB2" w:rsidR="00EB0AB2">
        <w:rPr>
          <w:sz w:val="24"/>
        </w:rPr>
        <w:t xml:space="preserve"> </w:t>
      </w:r>
      <w:r w:rsidRPr="00EB0AB2" w:rsidR="00EB0AB2">
        <w:rPr>
          <w:sz w:val="24"/>
        </w:rPr>
        <w:tab/>
      </w:r>
      <w:r w:rsidRPr="00EB0AB2">
        <w:rPr>
          <w:sz w:val="24"/>
        </w:rPr>
        <w:t xml:space="preserve">Arrêt du Tribunal du 30 avril 2019, </w:t>
      </w:r>
      <w:r w:rsidRPr="0015095F">
        <w:rPr>
          <w:iCs/>
          <w:sz w:val="24"/>
        </w:rPr>
        <w:t>Briois/Parlement</w:t>
      </w:r>
      <w:r w:rsidRPr="00EB0AB2">
        <w:rPr>
          <w:sz w:val="24"/>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0AB2" w14:paraId="33893A8A"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0AB2" w14:paraId="7D1775D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EB0AB2" w14:paraId="782E123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3307075">
    <w:abstractNumId w:val="9"/>
  </w:num>
  <w:num w:numId="2" w16cid:durableId="310600988">
    <w:abstractNumId w:val="9"/>
  </w:num>
  <w:num w:numId="3" w16cid:durableId="2144688249">
    <w:abstractNumId w:val="7"/>
  </w:num>
  <w:num w:numId="4" w16cid:durableId="948123308">
    <w:abstractNumId w:val="7"/>
  </w:num>
  <w:num w:numId="5" w16cid:durableId="2060543014">
    <w:abstractNumId w:val="6"/>
  </w:num>
  <w:num w:numId="6" w16cid:durableId="676005515">
    <w:abstractNumId w:val="6"/>
  </w:num>
  <w:num w:numId="7" w16cid:durableId="1864830425">
    <w:abstractNumId w:val="5"/>
  </w:num>
  <w:num w:numId="8" w16cid:durableId="2093811291">
    <w:abstractNumId w:val="5"/>
  </w:num>
  <w:num w:numId="9" w16cid:durableId="714625585">
    <w:abstractNumId w:val="4"/>
  </w:num>
  <w:num w:numId="10" w16cid:durableId="552890890">
    <w:abstractNumId w:val="4"/>
  </w:num>
  <w:num w:numId="11" w16cid:durableId="1731073985">
    <w:abstractNumId w:val="8"/>
  </w:num>
  <w:num w:numId="12" w16cid:durableId="1689286153">
    <w:abstractNumId w:val="8"/>
  </w:num>
  <w:num w:numId="13" w16cid:durableId="1369717800">
    <w:abstractNumId w:val="3"/>
  </w:num>
  <w:num w:numId="14" w16cid:durableId="1523081462">
    <w:abstractNumId w:val="3"/>
  </w:num>
  <w:num w:numId="15" w16cid:durableId="1015036138">
    <w:abstractNumId w:val="2"/>
  </w:num>
  <w:num w:numId="16" w16cid:durableId="772701842">
    <w:abstractNumId w:val="2"/>
  </w:num>
  <w:num w:numId="17" w16cid:durableId="1832789783">
    <w:abstractNumId w:val="1"/>
  </w:num>
  <w:num w:numId="18" w16cid:durableId="490755617">
    <w:abstractNumId w:val="1"/>
  </w:num>
  <w:num w:numId="19" w16cid:durableId="426736201">
    <w:abstractNumId w:val="0"/>
  </w:num>
  <w:num w:numId="20" w16cid:durableId="234046242">
    <w:abstractNumId w:val="0"/>
  </w:num>
  <w:num w:numId="21" w16cid:durableId="1436484144">
    <w:abstractNumId w:val="9"/>
  </w:num>
  <w:num w:numId="22" w16cid:durableId="1727876839">
    <w:abstractNumId w:val="7"/>
  </w:num>
  <w:num w:numId="23" w16cid:durableId="211189300">
    <w:abstractNumId w:val="6"/>
  </w:num>
  <w:num w:numId="24" w16cid:durableId="399446684">
    <w:abstractNumId w:val="5"/>
  </w:num>
  <w:num w:numId="25" w16cid:durableId="1779249243">
    <w:abstractNumId w:val="4"/>
  </w:num>
  <w:num w:numId="26" w16cid:durableId="2035378753">
    <w:abstractNumId w:val="8"/>
  </w:num>
  <w:num w:numId="27" w16cid:durableId="1088966293">
    <w:abstractNumId w:val="3"/>
  </w:num>
  <w:num w:numId="28" w16cid:durableId="1382363914">
    <w:abstractNumId w:val="2"/>
  </w:num>
  <w:num w:numId="29" w16cid:durableId="1512716836">
    <w:abstractNumId w:val="1"/>
  </w:num>
  <w:num w:numId="30" w16cid:durableId="1910531847">
    <w:abstractNumId w:val="0"/>
  </w:num>
  <w:num w:numId="31" w16cid:durableId="1344431050">
    <w:abstractNumId w:val="9"/>
  </w:num>
  <w:num w:numId="32" w16cid:durableId="430516994">
    <w:abstractNumId w:val="7"/>
  </w:num>
  <w:num w:numId="33" w16cid:durableId="1523546726">
    <w:abstractNumId w:val="6"/>
  </w:num>
  <w:num w:numId="34" w16cid:durableId="1240287388">
    <w:abstractNumId w:val="5"/>
  </w:num>
  <w:num w:numId="35" w16cid:durableId="229386650">
    <w:abstractNumId w:val="4"/>
  </w:num>
  <w:num w:numId="36" w16cid:durableId="780758108">
    <w:abstractNumId w:val="8"/>
  </w:num>
  <w:num w:numId="37" w16cid:durableId="1595817713">
    <w:abstractNumId w:val="3"/>
  </w:num>
  <w:num w:numId="38" w16cid:durableId="240261530">
    <w:abstractNumId w:val="2"/>
  </w:num>
  <w:num w:numId="39" w16cid:durableId="11616443">
    <w:abstractNumId w:val="1"/>
  </w:num>
  <w:num w:numId="40" w16cid:durableId="1418677246">
    <w:abstractNumId w:val="0"/>
  </w:num>
  <w:num w:numId="41" w16cid:durableId="137260096">
    <w:abstractNumId w:val="10"/>
  </w:num>
  <w:num w:numId="42" w16cid:durableId="181280838">
    <w:abstractNumId w:val="10"/>
  </w:num>
  <w:num w:numId="43" w16cid:durableId="875778397">
    <w:abstractNumId w:val="10"/>
  </w:num>
  <w:num w:numId="44" w16cid:durableId="11651230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559"/>
    <w:rsid w:val="00002272"/>
    <w:rsid w:val="00064002"/>
    <w:rsid w:val="000677B9"/>
    <w:rsid w:val="000831BA"/>
    <w:rsid w:val="000A0D9B"/>
    <w:rsid w:val="000A42CC"/>
    <w:rsid w:val="000E7DD9"/>
    <w:rsid w:val="0010095E"/>
    <w:rsid w:val="00125B37"/>
    <w:rsid w:val="0015095F"/>
    <w:rsid w:val="00176816"/>
    <w:rsid w:val="00187494"/>
    <w:rsid w:val="001F32AE"/>
    <w:rsid w:val="002767FF"/>
    <w:rsid w:val="002B18FE"/>
    <w:rsid w:val="002B5493"/>
    <w:rsid w:val="00343214"/>
    <w:rsid w:val="00361C00"/>
    <w:rsid w:val="00373B5F"/>
    <w:rsid w:val="00395FA1"/>
    <w:rsid w:val="003E15D4"/>
    <w:rsid w:val="00411CCE"/>
    <w:rsid w:val="0041666E"/>
    <w:rsid w:val="00421060"/>
    <w:rsid w:val="00434232"/>
    <w:rsid w:val="004650EC"/>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2059"/>
    <w:rsid w:val="00930C23"/>
    <w:rsid w:val="0093193B"/>
    <w:rsid w:val="009509D8"/>
    <w:rsid w:val="00950B64"/>
    <w:rsid w:val="00981893"/>
    <w:rsid w:val="009E7366"/>
    <w:rsid w:val="00A1687D"/>
    <w:rsid w:val="00A43E52"/>
    <w:rsid w:val="00A4678D"/>
    <w:rsid w:val="00A47A5B"/>
    <w:rsid w:val="00A66CE6"/>
    <w:rsid w:val="00A778C7"/>
    <w:rsid w:val="00AB441E"/>
    <w:rsid w:val="00AB6293"/>
    <w:rsid w:val="00AE0928"/>
    <w:rsid w:val="00AF3B82"/>
    <w:rsid w:val="00B12E95"/>
    <w:rsid w:val="00B22876"/>
    <w:rsid w:val="00B558F0"/>
    <w:rsid w:val="00B95D3A"/>
    <w:rsid w:val="00BD48FE"/>
    <w:rsid w:val="00BD7BD8"/>
    <w:rsid w:val="00BE6ADC"/>
    <w:rsid w:val="00C05BFE"/>
    <w:rsid w:val="00C201FE"/>
    <w:rsid w:val="00C23CD4"/>
    <w:rsid w:val="00C61C0C"/>
    <w:rsid w:val="00C62796"/>
    <w:rsid w:val="00C941CB"/>
    <w:rsid w:val="00CC2357"/>
    <w:rsid w:val="00CF071A"/>
    <w:rsid w:val="00D058B8"/>
    <w:rsid w:val="00D56C11"/>
    <w:rsid w:val="00D834A0"/>
    <w:rsid w:val="00D872DF"/>
    <w:rsid w:val="00D91E21"/>
    <w:rsid w:val="00DA7622"/>
    <w:rsid w:val="00DA7FCD"/>
    <w:rsid w:val="00DB3B95"/>
    <w:rsid w:val="00DE7282"/>
    <w:rsid w:val="00E05559"/>
    <w:rsid w:val="00E365E1"/>
    <w:rsid w:val="00E820A4"/>
    <w:rsid w:val="00EB006A"/>
    <w:rsid w:val="00EB0AB2"/>
    <w:rsid w:val="00EB4772"/>
    <w:rsid w:val="00ED169E"/>
    <w:rsid w:val="00ED4235"/>
    <w:rsid w:val="00F04346"/>
    <w:rsid w:val="00F075DC"/>
    <w:rsid w:val="00F149E9"/>
    <w:rsid w:val="00F5134D"/>
    <w:rsid w:val="00F74202"/>
    <w:rsid w:val="00F87713"/>
    <w:rsid w:val="00FB4360"/>
    <w:rsid w:val="00FD0C70"/>
  </w:rsids>
  <w:docVars>
    <w:docVar w:name="dvdocse" w:val="A10-0155/2026"/>
    <w:docVar w:name="dvlangue" w:val="FR"/>
    <w:docVar w:name="dvnumam" w:val="0"/>
    <w:docVar w:name="dvpe" w:val="782.200"/>
    <w:docVar w:name="dvrapporteur" w:val="Rapporteur: "/>
    <w:docVar w:name="dvtitre" w:val="Décision du Parlement européen du ... 2026 sur la demande de levée de l’immunité de Nikola Minchev(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A70F99"/>
  <w15:chartTrackingRefBased/>
  <w15:docId w15:val="{413F10D4-B5EB-4768-9443-B20B2728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73B5F"/>
    <w:pPr>
      <w:spacing w:after="240"/>
      <w:ind w:left="567" w:hanging="567"/>
    </w:pPr>
  </w:style>
  <w:style w:type="paragraph" w:customStyle="1" w:styleId="EPComma">
    <w:name w:val="EPComma"/>
    <w:basedOn w:val="Normal"/>
    <w:rsid w:val="00373B5F"/>
    <w:pPr>
      <w:spacing w:before="480" w:after="240"/>
    </w:pPr>
  </w:style>
  <w:style w:type="paragraph" w:styleId="Revision">
    <w:name w:val="Revision"/>
    <w:hidden/>
    <w:uiPriority w:val="99"/>
    <w:semiHidden/>
    <w:rsid w:val="009E7366"/>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1220</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2026-06-16T11:27:00Z</dcterms:created>
  <dcterms:modified xsi:type="dcterms:W3CDTF">2026-06-16T11:27:00Z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A10-0155/2026</vt:lpwstr>
  </property>
  <property fmtid="{D5CDD505-2E9C-101B-9397-08002B2CF9AE}" pid="4" name="&lt;Type&gt;">
    <vt:lpwstr>RR</vt:lpwstr>
  </property>
</Properties>
</file>