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3DBFF40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A7F66" w:rsidP="0010095E" w14:paraId="6A9200DC" w14:textId="77777777">
            <w:pPr>
              <w:pStyle w:val="EPName"/>
            </w:pPr>
            <w:r w:rsidRPr="00AA7F66">
              <w:t>Europski parlament</w:t>
            </w:r>
          </w:p>
          <w:p w:rsidR="00751A4A" w:rsidRPr="00AA7F66" w:rsidP="005F1B17" w14:paraId="7E37F5F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7F66">
              <w:t>2024</w:t>
            </w:r>
            <w:r w:rsidRPr="00AA7F66" w:rsidR="00817416">
              <w:t>-202</w:t>
            </w:r>
            <w:r w:rsidRPr="00AA7F6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A7F66" w:rsidP="0010095E" w14:paraId="43E3590C" w14:textId="77777777">
            <w:pPr>
              <w:pStyle w:val="EPLogo"/>
            </w:pPr>
            <w:r w:rsidRPr="00AA7F6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A7F66" w:rsidP="004C5D52" w14:paraId="29DBDE38" w14:textId="77777777">
      <w:pPr>
        <w:pStyle w:val="LineTop"/>
      </w:pPr>
    </w:p>
    <w:p w:rsidR="00680577" w:rsidRPr="00AA7F66" w:rsidP="00680577" w14:paraId="72E8C503" w14:textId="77777777">
      <w:pPr>
        <w:pStyle w:val="EPBodyTA1"/>
      </w:pPr>
      <w:r w:rsidRPr="00AA7F66">
        <w:t>USVOJENI TEKSTOVI</w:t>
      </w:r>
    </w:p>
    <w:p w:rsidR="00D058B8" w:rsidRPr="00AA7F66" w:rsidP="00D058B8" w14:paraId="66DAE68B" w14:textId="77777777">
      <w:pPr>
        <w:pStyle w:val="LineBottom"/>
      </w:pPr>
    </w:p>
    <w:p w:rsidR="00BB38E9" w:rsidRPr="00AA7F66" w:rsidP="00BB38E9" w14:paraId="76CB5668" w14:textId="61D7BEDF">
      <w:pPr>
        <w:pStyle w:val="ATHeading1"/>
      </w:pPr>
      <w:bookmarkStart w:id="0" w:name="TANumber"/>
      <w:r w:rsidRPr="00AA7F66">
        <w:t>P10_TA(2026)0</w:t>
      </w:r>
      <w:r w:rsidR="00271F9E">
        <w:t>195</w:t>
      </w:r>
      <w:bookmarkEnd w:id="0"/>
    </w:p>
    <w:p w:rsidR="00BB38E9" w:rsidRPr="00AA7F66" w:rsidP="00BB38E9" w14:paraId="71BED3E8" w14:textId="2E10E6E2">
      <w:pPr>
        <w:pStyle w:val="ATHeading2"/>
      </w:pPr>
      <w:bookmarkStart w:id="1" w:name="title"/>
      <w:r w:rsidRPr="00AA7F66">
        <w:t xml:space="preserve">Zahtjev za ukidanje imuniteta </w:t>
      </w:r>
      <w:bookmarkEnd w:id="1"/>
      <w:r w:rsidRPr="00AA7F66" w:rsidR="00AA7F66">
        <w:t xml:space="preserve">Nikoli </w:t>
      </w:r>
      <w:r w:rsidRPr="00AA7F66" w:rsidR="00AA7F66">
        <w:t>Minchevu</w:t>
      </w:r>
      <w:r w:rsidRPr="00AA7F66" w:rsidR="00AA7F66">
        <w:t xml:space="preserve"> </w:t>
      </w:r>
    </w:p>
    <w:p w:rsidR="00BB38E9" w:rsidRPr="00AA7F66" w:rsidP="00BB38E9" w14:paraId="40D45C80" w14:textId="77777777">
      <w:pPr>
        <w:rPr>
          <w:i/>
          <w:vanish/>
        </w:rPr>
      </w:pPr>
      <w:r>
        <w:rPr>
          <w:i/>
        </w:rPr>
        <w:fldChar w:fldCharType="begin"/>
      </w:r>
      <w:r w:rsidRPr="00AA7F66">
        <w:rPr>
          <w:i/>
        </w:rPr>
        <w:instrText xml:space="preserve"> TC"(</w:instrText>
      </w:r>
      <w:bookmarkStart w:id="2" w:name="DocNumber"/>
      <w:r w:rsidRPr="00AA7F66">
        <w:rPr>
          <w:i/>
        </w:rPr>
        <w:instrText>A10-0155/2026</w:instrText>
      </w:r>
      <w:bookmarkEnd w:id="2"/>
      <w:r w:rsidRPr="00AA7F66">
        <w:rPr>
          <w:i/>
        </w:rPr>
        <w:instrText xml:space="preserve"> - Izvjestitelj: </w:instrText>
      </w:r>
      <w:r w:rsidRPr="00AA7F66">
        <w:rPr>
          <w:i/>
        </w:rPr>
        <w:instrText>Ilhan</w:instrText>
      </w:r>
      <w:r w:rsidRPr="00AA7F66">
        <w:rPr>
          <w:i/>
        </w:rPr>
        <w:instrText xml:space="preserve"> </w:instrText>
      </w:r>
      <w:r w:rsidRPr="00AA7F66">
        <w:rPr>
          <w:i/>
        </w:rPr>
        <w:instrText>Kyuchyuk</w:instrText>
      </w:r>
      <w:r w:rsidRPr="00AA7F66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BB38E9" w:rsidRPr="00AA7F66" w:rsidP="00BB38E9" w14:paraId="2DED5FA9" w14:textId="77777777">
      <w:pPr>
        <w:rPr>
          <w:vanish/>
        </w:rPr>
      </w:pPr>
      <w:bookmarkStart w:id="3" w:name="Commission"/>
      <w:r w:rsidRPr="00AA7F66">
        <w:rPr>
          <w:vanish/>
        </w:rPr>
        <w:t>Odbor za pravna pitanja</w:t>
      </w:r>
      <w:bookmarkEnd w:id="3"/>
    </w:p>
    <w:p w:rsidR="00BB38E9" w:rsidRPr="00AA7F66" w:rsidP="00BB38E9" w14:paraId="067BA2FA" w14:textId="77777777">
      <w:pPr>
        <w:rPr>
          <w:vanish/>
        </w:rPr>
      </w:pPr>
      <w:bookmarkStart w:id="4" w:name="PE"/>
      <w:r w:rsidRPr="00AA7F66">
        <w:rPr>
          <w:vanish/>
        </w:rPr>
        <w:t>PE782.200</w:t>
      </w:r>
      <w:bookmarkEnd w:id="4"/>
    </w:p>
    <w:p w:rsidR="00BB38E9" w:rsidRPr="00AA7F66" w:rsidP="00BB38E9" w14:paraId="5027F65C" w14:textId="01B145B8">
      <w:pPr>
        <w:pStyle w:val="ATHeading3"/>
      </w:pPr>
      <w:bookmarkStart w:id="5" w:name="Sujet"/>
      <w:r w:rsidRPr="00AA7F66">
        <w:t xml:space="preserve">Odluka Europskog parlamenta od </w:t>
      </w:r>
      <w:r w:rsidR="00AA7F66">
        <w:t>16</w:t>
      </w:r>
      <w:r w:rsidRPr="00AA7F66">
        <w:t xml:space="preserve">. </w:t>
      </w:r>
      <w:r w:rsidR="00AA7F66">
        <w:t xml:space="preserve">lipnja </w:t>
      </w:r>
      <w:r w:rsidRPr="00AA7F66">
        <w:t xml:space="preserve">2026. o zahtjevu za ukidanje imuniteta Nikoli </w:t>
      </w:r>
      <w:r w:rsidRPr="00AA7F66">
        <w:t>Minchevu</w:t>
      </w:r>
      <w:bookmarkEnd w:id="5"/>
      <w:r w:rsidRPr="00AA7F66">
        <w:t xml:space="preserve"> </w:t>
      </w:r>
      <w:bookmarkStart w:id="6" w:name="References"/>
      <w:r w:rsidRPr="00AA7F66">
        <w:t>(2025/2100(IMM))</w:t>
      </w:r>
      <w:bookmarkEnd w:id="6"/>
    </w:p>
    <w:p w:rsidR="006F0B46" w:rsidRPr="00AA7F66" w:rsidP="006F0B46" w14:paraId="5CCCBD53" w14:textId="77777777">
      <w:pPr>
        <w:pStyle w:val="EPComma"/>
      </w:pPr>
      <w:bookmarkStart w:id="7" w:name="TextBodyBegin"/>
      <w:bookmarkEnd w:id="7"/>
      <w:r w:rsidRPr="00AA7F66">
        <w:rPr>
          <w:i/>
        </w:rPr>
        <w:t>Europski parlament</w:t>
      </w:r>
      <w:r w:rsidRPr="00AA7F66">
        <w:t>,</w:t>
      </w:r>
    </w:p>
    <w:p w:rsidR="006F0B46" w:rsidRPr="00AA7F66" w:rsidP="006F0B46" w14:paraId="3587F6D0" w14:textId="45BCC2F1">
      <w:pPr>
        <w:pStyle w:val="NormalHanging12a"/>
      </w:pPr>
      <w:r w:rsidRPr="00AA7F66">
        <w:t>–</w:t>
      </w:r>
      <w:r w:rsidRPr="00AA7F66">
        <w:tab/>
        <w:t xml:space="preserve">uzimajući u obzir zahtjev za ukidanje imuniteta Nikoli </w:t>
      </w:r>
      <w:r w:rsidRPr="00AA7F66">
        <w:t>Minchevu</w:t>
      </w:r>
      <w:r w:rsidRPr="00AA7F66">
        <w:t xml:space="preserve">, zaprimljen u </w:t>
      </w:r>
      <w:r w:rsidR="00402E5D">
        <w:t>pismu</w:t>
      </w:r>
      <w:r w:rsidRPr="00AA7F66">
        <w:t xml:space="preserve"> Belgijske savezne javne službe za vanjske poslove, vanjsku trgovinu i razvojnu suradnju od 6. svibnja 2025., kojim se dostavlja zahtjev Ureda belgijskog saveznog tužitelja od 16. travnja 2025. u vezi s kaznenim postupkom koji će se pokrenuti protiv Nikole </w:t>
      </w:r>
      <w:r w:rsidRPr="00AA7F66">
        <w:t>Mincheva</w:t>
      </w:r>
      <w:r w:rsidRPr="00AA7F66">
        <w:t xml:space="preserve">, a koji je </w:t>
      </w:r>
      <w:r w:rsidR="00402E5D">
        <w:t>objavljen</w:t>
      </w:r>
      <w:r w:rsidRPr="00AA7F66">
        <w:t xml:space="preserve"> u Parlamentu 21. svibnja 2025.,</w:t>
      </w:r>
    </w:p>
    <w:p w:rsidR="006F0B46" w:rsidRPr="00AA7F66" w:rsidP="006F0B46" w14:paraId="3C14655A" w14:textId="172A7786">
      <w:pPr>
        <w:pStyle w:val="NormalHanging12a"/>
        <w:rPr>
          <w:bCs/>
        </w:rPr>
      </w:pPr>
      <w:r w:rsidRPr="00AA7F66">
        <w:t>–</w:t>
      </w:r>
      <w:r w:rsidRPr="00AA7F66">
        <w:tab/>
      </w:r>
      <w:bookmarkStart w:id="8" w:name="_Hlk225077637"/>
      <w:r w:rsidRPr="00AA7F66">
        <w:t xml:space="preserve">uzimajući u obzir dodatne informacije koje su dostavili savezni tužitelj i sudac istrage </w:t>
      </w:r>
      <w:r w:rsidR="00402E5D">
        <w:t>tijekom</w:t>
      </w:r>
      <w:r w:rsidRPr="00AA7F66">
        <w:t xml:space="preserve"> razmjen</w:t>
      </w:r>
      <w:r w:rsidR="00402E5D">
        <w:t>e</w:t>
      </w:r>
      <w:r w:rsidRPr="00AA7F66">
        <w:t xml:space="preserve"> gledišta održan</w:t>
      </w:r>
      <w:r w:rsidR="00402E5D">
        <w:t>e</w:t>
      </w:r>
      <w:r w:rsidRPr="00AA7F66">
        <w:t xml:space="preserve"> 15. srpnja 2025. te odgovor </w:t>
      </w:r>
      <w:r w:rsidR="00402E5D">
        <w:t xml:space="preserve">saveznog tužitelja </w:t>
      </w:r>
      <w:r w:rsidRPr="00AA7F66">
        <w:t xml:space="preserve">od 18. rujna 2025. nakon dodatnog pisanog zahtjeva za dostavu informacija; uzimajući u obzir činjenicu da zahtjev za ukidanje imuniteta zastupnika </w:t>
      </w:r>
      <w:bookmarkStart w:id="9" w:name="_Hlk225077824"/>
      <w:r w:rsidRPr="00AA7F66">
        <w:t>mora ispunjavati određene</w:t>
      </w:r>
      <w:bookmarkEnd w:id="9"/>
      <w:r w:rsidRPr="00AA7F66">
        <w:t xml:space="preserve"> standarde, odnosno da mora biti jasno formuliran, među ostalim u pogledu pravnog okvira na kojem se temelji, te da mora sadržavati jasne i dostatne elemente i informacije kako bi Parlament u cilju donošenja zaključka zahtjev mogao razmotriti i što brže zaključiti, imajući na umu i relativnu složenost predmeta,</w:t>
      </w:r>
      <w:bookmarkEnd w:id="8"/>
    </w:p>
    <w:p w:rsidR="006F0B46" w:rsidRPr="00AA7F66" w:rsidP="006F0B46" w14:paraId="7580F4B9" w14:textId="77777777">
      <w:pPr>
        <w:pStyle w:val="NormalHanging12a"/>
      </w:pPr>
      <w:r w:rsidRPr="00AA7F66">
        <w:t>–</w:t>
      </w:r>
      <w:r w:rsidRPr="00AA7F66">
        <w:tab/>
        <w:t xml:space="preserve">nakon saslušanja Nikole </w:t>
      </w:r>
      <w:r w:rsidRPr="00AA7F66">
        <w:t>Mincheva</w:t>
      </w:r>
      <w:r w:rsidRPr="00AA7F66">
        <w:t xml:space="preserve"> 3. prosinca 2025. u skladu s člankom 9. stavkom 6. Poslovnika,</w:t>
      </w:r>
    </w:p>
    <w:p w:rsidR="006F0B46" w:rsidRPr="00AA7F66" w:rsidP="006F0B46" w14:paraId="6F3964E6" w14:textId="77777777">
      <w:pPr>
        <w:pStyle w:val="NormalHanging12a"/>
      </w:pPr>
      <w:r w:rsidRPr="00AA7F66">
        <w:t>–</w:t>
      </w:r>
      <w:r w:rsidRPr="00AA7F66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:rsidR="006F0B46" w:rsidRPr="00AA7F66" w:rsidP="006F0B46" w14:paraId="07E0C9F6" w14:textId="77777777">
      <w:pPr>
        <w:pStyle w:val="NormalHanging12a"/>
      </w:pPr>
      <w:r w:rsidRPr="00AA7F66">
        <w:t>–</w:t>
      </w:r>
      <w:r w:rsidRPr="00AA7F66">
        <w:tab/>
        <w:t xml:space="preserve">uzimajući u obzir presude Suda Europske unije od 21. listopada 2008., 19. ožujka 2010., </w:t>
      </w:r>
      <w:r w:rsidRPr="00AA7F66">
        <w:t>6. rujna 2011., 17. siječnja 2013. i 19. prosinca 2019.</w:t>
      </w:r>
      <w:r>
        <w:rPr>
          <w:vertAlign w:val="superscript"/>
        </w:rPr>
        <w:footnoteReference w:id="2"/>
      </w:r>
      <w:r w:rsidRPr="00AA7F66">
        <w:t>,</w:t>
      </w:r>
    </w:p>
    <w:p w:rsidR="006F0B46" w:rsidRPr="00AA7F66" w:rsidP="006F0B46" w14:paraId="55B0A653" w14:textId="77777777">
      <w:pPr>
        <w:pStyle w:val="NormalHanging12a"/>
      </w:pPr>
      <w:r w:rsidRPr="00AA7F66">
        <w:t>–</w:t>
      </w:r>
      <w:r w:rsidRPr="00AA7F66">
        <w:tab/>
        <w:t>uzimajući u obzir članak 5. stavak 2., članak 6. stavak 1. i članak 9. Poslovnika,</w:t>
      </w:r>
    </w:p>
    <w:p w:rsidR="006F0B46" w:rsidRPr="00AA7F66" w:rsidP="006F0B46" w14:paraId="74E9B4B0" w14:textId="77777777">
      <w:pPr>
        <w:pStyle w:val="NormalHanging12a"/>
      </w:pPr>
      <w:r w:rsidRPr="00AA7F66">
        <w:t>–</w:t>
      </w:r>
      <w:r w:rsidRPr="00AA7F66">
        <w:tab/>
        <w:t>uzimajući u obzir izvješće Odbora za pravna pitanja (A10</w:t>
      </w:r>
      <w:r w:rsidRPr="00AA7F66">
        <w:noBreakHyphen/>
        <w:t>0155/2026),</w:t>
      </w:r>
    </w:p>
    <w:p w:rsidR="006F0B46" w:rsidRPr="00AA7F66" w:rsidP="006F0B46" w14:paraId="44C5AB6A" w14:textId="687849B6">
      <w:pPr>
        <w:pStyle w:val="NormalHanging12a"/>
      </w:pPr>
      <w:r w:rsidRPr="00AA7F66">
        <w:t>A.</w:t>
      </w:r>
      <w:r w:rsidRPr="00AA7F66">
        <w:tab/>
        <w:t xml:space="preserve">budući da je </w:t>
      </w:r>
      <w:r w:rsidR="00402E5D">
        <w:t>6. svibnja 2025. S</w:t>
      </w:r>
      <w:r w:rsidRPr="00170D1E" w:rsidR="00402E5D">
        <w:t>avezn</w:t>
      </w:r>
      <w:r w:rsidR="00402E5D">
        <w:t>a</w:t>
      </w:r>
      <w:r w:rsidRPr="00170D1E" w:rsidR="00402E5D">
        <w:t xml:space="preserve"> javn</w:t>
      </w:r>
      <w:r w:rsidR="00402E5D">
        <w:t>a</w:t>
      </w:r>
      <w:r w:rsidRPr="00170D1E" w:rsidR="00402E5D">
        <w:t xml:space="preserve"> služb</w:t>
      </w:r>
      <w:r w:rsidR="00402E5D">
        <w:t>a</w:t>
      </w:r>
      <w:r w:rsidRPr="00170D1E" w:rsidR="00402E5D">
        <w:t xml:space="preserve"> za vanjske poslove, vanjsku trgovinu i razvojnu suradnju</w:t>
      </w:r>
      <w:r w:rsidR="00402E5D">
        <w:t xml:space="preserve"> proslijedila zahtjev</w:t>
      </w:r>
      <w:r w:rsidRPr="00AA7F66">
        <w:t xml:space="preserve"> savezn</w:t>
      </w:r>
      <w:r w:rsidR="00402E5D">
        <w:t>og</w:t>
      </w:r>
      <w:r w:rsidRPr="00AA7F66">
        <w:t xml:space="preserve"> tužitelj</w:t>
      </w:r>
      <w:r w:rsidR="00402E5D">
        <w:t>a</w:t>
      </w:r>
      <w:r w:rsidRPr="00AA7F66">
        <w:t xml:space="preserve"> </w:t>
      </w:r>
      <w:bookmarkStart w:id="10" w:name="_Hlk210982066"/>
      <w:r w:rsidR="00402E5D">
        <w:t xml:space="preserve">od </w:t>
      </w:r>
      <w:r w:rsidRPr="00AA7F66">
        <w:t>16. travnja 2025.</w:t>
      </w:r>
      <w:bookmarkEnd w:id="10"/>
      <w:r w:rsidRPr="00AA7F66">
        <w:t xml:space="preserve"> za ukidanje imuniteta zastupniku u Europskom parlamentu Nikoli </w:t>
      </w:r>
      <w:r w:rsidRPr="00AA7F66">
        <w:t>Minchevu</w:t>
      </w:r>
      <w:r w:rsidRPr="00AA7F66">
        <w:t>, izabranom u Bugarskoj, u vezi s kaznenim postupkom koji će se protiv njega pokrenuti;</w:t>
      </w:r>
    </w:p>
    <w:p w:rsidR="006F0B46" w:rsidRPr="00AA7F66" w:rsidP="006F0B46" w14:paraId="6E4DD580" w14:textId="69B0BC55">
      <w:pPr>
        <w:pStyle w:val="NormalHanging12a"/>
      </w:pPr>
      <w:r w:rsidRPr="00AA7F66">
        <w:t>B.</w:t>
      </w:r>
      <w:r w:rsidRPr="00AA7F66">
        <w:tab/>
      </w:r>
      <w:bookmarkStart w:id="11" w:name="_Hlk229403782"/>
      <w:bookmarkStart w:id="12" w:name="_Hlk228968475"/>
      <w:bookmarkStart w:id="13" w:name="_Hlk223949179"/>
      <w:r w:rsidRPr="00AA7F66">
        <w:t xml:space="preserve">budući da su u okviru opsežne istrage o društvu Huawei navodno prikupljeni ozbiljni dokazi o postojanju zločinačke organizacije čija je svrha navodno bila utjecati na odluke institucija </w:t>
      </w:r>
      <w:r w:rsidR="00402E5D">
        <w:t>Unije</w:t>
      </w:r>
      <w:r w:rsidRPr="00AA7F66">
        <w:t xml:space="preserve"> korumpiranjem zastupnika u Europskom parlamentu</w:t>
      </w:r>
      <w:bookmarkEnd w:id="11"/>
      <w:r w:rsidRPr="00AA7F66">
        <w:t xml:space="preserve">; budući da se čini da je ta istraga razotkrila nekoliko navodnih koruptivnih radnji za koje se pretpostavlja da su se redovito odvijale od 2021. do 2024.; budući da je ta korupcija navodno poprimala različite oblike, </w:t>
      </w:r>
      <w:bookmarkStart w:id="14" w:name="_Hlk229403810"/>
      <w:r w:rsidRPr="00AA7F66">
        <w:t xml:space="preserve">uključujući pozivanje zastupnika u Europskom parlamentu na događanja pod pokroviteljstvom </w:t>
      </w:r>
      <w:r w:rsidRPr="00AA7F66">
        <w:t>Huaweija</w:t>
      </w:r>
      <w:r w:rsidRPr="00AA7F66">
        <w:t>, navodno tražeći zauzvrat zauzimanje političkih stajališta u korist tog društva, te prekomjerno darivanje kao što su troškovi hrane i putovanja ili učestalo pozivanje na nogometne utakmice izvan okvira Europskog parlamenta</w:t>
      </w:r>
      <w:bookmarkEnd w:id="12"/>
      <w:bookmarkEnd w:id="14"/>
      <w:r w:rsidRPr="00AA7F66">
        <w:t>;</w:t>
      </w:r>
      <w:bookmarkEnd w:id="13"/>
    </w:p>
    <w:p w:rsidR="006F0B46" w:rsidRPr="00AA7F66" w:rsidP="006F0B46" w14:paraId="3B048118" w14:textId="4F72862D">
      <w:pPr>
        <w:pStyle w:val="NormalHanging12a"/>
      </w:pPr>
      <w:r w:rsidRPr="00AA7F66">
        <w:t>C.</w:t>
      </w:r>
      <w:r w:rsidRPr="00AA7F66">
        <w:tab/>
        <w:t xml:space="preserve">budući da je, prema zahtjevu za ukidanje imuniteta, Nikola </w:t>
      </w:r>
      <w:r w:rsidRPr="00AA7F66">
        <w:t>Minchev</w:t>
      </w:r>
      <w:r w:rsidRPr="00AA7F66">
        <w:t xml:space="preserve"> 24. listopada 2024. prisustvovao nogometnoj utakmici na stadionu u Bruxellesu, zajedno sa svojim akreditiranim parlamentarnim asistentom, dva predstavnika </w:t>
      </w:r>
      <w:r w:rsidRPr="00AA7F66">
        <w:t>Huaweija</w:t>
      </w:r>
      <w:r w:rsidRPr="00AA7F66">
        <w:t xml:space="preserve"> i još jednom osobom; budući da su, prema tom zahtjevu, bili u loži koju je Huawei za tu sezonu zakupio po cijeni od 45 000 EUR, navodno preko posredničkog društva </w:t>
      </w:r>
      <w:r w:rsidR="00402E5D">
        <w:t xml:space="preserve">navodno </w:t>
      </w:r>
      <w:r w:rsidRPr="00AA7F66">
        <w:t xml:space="preserve">kako bi se olakšao kontakt s određenim zastupnicima u Europskom parlamentu; budući da se čini da Nikola </w:t>
      </w:r>
      <w:r w:rsidRPr="00AA7F66">
        <w:t>Minchev</w:t>
      </w:r>
      <w:r w:rsidRPr="00AA7F66">
        <w:t xml:space="preserve"> od Europskog parlamenta nije zatražio povrat troškova nastalih zbog prisustvovanja toj nogometnoj utakmici, čiji točan iznos nije bio poznat tijelu koje je zatražilo ukidanje imuniteta; budući da je, prema dodatnim informacijama koje je dostavio savezni tužitelj, Nikola </w:t>
      </w:r>
      <w:r w:rsidRPr="00AA7F66">
        <w:t>Minchev</w:t>
      </w:r>
      <w:r w:rsidRPr="00AA7F66">
        <w:t xml:space="preserve"> 16. srpnja 2024. također prisustvovao večeri, na kojoj je bio i jedan direktor </w:t>
      </w:r>
      <w:r w:rsidRPr="00AA7F66">
        <w:t>Huaweija</w:t>
      </w:r>
      <w:r w:rsidRPr="00AA7F66">
        <w:t xml:space="preserve">, a koju je organizirao jedan od dvaju predstavnika </w:t>
      </w:r>
      <w:r w:rsidRPr="00AA7F66">
        <w:t>Huaweija</w:t>
      </w:r>
      <w:r w:rsidRPr="00AA7F66">
        <w:t>;</w:t>
      </w:r>
    </w:p>
    <w:p w:rsidR="006F0B46" w:rsidRPr="00AA7F66" w:rsidP="006F0B46" w14:paraId="36D93748" w14:textId="77923A1F">
      <w:pPr>
        <w:pStyle w:val="NormalHanging12a"/>
      </w:pPr>
      <w:r w:rsidRPr="00AA7F66">
        <w:t>D.</w:t>
      </w:r>
      <w:r w:rsidRPr="00AA7F66">
        <w:tab/>
        <w:t xml:space="preserve">budući da je tek </w:t>
      </w:r>
      <w:r w:rsidR="00402E5D">
        <w:t>nakon što je</w:t>
      </w:r>
      <w:r w:rsidRPr="00AA7F66">
        <w:t xml:space="preserve"> savezni tužitelj dostavio </w:t>
      </w:r>
      <w:r w:rsidR="00402E5D">
        <w:t xml:space="preserve">dodatne informacije </w:t>
      </w:r>
      <w:r w:rsidRPr="00AA7F66">
        <w:t>u</w:t>
      </w:r>
      <w:r w:rsidR="00AA7F66">
        <w:t xml:space="preserve"> </w:t>
      </w:r>
      <w:r w:rsidRPr="00AA7F66">
        <w:t xml:space="preserve">odgovoru na pisani zahtjev za dostavu dodatnih informacija navedeno da bi navodni postupci Nikole </w:t>
      </w:r>
      <w:r w:rsidRPr="00AA7F66">
        <w:t>Mincheva</w:t>
      </w:r>
      <w:r w:rsidRPr="00AA7F66">
        <w:t xml:space="preserve"> mogli predstavljati primanje mita, kazneno djelo u skladu s</w:t>
      </w:r>
      <w:r w:rsidR="00AA7F66">
        <w:t xml:space="preserve"> </w:t>
      </w:r>
      <w:r w:rsidRPr="00AA7F66">
        <w:t>člankom 246. stavkom 1. belgijskog Kaznenog zakonika;</w:t>
      </w:r>
    </w:p>
    <w:p w:rsidR="006F0B46" w:rsidRPr="00AA7F66" w:rsidP="006F0B46" w14:paraId="462A9C86" w14:textId="4176BD3D">
      <w:pPr>
        <w:pStyle w:val="NormalHanging12a"/>
      </w:pPr>
      <w:r w:rsidRPr="00AA7F66">
        <w:t>E.</w:t>
      </w:r>
      <w:r w:rsidRPr="00AA7F66">
        <w:tab/>
        <w:t xml:space="preserve">budući da je Nikola </w:t>
      </w:r>
      <w:r w:rsidRPr="00AA7F66">
        <w:t>Minchev</w:t>
      </w:r>
      <w:r w:rsidRPr="00AA7F66">
        <w:t xml:space="preserve"> bio izabran u Europski parlament na europskim izborima u lipnju 2024. te da je </w:t>
      </w:r>
      <w:r w:rsidR="00402E5D">
        <w:t xml:space="preserve">stoga </w:t>
      </w:r>
      <w:r w:rsidRPr="00AA7F66">
        <w:t>u vrijeme navodnog počinjenja kaznenog djela bio zastupnik u Europskom parlamentu;</w:t>
      </w:r>
    </w:p>
    <w:p w:rsidR="006F0B46" w:rsidRPr="00AA7F66" w:rsidP="006F0B46" w14:paraId="6BC39293" w14:textId="77777777">
      <w:pPr>
        <w:pStyle w:val="NormalHanging12a"/>
      </w:pPr>
      <w:r w:rsidRPr="00AA7F66">
        <w:t>F.</w:t>
      </w:r>
      <w:r w:rsidRPr="00AA7F66">
        <w:tab/>
        <w:t xml:space="preserve">budući da Parlament ne može preuzeti ulogu suda te da se zastupnik u kontekstu </w:t>
      </w:r>
      <w:r w:rsidRPr="00AA7F66">
        <w:t>postupka ukidanja imuniteta ne može smatrati optuženikom</w:t>
      </w:r>
      <w:r>
        <w:rPr>
          <w:vertAlign w:val="superscript"/>
        </w:rPr>
        <w:footnoteReference w:id="3"/>
      </w:r>
      <w:r w:rsidRPr="00AA7F66">
        <w:t>;</w:t>
      </w:r>
    </w:p>
    <w:p w:rsidR="006F0B46" w:rsidRPr="00AA7F66" w:rsidP="006F0B46" w14:paraId="48DAFFB2" w14:textId="429A0817">
      <w:pPr>
        <w:pStyle w:val="NormalHanging12a"/>
      </w:pPr>
      <w:r w:rsidRPr="00AA7F66">
        <w:t>G.</w:t>
      </w:r>
      <w:r w:rsidRPr="00AA7F66">
        <w:tab/>
        <w:t>budući da je svrha zastupničkog imuniteta propisanog Protokolom br. 7 o povlasticama i</w:t>
      </w:r>
      <w:r w:rsidR="00AA7F66">
        <w:t xml:space="preserve"> </w:t>
      </w:r>
      <w:r w:rsidRPr="00AA7F66">
        <w:t>imunitetima Europske unije zaštititi Parlament i njegove zastupnike od sudskih postupaka u vezi s aktivnostima koje se provode pri obnašanju zastupničkih dužnosti i</w:t>
      </w:r>
      <w:r w:rsidR="00AA7F66">
        <w:t xml:space="preserve"> </w:t>
      </w:r>
      <w:r w:rsidRPr="00AA7F66">
        <w:t>koje se od tih dužnosti ne mogu odvojiti;</w:t>
      </w:r>
    </w:p>
    <w:p w:rsidR="006F0B46" w:rsidRPr="00AA7F66" w:rsidP="006F0B46" w14:paraId="149037E4" w14:textId="797289C2">
      <w:pPr>
        <w:pStyle w:val="NormalHanging12a"/>
      </w:pPr>
      <w:r w:rsidRPr="00AA7F66">
        <w:t>H.</w:t>
      </w:r>
      <w:r w:rsidRPr="00AA7F66">
        <w:tab/>
        <w:t xml:space="preserve">budući da </w:t>
      </w:r>
      <w:r w:rsidR="00402E5D">
        <w:t>parlamentarni</w:t>
      </w:r>
      <w:r w:rsidRPr="00AA7F66">
        <w:t xml:space="preserve"> imunitet u skladu s člankom 5. stavkom 2. Poslovnika </w:t>
      </w:r>
      <w:r w:rsidR="00402E5D">
        <w:t>Europskog p</w:t>
      </w:r>
      <w:r w:rsidRPr="00AA7F66">
        <w:t xml:space="preserve">arlamenta nije osobna povlastica zastupnika, već jamstvo neovisnosti </w:t>
      </w:r>
      <w:r w:rsidR="00402E5D">
        <w:t>P</w:t>
      </w:r>
      <w:r w:rsidRPr="00AA7F66">
        <w:t>arlamenta kao cjeline i njegovih zastupnika;</w:t>
      </w:r>
    </w:p>
    <w:p w:rsidR="006F0B46" w:rsidRPr="00AA7F66" w:rsidP="006F0B46" w14:paraId="7BBCF2B4" w14:textId="77777777">
      <w:pPr>
        <w:pStyle w:val="NormalHanging12a"/>
      </w:pPr>
      <w:r w:rsidRPr="00AA7F66">
        <w:t>I.</w:t>
      </w:r>
      <w:r w:rsidRPr="00AA7F66">
        <w:tab/>
        <w:t xml:space="preserve">budući da se u članku 8. Protokola br. 7 o povlasticama i imunitetima Europske unije utvrđuje da zastupnici u Europskom parlamentu ne mogu biti podvrgnuti nikakvom obliku ispitivanja, zadržavanja ili sudskog postupka zbog izraženih mišljenja ili glasovanja pri obnašanju svojih dužnosti; budući da se navodno kazneno djelo ne odnosi na izraženo mišljenje ili glasovanje Nikole </w:t>
      </w:r>
      <w:r w:rsidRPr="00AA7F66">
        <w:t>Mincheva</w:t>
      </w:r>
      <w:r w:rsidRPr="00AA7F66">
        <w:t xml:space="preserve"> u okviru obnašanja njegovih dužnosti u smislu članka 8. tog protokola;</w:t>
      </w:r>
    </w:p>
    <w:p w:rsidR="006F0B46" w:rsidRPr="00AA7F66" w:rsidP="006F0B46" w14:paraId="1AB7CB2B" w14:textId="07A9C14F">
      <w:pPr>
        <w:pStyle w:val="NormalHanging12a"/>
      </w:pPr>
      <w:r w:rsidRPr="00AA7F66">
        <w:t>J.</w:t>
      </w:r>
      <w:r w:rsidRPr="00AA7F66">
        <w:tab/>
        <w:t xml:space="preserve">budući da se u članku 9. </w:t>
      </w:r>
      <w:r w:rsidR="00402E5D">
        <w:t xml:space="preserve">prvom </w:t>
      </w:r>
      <w:r w:rsidRPr="00AA7F66">
        <w:t>stavku točki (b) Protokola br. 7 o povlasticama i imunitetima Europske unije navodi da</w:t>
      </w:r>
      <w:r w:rsidR="00402E5D">
        <w:t>, tijekom zasjedanja Europskog parlamenta,</w:t>
      </w:r>
      <w:r w:rsidRPr="00170D1E" w:rsidR="00402E5D">
        <w:t xml:space="preserve"> </w:t>
      </w:r>
      <w:r w:rsidR="00402E5D">
        <w:t>njegovi</w:t>
      </w:r>
      <w:r w:rsidRPr="00AA7F66">
        <w:t xml:space="preserve"> zastupnici </w:t>
      </w:r>
      <w:r w:rsidR="00402E5D">
        <w:t>uživaju,</w:t>
      </w:r>
      <w:r w:rsidRPr="00AA7F66">
        <w:t xml:space="preserve"> na državnom području bilo koje države članice koja nije njihova</w:t>
      </w:r>
      <w:r w:rsidR="00402E5D">
        <w:t>,</w:t>
      </w:r>
      <w:r w:rsidRPr="00AA7F66">
        <w:t xml:space="preserve"> imunitet od svake mjere zadržavanja i</w:t>
      </w:r>
      <w:r w:rsidR="00AA7F66">
        <w:t xml:space="preserve"> </w:t>
      </w:r>
      <w:r w:rsidRPr="00AA7F66">
        <w:t>od sudskih postupaka;</w:t>
      </w:r>
    </w:p>
    <w:p w:rsidR="006F0B46" w:rsidRPr="00AA7F66" w:rsidP="006F0B46" w14:paraId="17F9FA21" w14:textId="6EE5F384">
      <w:pPr>
        <w:pStyle w:val="NormalHanging12a"/>
      </w:pPr>
      <w:r w:rsidRPr="00AA7F66">
        <w:t>K.</w:t>
      </w:r>
      <w:r w:rsidRPr="00AA7F66">
        <w:tab/>
        <w:t xml:space="preserve">budući da se svaki zaključak o imunitetu Nikole </w:t>
      </w:r>
      <w:r w:rsidRPr="00AA7F66">
        <w:t>Mincheva</w:t>
      </w:r>
      <w:r w:rsidRPr="00AA7F66">
        <w:t xml:space="preserve"> mora donijeti na temelju zahtjeva za ukidanje imuniteta te na temelju informacija i objašnjenja dostavljenih u</w:t>
      </w:r>
      <w:r w:rsidR="00AA7F66">
        <w:t xml:space="preserve"> </w:t>
      </w:r>
      <w:r w:rsidRPr="00AA7F66">
        <w:t>ovom predmetu, uključujući odgovore saveznog tužitelja, i tijekom razmjene gledišta i u dodatnim informacijama dostavljenima u pisanom obliku; budući da u zahtjevu za ukidanje imuniteta postoji očit nedostatak konkretnih elemenata; budući da naknadna usmena i pisana komunikacija s</w:t>
      </w:r>
      <w:r w:rsidR="0002632A">
        <w:t>a</w:t>
      </w:r>
      <w:r w:rsidRPr="00AA7F66">
        <w:t xml:space="preserve"> saveznim tužiteljem nije otklonila znatne nejasnoće u pogledu raznih elemenata sadržanih u zahtjevu za ukidanje imuniteta Nikoli </w:t>
      </w:r>
      <w:r w:rsidRPr="00AA7F66">
        <w:t>Minchevu</w:t>
      </w:r>
      <w:r w:rsidRPr="00AA7F66">
        <w:t>;</w:t>
      </w:r>
    </w:p>
    <w:p w:rsidR="006F0B46" w:rsidRPr="00AA7F66" w:rsidP="006F0B46" w14:paraId="6BFD7EBB" w14:textId="77777777">
      <w:pPr>
        <w:pStyle w:val="NormalHanging12a"/>
      </w:pPr>
      <w:r w:rsidRPr="00AA7F66">
        <w:t>L.</w:t>
      </w:r>
      <w:r w:rsidRPr="00AA7F66">
        <w:tab/>
        <w:t xml:space="preserve">budući da na temelju navedenog ukupne dostavljene informacije nisu omogućile Parlamentu da sa sigurnošću donese dovoljno utemeljenu odluku o ukidanju imuniteta Nikoli </w:t>
      </w:r>
      <w:r w:rsidRPr="00AA7F66">
        <w:t>Minchevu</w:t>
      </w:r>
      <w:r w:rsidRPr="00AA7F66">
        <w:t xml:space="preserve">; budući da bi osim toga znatna nesigurnost u pogledu raznih elemenata ovog predmeta mogla biti takva da upućuje na postojanje </w:t>
      </w:r>
      <w:r w:rsidRPr="00AA7F66">
        <w:rPr>
          <w:i/>
          <w:iCs/>
        </w:rPr>
        <w:t>fumus</w:t>
      </w:r>
      <w:r w:rsidRPr="00AA7F66">
        <w:rPr>
          <w:i/>
          <w:iCs/>
        </w:rPr>
        <w:t xml:space="preserve"> </w:t>
      </w:r>
      <w:r w:rsidRPr="00AA7F66">
        <w:rPr>
          <w:i/>
          <w:iCs/>
        </w:rPr>
        <w:t>persecutionis</w:t>
      </w:r>
      <w:r w:rsidRPr="00AA7F66">
        <w:t>;</w:t>
      </w:r>
    </w:p>
    <w:p w:rsidR="006F0B46" w:rsidRPr="00AA7F66" w:rsidP="006F0B46" w14:paraId="76F3B55B" w14:textId="77777777">
      <w:pPr>
        <w:pStyle w:val="NormalHanging12a"/>
      </w:pPr>
      <w:r w:rsidRPr="00AA7F66">
        <w:t>1.</w:t>
      </w:r>
      <w:r w:rsidRPr="00AA7F66">
        <w:tab/>
        <w:t xml:space="preserve">odlučuje ne ukinuti imunitet Nikoli </w:t>
      </w:r>
      <w:r w:rsidRPr="00AA7F66">
        <w:t>Minchevu</w:t>
      </w:r>
      <w:r w:rsidRPr="00AA7F66">
        <w:t>;</w:t>
      </w:r>
    </w:p>
    <w:p w:rsidR="00E365E1" w:rsidRPr="00AA7F66" w:rsidP="00AA7F66" w14:paraId="5F826B5E" w14:textId="7639D350">
      <w:pPr>
        <w:ind w:left="567" w:hanging="567"/>
      </w:pPr>
      <w:r w:rsidRPr="00AA7F66">
        <w:t>2.</w:t>
      </w:r>
      <w:r w:rsidRPr="00AA7F66">
        <w:tab/>
        <w:t>nalaže svojoj predsjednici da ovu Odluku i izvješće nadležnog odbora odmah proslijedi nadležn</w:t>
      </w:r>
      <w:r w:rsidR="0002632A">
        <w:t>o</w:t>
      </w:r>
      <w:r w:rsidRPr="00AA7F66">
        <w:t>m tijel</w:t>
      </w:r>
      <w:r w:rsidR="0002632A">
        <w:t>u</w:t>
      </w:r>
      <w:r w:rsidRPr="00AA7F66">
        <w:t xml:space="preserve"> Kraljevine Belgije i Nikoli </w:t>
      </w:r>
      <w:r w:rsidRPr="00AA7F66">
        <w:t>Minchevu</w:t>
      </w:r>
      <w:r w:rsidRPr="00AA7F66">
        <w:t>.</w:t>
      </w:r>
    </w:p>
    <w:sectPr w:rsidSect="00822B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2BC2" w14:paraId="7A8F782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2BC2" w14:paraId="61CF4B1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2BC2" w14:paraId="0E64F39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B38E9" w:rsidRPr="00822BC2" w14:paraId="6B2030D3" w14:textId="77777777">
      <w:r w:rsidRPr="00822BC2">
        <w:separator/>
      </w:r>
    </w:p>
  </w:footnote>
  <w:footnote w:type="continuationSeparator" w:id="1">
    <w:p w:rsidR="00BB38E9" w:rsidRPr="00822BC2" w14:paraId="47D20D39" w14:textId="77777777">
      <w:r w:rsidRPr="00822BC2">
        <w:continuationSeparator/>
      </w:r>
    </w:p>
  </w:footnote>
  <w:footnote w:id="2">
    <w:p w:rsidR="006F0B46" w:rsidRPr="00822BC2" w:rsidP="00822BC2" w14:paraId="4277CC8A" w14:textId="0339469D">
      <w:pPr>
        <w:pStyle w:val="FootnoteText"/>
        <w:ind w:left="567" w:hanging="567"/>
        <w:rPr>
          <w:sz w:val="24"/>
          <w:lang w:val="hr-HR"/>
        </w:rPr>
      </w:pPr>
      <w:r w:rsidRPr="00822BC2">
        <w:rPr>
          <w:rStyle w:val="FootnoteReference"/>
          <w:sz w:val="24"/>
          <w:lang w:val="hr-HR"/>
        </w:rPr>
        <w:footnoteRef/>
      </w:r>
      <w:r w:rsidRPr="00822BC2" w:rsidR="00822BC2">
        <w:rPr>
          <w:sz w:val="24"/>
          <w:lang w:val="hr-HR"/>
        </w:rPr>
        <w:t xml:space="preserve"> </w:t>
      </w:r>
      <w:r w:rsidRPr="00822BC2" w:rsidR="00822BC2">
        <w:rPr>
          <w:sz w:val="24"/>
          <w:lang w:val="hr-HR"/>
        </w:rPr>
        <w:tab/>
      </w:r>
      <w:r w:rsidRPr="00822BC2">
        <w:rPr>
          <w:sz w:val="24"/>
          <w:lang w:val="hr-HR"/>
        </w:rPr>
        <w:t xml:space="preserve">Presuda Suda od 21. listopada 2008., </w:t>
      </w:r>
      <w:r w:rsidRPr="00822BC2">
        <w:rPr>
          <w:i/>
          <w:iCs/>
          <w:sz w:val="24"/>
          <w:lang w:val="hr-HR"/>
        </w:rPr>
        <w:t>Marra</w:t>
      </w:r>
      <w:r w:rsidRPr="00822BC2">
        <w:rPr>
          <w:i/>
          <w:iCs/>
          <w:sz w:val="24"/>
          <w:lang w:val="hr-HR"/>
        </w:rPr>
        <w:t xml:space="preserve"> / De </w:t>
      </w:r>
      <w:r w:rsidRPr="00822BC2">
        <w:rPr>
          <w:i/>
          <w:iCs/>
          <w:sz w:val="24"/>
          <w:lang w:val="hr-HR"/>
        </w:rPr>
        <w:t>Gregorio</w:t>
      </w:r>
      <w:r w:rsidRPr="00822BC2">
        <w:rPr>
          <w:i/>
          <w:iCs/>
          <w:sz w:val="24"/>
          <w:lang w:val="hr-HR"/>
        </w:rPr>
        <w:t xml:space="preserve"> i </w:t>
      </w:r>
      <w:r w:rsidRPr="00822BC2">
        <w:rPr>
          <w:i/>
          <w:iCs/>
          <w:sz w:val="24"/>
          <w:lang w:val="hr-HR"/>
        </w:rPr>
        <w:t>Clemente</w:t>
      </w:r>
      <w:r w:rsidRPr="00822BC2">
        <w:rPr>
          <w:sz w:val="24"/>
          <w:lang w:val="hr-HR"/>
        </w:rPr>
        <w:t xml:space="preserve">, C 200/07 i C-201/07, ECLI:EU:C:2008:579; presuda Općeg suda od 19. ožujka 2010., </w:t>
      </w:r>
      <w:r w:rsidRPr="00822BC2">
        <w:rPr>
          <w:i/>
          <w:iCs/>
          <w:sz w:val="24"/>
          <w:lang w:val="hr-HR"/>
        </w:rPr>
        <w:t>Gollnisch</w:t>
      </w:r>
      <w:r w:rsidRPr="00822BC2">
        <w:rPr>
          <w:i/>
          <w:iCs/>
          <w:sz w:val="24"/>
          <w:lang w:val="hr-HR"/>
        </w:rPr>
        <w:t>/Parlament</w:t>
      </w:r>
      <w:r w:rsidRPr="00822BC2">
        <w:rPr>
          <w:sz w:val="24"/>
          <w:lang w:val="hr-HR"/>
        </w:rPr>
        <w:t xml:space="preserve">, T-42/06, ECLI:EU:T:2010:102; presuda Suda od 6. rujna 2011., </w:t>
      </w:r>
      <w:r w:rsidRPr="00822BC2">
        <w:rPr>
          <w:i/>
          <w:iCs/>
          <w:sz w:val="24"/>
          <w:lang w:val="hr-HR"/>
        </w:rPr>
        <w:t>Patriciello</w:t>
      </w:r>
      <w:r w:rsidRPr="00822BC2">
        <w:rPr>
          <w:sz w:val="24"/>
          <w:lang w:val="hr-HR"/>
        </w:rPr>
        <w:t xml:space="preserve">, C 163/10, ECLI:EU:C:2011:543; presuda Općeg suda od 17. siječnja 2013., </w:t>
      </w:r>
      <w:r w:rsidRPr="00822BC2">
        <w:rPr>
          <w:i/>
          <w:iCs/>
          <w:sz w:val="24"/>
          <w:lang w:val="hr-HR"/>
        </w:rPr>
        <w:t>Gollnisch</w:t>
      </w:r>
      <w:r w:rsidRPr="00822BC2">
        <w:rPr>
          <w:i/>
          <w:iCs/>
          <w:sz w:val="24"/>
          <w:lang w:val="hr-HR"/>
        </w:rPr>
        <w:t>/Parlament</w:t>
      </w:r>
      <w:r w:rsidRPr="00822BC2">
        <w:rPr>
          <w:sz w:val="24"/>
          <w:lang w:val="hr-HR"/>
        </w:rPr>
        <w:t xml:space="preserve">, T-346/11 i T-347/11, ECLI:EU:T:2013:23.; presuda Suda od 19. prosinca 2019., </w:t>
      </w:r>
      <w:r w:rsidRPr="00822BC2">
        <w:rPr>
          <w:i/>
          <w:iCs/>
          <w:sz w:val="24"/>
          <w:lang w:val="hr-HR"/>
        </w:rPr>
        <w:t>Junqueras</w:t>
      </w:r>
      <w:r w:rsidRPr="00822BC2">
        <w:rPr>
          <w:i/>
          <w:iCs/>
          <w:sz w:val="24"/>
          <w:lang w:val="hr-HR"/>
        </w:rPr>
        <w:t xml:space="preserve"> </w:t>
      </w:r>
      <w:r w:rsidRPr="00822BC2">
        <w:rPr>
          <w:i/>
          <w:iCs/>
          <w:sz w:val="24"/>
          <w:lang w:val="hr-HR"/>
        </w:rPr>
        <w:t>Vies</w:t>
      </w:r>
      <w:r w:rsidRPr="00822BC2">
        <w:rPr>
          <w:sz w:val="24"/>
          <w:lang w:val="hr-HR"/>
        </w:rPr>
        <w:t>, C-502/19, ECLI:EU:C:2019:1115.</w:t>
      </w:r>
    </w:p>
  </w:footnote>
  <w:footnote w:id="3">
    <w:p w:rsidR="006F0B46" w:rsidRPr="00822BC2" w:rsidP="00822BC2" w14:paraId="08EE9C7C" w14:textId="5FF65902">
      <w:pPr>
        <w:pStyle w:val="FootnoteText"/>
        <w:ind w:left="567" w:hanging="567"/>
        <w:rPr>
          <w:sz w:val="24"/>
          <w:lang w:val="hr-HR"/>
        </w:rPr>
      </w:pPr>
      <w:r w:rsidRPr="00822BC2">
        <w:rPr>
          <w:rStyle w:val="FootnoteReference"/>
          <w:sz w:val="24"/>
          <w:lang w:val="hr-HR"/>
        </w:rPr>
        <w:footnoteRef/>
      </w:r>
      <w:r w:rsidRPr="00822BC2" w:rsidR="00822BC2">
        <w:rPr>
          <w:sz w:val="24"/>
          <w:lang w:val="hr-HR"/>
        </w:rPr>
        <w:t xml:space="preserve"> </w:t>
      </w:r>
      <w:r w:rsidRPr="00822BC2" w:rsidR="00822BC2">
        <w:rPr>
          <w:sz w:val="24"/>
          <w:lang w:val="hr-HR"/>
        </w:rPr>
        <w:tab/>
      </w:r>
      <w:r w:rsidRPr="00822BC2">
        <w:rPr>
          <w:sz w:val="24"/>
          <w:lang w:val="hr-HR"/>
        </w:rPr>
        <w:t xml:space="preserve">Presuda Općeg suda od 30. travnja 2019., </w:t>
      </w:r>
      <w:r w:rsidRPr="00822BC2">
        <w:rPr>
          <w:i/>
          <w:iCs/>
          <w:sz w:val="24"/>
          <w:lang w:val="hr-HR"/>
        </w:rPr>
        <w:t>Briois</w:t>
      </w:r>
      <w:r w:rsidRPr="00822BC2">
        <w:rPr>
          <w:i/>
          <w:iCs/>
          <w:sz w:val="24"/>
          <w:lang w:val="hr-HR"/>
        </w:rPr>
        <w:t>/Parlament</w:t>
      </w:r>
      <w:r w:rsidRPr="00822BC2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2BC2" w14:paraId="6583B45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2BC2" w14:paraId="2FCA823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22BC2" w14:paraId="3027DE9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38748236">
    <w:abstractNumId w:val="9"/>
  </w:num>
  <w:num w:numId="2" w16cid:durableId="10036281">
    <w:abstractNumId w:val="9"/>
  </w:num>
  <w:num w:numId="3" w16cid:durableId="1282155168">
    <w:abstractNumId w:val="7"/>
  </w:num>
  <w:num w:numId="4" w16cid:durableId="766851001">
    <w:abstractNumId w:val="7"/>
  </w:num>
  <w:num w:numId="5" w16cid:durableId="962540676">
    <w:abstractNumId w:val="6"/>
  </w:num>
  <w:num w:numId="6" w16cid:durableId="209927951">
    <w:abstractNumId w:val="6"/>
  </w:num>
  <w:num w:numId="7" w16cid:durableId="1430924528">
    <w:abstractNumId w:val="5"/>
  </w:num>
  <w:num w:numId="8" w16cid:durableId="799763265">
    <w:abstractNumId w:val="5"/>
  </w:num>
  <w:num w:numId="9" w16cid:durableId="1514805737">
    <w:abstractNumId w:val="4"/>
  </w:num>
  <w:num w:numId="10" w16cid:durableId="2129808582">
    <w:abstractNumId w:val="4"/>
  </w:num>
  <w:num w:numId="11" w16cid:durableId="395670718">
    <w:abstractNumId w:val="8"/>
  </w:num>
  <w:num w:numId="12" w16cid:durableId="1292128158">
    <w:abstractNumId w:val="8"/>
  </w:num>
  <w:num w:numId="13" w16cid:durableId="9837985">
    <w:abstractNumId w:val="3"/>
  </w:num>
  <w:num w:numId="14" w16cid:durableId="254945832">
    <w:abstractNumId w:val="3"/>
  </w:num>
  <w:num w:numId="15" w16cid:durableId="766658839">
    <w:abstractNumId w:val="2"/>
  </w:num>
  <w:num w:numId="16" w16cid:durableId="1249122174">
    <w:abstractNumId w:val="2"/>
  </w:num>
  <w:num w:numId="17" w16cid:durableId="237907198">
    <w:abstractNumId w:val="1"/>
  </w:num>
  <w:num w:numId="18" w16cid:durableId="1536193156">
    <w:abstractNumId w:val="1"/>
  </w:num>
  <w:num w:numId="19" w16cid:durableId="173307794">
    <w:abstractNumId w:val="0"/>
  </w:num>
  <w:num w:numId="20" w16cid:durableId="1881699363">
    <w:abstractNumId w:val="0"/>
  </w:num>
  <w:num w:numId="21" w16cid:durableId="1243493601">
    <w:abstractNumId w:val="9"/>
  </w:num>
  <w:num w:numId="22" w16cid:durableId="1653368131">
    <w:abstractNumId w:val="7"/>
  </w:num>
  <w:num w:numId="23" w16cid:durableId="2030911618">
    <w:abstractNumId w:val="6"/>
  </w:num>
  <w:num w:numId="24" w16cid:durableId="1635939706">
    <w:abstractNumId w:val="5"/>
  </w:num>
  <w:num w:numId="25" w16cid:durableId="596326495">
    <w:abstractNumId w:val="4"/>
  </w:num>
  <w:num w:numId="26" w16cid:durableId="1332175487">
    <w:abstractNumId w:val="8"/>
  </w:num>
  <w:num w:numId="27" w16cid:durableId="1540774017">
    <w:abstractNumId w:val="3"/>
  </w:num>
  <w:num w:numId="28" w16cid:durableId="330528424">
    <w:abstractNumId w:val="2"/>
  </w:num>
  <w:num w:numId="29" w16cid:durableId="1386564370">
    <w:abstractNumId w:val="1"/>
  </w:num>
  <w:num w:numId="30" w16cid:durableId="243489393">
    <w:abstractNumId w:val="0"/>
  </w:num>
  <w:num w:numId="31" w16cid:durableId="952588254">
    <w:abstractNumId w:val="9"/>
  </w:num>
  <w:num w:numId="32" w16cid:durableId="1978104433">
    <w:abstractNumId w:val="7"/>
  </w:num>
  <w:num w:numId="33" w16cid:durableId="1608734096">
    <w:abstractNumId w:val="6"/>
  </w:num>
  <w:num w:numId="34" w16cid:durableId="1921677485">
    <w:abstractNumId w:val="5"/>
  </w:num>
  <w:num w:numId="35" w16cid:durableId="1806584387">
    <w:abstractNumId w:val="4"/>
  </w:num>
  <w:num w:numId="36" w16cid:durableId="1966276691">
    <w:abstractNumId w:val="8"/>
  </w:num>
  <w:num w:numId="37" w16cid:durableId="162741053">
    <w:abstractNumId w:val="3"/>
  </w:num>
  <w:num w:numId="38" w16cid:durableId="1598905688">
    <w:abstractNumId w:val="2"/>
  </w:num>
  <w:num w:numId="39" w16cid:durableId="1829712334">
    <w:abstractNumId w:val="1"/>
  </w:num>
  <w:num w:numId="40" w16cid:durableId="711152661">
    <w:abstractNumId w:val="0"/>
  </w:num>
  <w:num w:numId="41" w16cid:durableId="1638484364">
    <w:abstractNumId w:val="10"/>
  </w:num>
  <w:num w:numId="42" w16cid:durableId="1483816425">
    <w:abstractNumId w:val="10"/>
  </w:num>
  <w:num w:numId="43" w16cid:durableId="1228417288">
    <w:abstractNumId w:val="10"/>
  </w:num>
  <w:num w:numId="44" w16cid:durableId="854616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8E9"/>
    <w:rsid w:val="00002272"/>
    <w:rsid w:val="0002632A"/>
    <w:rsid w:val="00064002"/>
    <w:rsid w:val="000677B9"/>
    <w:rsid w:val="000831BA"/>
    <w:rsid w:val="000A42CC"/>
    <w:rsid w:val="000E7DD9"/>
    <w:rsid w:val="0010095E"/>
    <w:rsid w:val="00125B37"/>
    <w:rsid w:val="001414ED"/>
    <w:rsid w:val="00170D1E"/>
    <w:rsid w:val="00187494"/>
    <w:rsid w:val="001F32AE"/>
    <w:rsid w:val="00271F9E"/>
    <w:rsid w:val="002767FF"/>
    <w:rsid w:val="002B18FE"/>
    <w:rsid w:val="002B5493"/>
    <w:rsid w:val="00343214"/>
    <w:rsid w:val="00361C00"/>
    <w:rsid w:val="00395FA1"/>
    <w:rsid w:val="003E15D4"/>
    <w:rsid w:val="00402E5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0B4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BC2"/>
    <w:rsid w:val="00842779"/>
    <w:rsid w:val="00865F67"/>
    <w:rsid w:val="00881A7B"/>
    <w:rsid w:val="008840E5"/>
    <w:rsid w:val="00887B3E"/>
    <w:rsid w:val="008B5663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7F66"/>
    <w:rsid w:val="00AB441E"/>
    <w:rsid w:val="00AB6293"/>
    <w:rsid w:val="00AE0928"/>
    <w:rsid w:val="00AF3B82"/>
    <w:rsid w:val="00B12E95"/>
    <w:rsid w:val="00B22876"/>
    <w:rsid w:val="00B558F0"/>
    <w:rsid w:val="00BB38E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067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5/2026"/>
    <w:docVar w:name="dvlangue" w:val="HR"/>
    <w:docVar w:name="dvnumam" w:val="0"/>
    <w:docVar w:name="dvpe" w:val="782.200"/>
    <w:docVar w:name="dvrapporteur" w:val="Izvjestitelj: "/>
    <w:docVar w:name="dvtitre" w:val="Odluka Europskog parlamenta od .... 2026. o zahtjevu za ukidanje imuniteta Nikoli Minchevu(2025/2100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9B1A763"/>
  <w15:chartTrackingRefBased/>
  <w15:docId w15:val="{CF82F83B-30B1-47FE-BFF2-4BC666B3C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F0B46"/>
    <w:pPr>
      <w:spacing w:after="240"/>
      <w:ind w:left="567" w:hanging="567"/>
    </w:pPr>
  </w:style>
  <w:style w:type="paragraph" w:customStyle="1" w:styleId="EPComma">
    <w:name w:val="EPComma"/>
    <w:basedOn w:val="Normal"/>
    <w:rsid w:val="006F0B46"/>
    <w:pPr>
      <w:spacing w:before="480" w:after="240"/>
    </w:pPr>
  </w:style>
  <w:style w:type="paragraph" w:styleId="Revision">
    <w:name w:val="Revision"/>
    <w:hidden/>
    <w:uiPriority w:val="99"/>
    <w:semiHidden/>
    <w:rsid w:val="00402E5D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1028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2026-06-16T11:32:00Z</dcterms:created>
  <dcterms:modified xsi:type="dcterms:W3CDTF">2026-06-16T11:32:00Z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A10-0155/2026</vt:lpwstr>
  </property>
  <property fmtid="{D5CDD505-2E9C-101B-9397-08002B2CF9AE}" pid="4" name="&lt;Type&gt;">
    <vt:lpwstr>RR</vt:lpwstr>
  </property>
</Properties>
</file>