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8572F4" w14:textId="77777777" w:rsidTr="0010095E">
        <w:tblPrEx>
          <w:tblW w:w="9072" w:type="dxa"/>
          <w:tblLook w:val="01E0"/>
        </w:tblPrEx>
        <w:trPr>
          <w:trHeight w:hRule="exact" w:val="1418"/>
        </w:trPr>
        <w:tc>
          <w:tcPr>
            <w:tcW w:w="6804" w:type="dxa"/>
            <w:shd w:val="clear" w:color="auto" w:fill="auto"/>
            <w:vAlign w:val="center"/>
          </w:tcPr>
          <w:p w:rsidR="00751A4A" w:rsidRPr="00F03414" w:rsidP="0010095E" w14:paraId="6425499D" w14:textId="77777777">
            <w:pPr>
              <w:pStyle w:val="EPName"/>
            </w:pPr>
            <w:r w:rsidRPr="00F03414">
              <w:t>Európai Parlament</w:t>
            </w:r>
          </w:p>
          <w:p w:rsidR="00751A4A" w:rsidRPr="00F03414" w:rsidP="005F1B17" w14:paraId="058605F3" w14:textId="77777777">
            <w:pPr>
              <w:pStyle w:val="EPTerm"/>
              <w:rPr>
                <w:rStyle w:val="HideTWBExt"/>
                <w:noProof w:val="0"/>
                <w:vanish w:val="0"/>
                <w:color w:val="auto"/>
              </w:rPr>
            </w:pPr>
            <w:r w:rsidRPr="00F03414">
              <w:t>2024</w:t>
            </w:r>
            <w:r w:rsidRPr="00F03414" w:rsidR="00817416">
              <w:t>-202</w:t>
            </w:r>
            <w:r w:rsidRPr="00F03414">
              <w:t>9</w:t>
            </w:r>
          </w:p>
        </w:tc>
        <w:tc>
          <w:tcPr>
            <w:tcW w:w="2268" w:type="dxa"/>
            <w:shd w:val="clear" w:color="auto" w:fill="auto"/>
          </w:tcPr>
          <w:p w:rsidR="00751A4A" w:rsidRPr="00F03414" w:rsidP="0010095E" w14:paraId="019EDCB3" w14:textId="77777777">
            <w:pPr>
              <w:pStyle w:val="EPLogo"/>
            </w:pPr>
            <w:r w:rsidRPr="00F0341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3414" w:rsidP="004C5D52" w14:paraId="0897CFC4" w14:textId="77777777">
      <w:pPr>
        <w:pStyle w:val="LineTop"/>
      </w:pPr>
    </w:p>
    <w:p w:rsidR="00680577" w:rsidRPr="00F03414" w:rsidP="00680577" w14:paraId="430A37F8" w14:textId="77777777">
      <w:pPr>
        <w:pStyle w:val="EPBodyTA1"/>
      </w:pPr>
      <w:r w:rsidRPr="00F03414">
        <w:t>ELFOGADOTT SZÖVEGEK</w:t>
      </w:r>
    </w:p>
    <w:p w:rsidR="00D058B8" w:rsidRPr="00F03414" w:rsidP="00D058B8" w14:paraId="7A11ED8C" w14:textId="77777777">
      <w:pPr>
        <w:pStyle w:val="LineBottom"/>
      </w:pPr>
    </w:p>
    <w:p w:rsidR="008F0275" w:rsidRPr="00F03414" w:rsidP="008F0275" w14:paraId="1CD30681" w14:textId="026030E9">
      <w:pPr>
        <w:pStyle w:val="ATHeading1"/>
      </w:pPr>
      <w:bookmarkStart w:id="0" w:name="TANumber"/>
      <w:r w:rsidRPr="00F03414">
        <w:t>P10_</w:t>
      </w:r>
      <w:r w:rsidRPr="00F03414">
        <w:t>TA(</w:t>
      </w:r>
      <w:r w:rsidRPr="00F03414">
        <w:t>2026)0</w:t>
      </w:r>
      <w:r w:rsidRPr="00F03414" w:rsidR="00F03414">
        <w:t>195</w:t>
      </w:r>
      <w:bookmarkEnd w:id="0"/>
    </w:p>
    <w:p w:rsidR="00B637E0" w:rsidRPr="00F03414" w:rsidP="00B637E0" w14:paraId="0A74EAF8" w14:textId="306880FC">
      <w:pPr>
        <w:pStyle w:val="ATHeading2"/>
      </w:pPr>
      <w:bookmarkStart w:id="1" w:name="title"/>
      <w:r w:rsidRPr="00F03414">
        <w:t>A Nikola Minchev mentelmi jogának felfüggesztésére irányuló kérelem</w:t>
      </w:r>
      <w:bookmarkEnd w:id="1"/>
    </w:p>
    <w:p w:rsidR="008F0275" w:rsidRPr="00F03414" w:rsidP="008F0275" w14:paraId="1D8BFEF8" w14:textId="77777777">
      <w:pPr>
        <w:rPr>
          <w:i/>
          <w:vanish/>
        </w:rPr>
      </w:pPr>
      <w:r>
        <w:rPr>
          <w:i/>
        </w:rPr>
        <w:fldChar w:fldCharType="begin"/>
      </w:r>
      <w:r w:rsidRPr="00F03414">
        <w:rPr>
          <w:i/>
        </w:rPr>
        <w:instrText xml:space="preserve"> TC"(</w:instrText>
      </w:r>
      <w:bookmarkStart w:id="2" w:name="DocNumber"/>
      <w:r w:rsidRPr="00F03414">
        <w:rPr>
          <w:i/>
        </w:rPr>
        <w:instrText>A10-0155/2026</w:instrText>
      </w:r>
      <w:bookmarkEnd w:id="2"/>
      <w:r w:rsidRPr="00F03414">
        <w:rPr>
          <w:i/>
        </w:rPr>
        <w:instrText xml:space="preserve"> - Előadó: Ilhan Kyuchyuk)"\l3 \n&gt; \* MERGEFORMAT </w:instrText>
      </w:r>
      <w:r>
        <w:rPr>
          <w:i/>
        </w:rPr>
        <w:fldChar w:fldCharType="end"/>
      </w:r>
    </w:p>
    <w:p w:rsidR="008F0275" w:rsidRPr="00F03414" w:rsidP="008F0275" w14:paraId="1EC13EFF" w14:textId="77777777">
      <w:pPr>
        <w:rPr>
          <w:vanish/>
        </w:rPr>
      </w:pPr>
      <w:bookmarkStart w:id="3" w:name="Commission"/>
      <w:r w:rsidRPr="00F03414">
        <w:rPr>
          <w:vanish/>
        </w:rPr>
        <w:t>Jogi Bizottság</w:t>
      </w:r>
      <w:bookmarkEnd w:id="3"/>
    </w:p>
    <w:p w:rsidR="008F0275" w:rsidRPr="00F03414" w:rsidP="008F0275" w14:paraId="769A7A60" w14:textId="77777777">
      <w:pPr>
        <w:rPr>
          <w:vanish/>
        </w:rPr>
      </w:pPr>
      <w:bookmarkStart w:id="4" w:name="PE"/>
      <w:r w:rsidRPr="00F03414">
        <w:rPr>
          <w:vanish/>
        </w:rPr>
        <w:t>PE782.200</w:t>
      </w:r>
      <w:bookmarkEnd w:id="4"/>
    </w:p>
    <w:p w:rsidR="008F0275" w:rsidRPr="00F03414" w:rsidP="008F0275" w14:paraId="1F55A87E" w14:textId="3F410547">
      <w:pPr>
        <w:pStyle w:val="ATHeading3"/>
      </w:pPr>
      <w:bookmarkStart w:id="5" w:name="Sujet"/>
      <w:r w:rsidRPr="00F03414">
        <w:t xml:space="preserve">Az Európai Parlament 2026. </w:t>
      </w:r>
      <w:r w:rsidRPr="00F03414" w:rsidR="00B637E0">
        <w:t>június</w:t>
      </w:r>
      <w:r w:rsidRPr="00F03414">
        <w:t xml:space="preserve"> </w:t>
      </w:r>
      <w:r w:rsidRPr="00F03414" w:rsidR="00127833">
        <w:t>16-</w:t>
      </w:r>
      <w:r w:rsidRPr="00F03414">
        <w:t>i határozata a Nikola Minchev mentelmi jogának felfüggesztésére irányuló kérelemről</w:t>
      </w:r>
      <w:bookmarkEnd w:id="5"/>
      <w:r w:rsidRPr="00F03414">
        <w:t xml:space="preserve"> </w:t>
      </w:r>
      <w:bookmarkStart w:id="6" w:name="References"/>
      <w:r w:rsidRPr="00F03414">
        <w:t>(2025/2100(IMM))</w:t>
      </w:r>
      <w:bookmarkEnd w:id="6"/>
    </w:p>
    <w:p w:rsidR="00FE4264" w:rsidRPr="00F03414" w:rsidP="00FE4264" w14:paraId="5ADAD15E" w14:textId="77777777">
      <w:pPr>
        <w:pStyle w:val="EPComma"/>
        <w:rPr>
          <w:i/>
          <w:iCs/>
        </w:rPr>
      </w:pPr>
      <w:bookmarkStart w:id="7" w:name="TextBodyBegin"/>
      <w:bookmarkEnd w:id="7"/>
      <w:r w:rsidRPr="00F03414">
        <w:rPr>
          <w:i/>
          <w:iCs/>
        </w:rPr>
        <w:t>Az Európai Parlament,</w:t>
      </w:r>
    </w:p>
    <w:p w:rsidR="00FE4264" w:rsidRPr="00F03414" w:rsidP="000F7CB0" w14:paraId="179EF724" w14:textId="485BC58C">
      <w:pPr>
        <w:pStyle w:val="NormalHanging12a"/>
        <w:widowControl/>
      </w:pPr>
      <w:r w:rsidRPr="00F03414">
        <w:t>–</w:t>
      </w:r>
      <w:r w:rsidRPr="00F03414">
        <w:tab/>
      </w:r>
      <w:bookmarkStart w:id="8" w:name="_Hlk231477072"/>
      <w:r w:rsidRPr="00F03414">
        <w:t>tekintettel a belga szövetségi ügyészségnek a Nikola Minchev ellen folytatott büntetőeljárással összefüggésben benyújtott 2025. április 16-i, a belga szövetségi külügyi, külkereskedelmi és fejlesztési együttműködési minisztérium 2025. május 6-i levelében eljuttatott, és 2025. május 21-én a Parlamentben bejelentett, a Nikola Minchev mentelmi jogának felfüggesztésére irányuló kérelemre,</w:t>
      </w:r>
    </w:p>
    <w:p w:rsidR="00FE4264" w:rsidRPr="00F03414" w:rsidP="000F7CB0" w14:paraId="487BDA72" w14:textId="03B66973">
      <w:pPr>
        <w:pStyle w:val="NormalHanging12a"/>
        <w:widowControl/>
        <w:rPr>
          <w:bCs/>
        </w:rPr>
      </w:pPr>
      <w:r w:rsidRPr="00F03414">
        <w:t>–</w:t>
      </w:r>
      <w:r w:rsidRPr="00F03414">
        <w:tab/>
      </w:r>
      <w:bookmarkStart w:id="9" w:name="_Hlk225077637"/>
      <w:r w:rsidRPr="00F03414">
        <w:t>tekintettel a szövetségi ügyész és a vizsgálóbíró által a 2025. július 15-i eszmecsere során szolgáltatott kiegészítő információkra, valamint az újabb írásbeli információkérést követően</w:t>
      </w:r>
      <w:r w:rsidRPr="00F03414" w:rsidR="00127833">
        <w:t xml:space="preserve">, a szövetségi ügyész </w:t>
      </w:r>
      <w:r w:rsidRPr="00F03414">
        <w:t xml:space="preserve"> 2025. szeptember 18-án adott válasz</w:t>
      </w:r>
      <w:r w:rsidRPr="00F03414" w:rsidR="00127833">
        <w:t>á</w:t>
      </w:r>
      <w:r w:rsidRPr="00F03414">
        <w:t xml:space="preserve">ra, tekintettel arra, hogy a képviselő mentelmi jogának felfüggesztésére irányuló kérelemnek </w:t>
      </w:r>
      <w:bookmarkStart w:id="10" w:name="_Hlk225077824"/>
      <w:r w:rsidRPr="00F03414">
        <w:t>meg kell felelnie bizonyos</w:t>
      </w:r>
      <w:bookmarkEnd w:id="10"/>
      <w:r w:rsidRPr="00F03414">
        <w:t xml:space="preserve"> normáknak, nevezetesen azt egyértelműen kell megfogalmazni, többek között a kérelem alapjául szolgáló jogi keret tekintetében, és egyértelmű és elegendő elemet és információt kell tartalmaznia ahhoz, hogy a Parlament megvizsgálhassa a kérelmet annak érdekében, hogy következtetést vonhasson le, és e vizsgálatot a lehető leggyorsabban lezárhassa, figyelembe véve az ügy viszonylagos összetettségét is,</w:t>
      </w:r>
      <w:bookmarkEnd w:id="9"/>
    </w:p>
    <w:p w:rsidR="00FE4264" w:rsidRPr="00F03414" w:rsidP="000F7CB0" w14:paraId="5278345C" w14:textId="2DE69E2F">
      <w:pPr>
        <w:pStyle w:val="NormalHanging12a"/>
        <w:widowControl/>
      </w:pPr>
      <w:r w:rsidRPr="00F03414">
        <w:t>–</w:t>
      </w:r>
      <w:r w:rsidRPr="00F03414">
        <w:tab/>
        <w:t>miután eljárási szabályzata 9. cikke (6) bekezdésének megfelelően 202</w:t>
      </w:r>
      <w:r w:rsidR="00597A63">
        <w:t>5</w:t>
      </w:r>
      <w:r w:rsidRPr="00F03414">
        <w:t>. december 3-án meghallgatta Nikola Minchevet,</w:t>
      </w:r>
    </w:p>
    <w:p w:rsidR="00FE4264" w:rsidRPr="00F03414" w:rsidP="000F7CB0" w14:paraId="687D8B4E" w14:textId="77777777">
      <w:pPr>
        <w:pStyle w:val="NormalHanging12a"/>
        <w:widowControl/>
      </w:pPr>
      <w:r w:rsidRPr="00F03414">
        <w:t>–</w:t>
      </w:r>
      <w:r w:rsidRPr="00F03414">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FE4264" w:rsidRPr="00F03414" w:rsidP="000F7CB0" w14:paraId="33562007" w14:textId="77777777">
      <w:pPr>
        <w:pStyle w:val="NormalHanging12a"/>
        <w:widowControl/>
      </w:pPr>
      <w:r w:rsidRPr="00F03414">
        <w:t>–</w:t>
      </w:r>
      <w:r w:rsidRPr="00F03414">
        <w:tab/>
        <w:t>tekintettel az Európai Unió Bírósága által 2008. október 21-én, 2010. március 19-én, 2011. szeptember 6-án, 2013. január 17-én és 2019. december 19-én hozott ítéletekre</w:t>
      </w:r>
      <w:r>
        <w:rPr>
          <w:vertAlign w:val="superscript"/>
        </w:rPr>
        <w:footnoteReference w:id="2"/>
      </w:r>
      <w:r w:rsidRPr="00F03414">
        <w:t>,</w:t>
      </w:r>
    </w:p>
    <w:p w:rsidR="00FE4264" w:rsidRPr="00F03414" w:rsidP="000F7CB0" w14:paraId="0A178D94" w14:textId="77777777">
      <w:pPr>
        <w:pStyle w:val="NormalHanging12a"/>
        <w:widowControl/>
      </w:pPr>
      <w:r w:rsidRPr="00F03414">
        <w:t>–</w:t>
      </w:r>
      <w:r w:rsidRPr="00F03414">
        <w:tab/>
        <w:t>tekintettel eljárási szabályzata 5. cikkének (2) bekezdésére, 6. cikkének (1) bekezdésére és 9. cikkére,</w:t>
      </w:r>
    </w:p>
    <w:p w:rsidR="00FE4264" w:rsidRPr="00F03414" w:rsidP="000F7CB0" w14:paraId="449F22DC" w14:textId="77777777">
      <w:pPr>
        <w:pStyle w:val="NormalHanging12a"/>
        <w:widowControl/>
      </w:pPr>
      <w:r w:rsidRPr="00F03414">
        <w:t>–</w:t>
      </w:r>
      <w:r w:rsidRPr="00F03414">
        <w:tab/>
        <w:t>tekintettel a Jogi Bizottság jelentésére (A10-0155/2026),</w:t>
      </w:r>
    </w:p>
    <w:p w:rsidR="00FE4264" w:rsidRPr="00F03414" w:rsidP="000F7CB0" w14:paraId="28091F53" w14:textId="3F50EE73">
      <w:pPr>
        <w:pStyle w:val="NormalHanging12a"/>
        <w:widowControl/>
      </w:pPr>
      <w:r w:rsidRPr="00F03414">
        <w:t>A.</w:t>
      </w:r>
      <w:r w:rsidRPr="00F03414">
        <w:tab/>
        <w:t xml:space="preserve">mivel </w:t>
      </w:r>
      <w:r w:rsidRPr="00F03414" w:rsidR="00127833">
        <w:t xml:space="preserve">2025. május 6-án a belga szövetségi külügyi, külkereskedelmi és fejlesztési együttműködési minisztérium továbbította </w:t>
      </w:r>
      <w:r w:rsidRPr="00F03414">
        <w:t xml:space="preserve">a szövetségi ügyész </w:t>
      </w:r>
      <w:r w:rsidRPr="00F03414" w:rsidR="00127833">
        <w:t xml:space="preserve">2025. április 16-i kérelmét </w:t>
      </w:r>
      <w:r w:rsidRPr="00F03414">
        <w:t>Nikola Minchev</w:t>
      </w:r>
      <w:r w:rsidRPr="00F03414" w:rsidR="00127833">
        <w:t>,</w:t>
      </w:r>
      <w:r w:rsidRPr="00F03414">
        <w:t xml:space="preserve"> Bulgáriában megválasztott európai parlamenti képviselő mentelmi jogának felfüggesztés</w:t>
      </w:r>
      <w:r w:rsidRPr="00F03414" w:rsidR="00DE4A4F">
        <w:t>e iránt, a vele</w:t>
      </w:r>
      <w:r w:rsidRPr="00F03414" w:rsidR="00127833">
        <w:t xml:space="preserve"> szemben indítandó büntetőeljárással összefüggésben</w:t>
      </w:r>
      <w:r w:rsidRPr="00F03414">
        <w:t>;</w:t>
      </w:r>
    </w:p>
    <w:p w:rsidR="00FE4264" w:rsidRPr="00F03414" w:rsidP="000F7CB0" w14:paraId="01037EFC" w14:textId="73F283C2">
      <w:pPr>
        <w:pStyle w:val="NormalHanging12a"/>
        <w:widowControl/>
      </w:pPr>
      <w:r w:rsidRPr="00F03414">
        <w:t>B.</w:t>
      </w:r>
      <w:r w:rsidRPr="00F03414">
        <w:tab/>
      </w:r>
      <w:bookmarkStart w:id="11" w:name="_Hlk229403782"/>
      <w:bookmarkStart w:id="12" w:name="_Hlk228968475"/>
      <w:bookmarkStart w:id="13" w:name="_Hlk223949179"/>
      <w:r w:rsidRPr="00F03414">
        <w:t xml:space="preserve">mivel a Huawei vállalattal kapcsolatos széles körű vizsgálat állítólag komoly bizonyítékot szolgáltatott egy olyan bűnszervezet létezésére, amelynek célja </w:t>
      </w:r>
      <w:r w:rsidRPr="00F03414" w:rsidR="00DE4A4F">
        <w:t xml:space="preserve">feltételezhetően </w:t>
      </w:r>
      <w:r w:rsidRPr="00F03414">
        <w:t>az volt, hogy az európai parlamenti képviselők megvesztegetése révén befolyásolja az uniós intézmények döntéseit</w:t>
      </w:r>
      <w:bookmarkEnd w:id="11"/>
      <w:r w:rsidRPr="00F03414">
        <w:t xml:space="preserve">; mivel úgy tűnik, hogy ez a vizsgálat számos állítólagos korrupciós cselekményre derített fényt, amelyeket 2021 és 2024 között feltehetően rendszeresen követtek el; mivel a korrupciós rendszer </w:t>
      </w:r>
      <w:r w:rsidRPr="00F03414" w:rsidR="00DE4A4F">
        <w:t xml:space="preserve">feltételezhetően </w:t>
      </w:r>
      <w:r w:rsidRPr="00F03414">
        <w:t xml:space="preserve">különböző formákat öltött, </w:t>
      </w:r>
      <w:bookmarkStart w:id="14" w:name="_Hlk229403810"/>
      <w:r w:rsidRPr="00F03414">
        <w:t>beleértve az európai parlamenti képviselők meghívását a Huawei által támogatott eseményekre, állítólag azért cserébe, hogy az e vállalatnak kedvező politikai álláspontot képviseljenek, valamint túlságosan értékes ajándékok átadását, például az étkezési és utazási költségek fedezését vagy labdarúgó-mérkőzésekre való, az Európai Parlament keretein kívül történő rendszeres meghívásokat</w:t>
      </w:r>
      <w:bookmarkEnd w:id="12"/>
      <w:bookmarkEnd w:id="14"/>
      <w:r w:rsidRPr="00F03414">
        <w:t>;</w:t>
      </w:r>
      <w:bookmarkEnd w:id="13"/>
    </w:p>
    <w:p w:rsidR="00FE4264" w:rsidRPr="00F03414" w:rsidP="000F7CB0" w14:paraId="7E2B3620" w14:textId="39B59EBD">
      <w:pPr>
        <w:pStyle w:val="NormalHanging12a"/>
        <w:widowControl/>
      </w:pPr>
      <w:r w:rsidRPr="00F03414">
        <w:t>C.</w:t>
      </w:r>
      <w:r w:rsidRPr="00F03414">
        <w:tab/>
        <w:t xml:space="preserve">mivel a mentelmi jog felfüggesztésére irányuló kérelem szerint Nikola Minchev 2024. október 24-én akkreditált parlamenti asszisztensével, a Huawei két képviselőjével és egy másik személlyel együtt megtekintett egy labdarúgó-mérkőzést egy brüsszeli stadionban; mivel a kérelem szerint a fent említett személyek egy a Huawei által állítólag egy közvetítő vállalaton keresztül szezononként 45 000 EUR költséggel kibérelt páholyban voltak jelen, amelyet a Huawei </w:t>
      </w:r>
      <w:r w:rsidRPr="00F03414" w:rsidR="00127833">
        <w:t xml:space="preserve">állítólag </w:t>
      </w:r>
      <w:r w:rsidRPr="00F03414">
        <w:t>azzal a céllal bérelt, hogy megkönnyítse a kapcsolattartást egyes európai parlamenti képviselőkkel; mivel úgy tűnik, hogy Nikola Minchev nem jelentette be az Európai Parlamentnek a labdarúgó-mérkőzésen való részvétel költségeinek megtérítését, amelynek pontos összegét a mentelmi jog felfüggesztését kérő hatóság nem ismerte; mivel a szövetségi ügyész által szolgáltatott kiegészítő információk szerint 2024. július 16-án Nikola Minchev a Huawei egyik vezetőjével együtt részt vett egy vacsorán is, amelyet a Huawei két képviselőjének egyike szervezett;</w:t>
      </w:r>
    </w:p>
    <w:p w:rsidR="00FE4264" w:rsidRPr="00F03414" w:rsidP="000F7CB0" w14:paraId="5AC86CC0" w14:textId="6D3A5414">
      <w:pPr>
        <w:pStyle w:val="NormalHanging12a"/>
        <w:widowControl/>
      </w:pPr>
      <w:r w:rsidRPr="00F03414">
        <w:t>D.</w:t>
      </w:r>
      <w:r w:rsidRPr="00F03414">
        <w:tab/>
        <w:t xml:space="preserve">mivel csak a szövetségi ügyész által a további információk iránti írásbeli </w:t>
      </w:r>
      <w:r w:rsidRPr="00F03414" w:rsidR="00B93080">
        <w:t xml:space="preserve">megkeresésre </w:t>
      </w:r>
      <w:r w:rsidRPr="00F03414">
        <w:t xml:space="preserve">válaszul szolgáltatott kiegészítő információk jelezték, hogy Nikola Minchev állítólagos </w:t>
      </w:r>
      <w:r w:rsidRPr="00F03414">
        <w:t xml:space="preserve">cselekményei passzív </w:t>
      </w:r>
      <w:r w:rsidRPr="00F03414" w:rsidR="00B93080">
        <w:t xml:space="preserve">hivatali </w:t>
      </w:r>
      <w:r w:rsidRPr="00F03414">
        <w:t>vesztegetésnek minősülhet</w:t>
      </w:r>
      <w:r w:rsidRPr="00F03414" w:rsidR="00B93080">
        <w:t>nek</w:t>
      </w:r>
      <w:r w:rsidRPr="00F03414">
        <w:t>, ami a belga büntető törvénykönyv 246. cikkének (1) bekezdése szerinti bűncselekmény;</w:t>
      </w:r>
    </w:p>
    <w:p w:rsidR="00FE4264" w:rsidRPr="00F03414" w:rsidP="000F7CB0" w14:paraId="5600E22F" w14:textId="4E6A6669">
      <w:pPr>
        <w:pStyle w:val="NormalHanging12a"/>
        <w:widowControl/>
      </w:pPr>
      <w:r w:rsidRPr="00F03414">
        <w:t>E.</w:t>
      </w:r>
      <w:r w:rsidRPr="00F03414">
        <w:tab/>
        <w:t>mivel Nikola Minchevet a 2024. júniusi európai választásokon az Európai Parlament képviselőjévé</w:t>
      </w:r>
      <w:r w:rsidRPr="00F03414" w:rsidR="00B637E0">
        <w:t xml:space="preserve"> választották</w:t>
      </w:r>
      <w:r w:rsidRPr="00F03414">
        <w:t xml:space="preserve">, </w:t>
      </w:r>
      <w:r w:rsidRPr="00F03414" w:rsidR="00127833">
        <w:t xml:space="preserve">ezért </w:t>
      </w:r>
      <w:r w:rsidRPr="00F03414">
        <w:t>az állítólagos bűncselekmények idején az Európai Parlament képviselője volt;</w:t>
      </w:r>
    </w:p>
    <w:p w:rsidR="00FE4264" w:rsidRPr="00F03414" w:rsidP="000F7CB0" w14:paraId="7AF1F625" w14:textId="6AE9D375">
      <w:pPr>
        <w:pStyle w:val="NormalHanging12a"/>
        <w:widowControl/>
      </w:pPr>
      <w:r w:rsidRPr="00F03414">
        <w:t>F.</w:t>
      </w:r>
      <w:r w:rsidRPr="00F03414">
        <w:tab/>
        <w:t xml:space="preserve">mivel a Parlament nem töltheti be bíróság szerepét, a mentelmi jog felfüggesztésére irányuló eljárásban az érintett képviselő </w:t>
      </w:r>
      <w:r w:rsidRPr="00F03414" w:rsidR="00B637E0">
        <w:t xml:space="preserve">pedig </w:t>
      </w:r>
      <w:r w:rsidRPr="00F03414">
        <w:t xml:space="preserve">nem tekinthető </w:t>
      </w:r>
      <w:r w:rsidRPr="00F03414" w:rsidR="00B93080">
        <w:t>„</w:t>
      </w:r>
      <w:r w:rsidRPr="00F03414">
        <w:t>vádlottnak</w:t>
      </w:r>
      <w:r w:rsidRPr="00F03414" w:rsidR="00B93080">
        <w:t>”</w:t>
      </w:r>
      <w:r>
        <w:rPr>
          <w:vertAlign w:val="superscript"/>
        </w:rPr>
        <w:footnoteReference w:id="3"/>
      </w:r>
      <w:r w:rsidRPr="00F03414">
        <w:t>;</w:t>
      </w:r>
    </w:p>
    <w:p w:rsidR="00FE4264" w:rsidRPr="00F03414" w:rsidP="000F7CB0" w14:paraId="2F7CD7D0" w14:textId="77777777">
      <w:pPr>
        <w:pStyle w:val="NormalHanging12a"/>
        <w:widowControl/>
      </w:pPr>
      <w:r w:rsidRPr="00F03414">
        <w:t>G.</w:t>
      </w:r>
      <w:r w:rsidRPr="00F03414">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FE4264" w:rsidRPr="00F03414" w:rsidP="000F7CB0" w14:paraId="63700F77" w14:textId="27622FDC">
      <w:pPr>
        <w:pStyle w:val="NormalHanging12a"/>
        <w:widowControl/>
      </w:pPr>
      <w:r w:rsidRPr="00F03414">
        <w:t>H.</w:t>
      </w:r>
      <w:r w:rsidRPr="00F03414">
        <w:tab/>
        <w:t>mivel eljárási szabályzata 5. cikkének (2) bekezdésével összhangban a parlamenti mentelmi jog nem a képviselők személyes kiváltsága, hanem a teljes Parlament és az egyes képviselők függetlenségének biztosítéka;</w:t>
      </w:r>
    </w:p>
    <w:p w:rsidR="00FE4264" w:rsidRPr="00F03414" w:rsidP="000F7CB0" w14:paraId="5D0E3E51" w14:textId="77777777">
      <w:pPr>
        <w:pStyle w:val="NormalHanging12a"/>
        <w:widowControl/>
      </w:pPr>
      <w:r w:rsidRPr="00F03414">
        <w:t>I.</w:t>
      </w:r>
      <w:r w:rsidRPr="00F03414">
        <w:tab/>
        <w:t>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 mivel az állítólagos bűncselekmény nem a Nikola Minchev által az említett jegyzőkönyv 8. cikke szerinti feladatainak ellátása során kifejtett véleményre vagy leadott szavazatra vonatkozik;</w:t>
      </w:r>
    </w:p>
    <w:p w:rsidR="00FE4264" w:rsidRPr="00F03414" w:rsidP="000F7CB0" w14:paraId="06798D75" w14:textId="7CD2C43D">
      <w:pPr>
        <w:pStyle w:val="NormalHanging12a"/>
        <w:widowControl/>
      </w:pPr>
      <w:r w:rsidRPr="00F03414">
        <w:t>J.</w:t>
      </w:r>
      <w:r w:rsidRPr="00F03414">
        <w:tab/>
        <w:t xml:space="preserve">mivel az Európai Unió kiváltságairól és mentességeiről szóló 7. jegyzőkönyv 9. cikke első bekezdésének b) pontja szerint </w:t>
      </w:r>
      <w:r w:rsidRPr="00F03414" w:rsidR="00B52FC3">
        <w:t>Európai Parlament ülésszakainak ideje alatt, az Európai Parlament tagjai</w:t>
      </w:r>
      <w:r w:rsidRPr="00F03414" w:rsidR="00B52FC3">
        <w:t xml:space="preserve"> </w:t>
      </w:r>
      <w:r w:rsidRPr="00F03414">
        <w:t>a saját tagállamuktól eltérő bármely tagállam területén mentességet élveznek mindenfajta őrizetbe vételre és bírósági eljárásra vonatkozó intézkedés alól;</w:t>
      </w:r>
    </w:p>
    <w:p w:rsidR="00FE4264" w:rsidRPr="00F03414" w:rsidP="000F7CB0" w14:paraId="003487CA" w14:textId="136B9C6F">
      <w:pPr>
        <w:pStyle w:val="NormalHanging12a"/>
        <w:widowControl/>
      </w:pPr>
      <w:r w:rsidRPr="00F03414">
        <w:t>K.</w:t>
      </w:r>
      <w:r w:rsidRPr="00F03414">
        <w:tab/>
        <w:t>mivel a Nikola Minchev mentelmi jogával kapcsolatos bármely következtetést a mentelmi jog felfüggesztésére irányuló kérelem, valamint az ebben az ügyben szolgáltatott információk és magyarázatok alapján kell levonni, beleértve a szövetségi ügyész által az eszmecsere során adott válaszokat és az írásban benyújtott kiegészítő információkat is; mivel a mentelmi jog felfüggesztésére irányuló kérelemben kirívóan kevés konkrét elem szerepel; mivel a szövetségi ügyésszel ezt követően folytatott szóbeli és írásbeli eszmecserék nem oszlatták el a Nikola Minchev mentelmi jogának felfüggesztésére irányuló kérelemben foglalt különböző elemekkel kapcsolatos jelentős bizonytalanságot;</w:t>
      </w:r>
    </w:p>
    <w:p w:rsidR="00FE4264" w:rsidRPr="00F03414" w:rsidP="000F7CB0" w14:paraId="7A4A1264" w14:textId="77777777">
      <w:pPr>
        <w:pStyle w:val="NormalHanging12a"/>
        <w:widowControl/>
      </w:pPr>
      <w:r w:rsidRPr="00F03414">
        <w:t>L.</w:t>
      </w:r>
      <w:r w:rsidRPr="00F03414">
        <w:tab/>
        <w:t xml:space="preserve">mivel a fentiek alapján a benyújtott információk összessége nem tette lehetővé a Parlament számára, hogy biztosan kellően megalapozott döntést hozzon Nikola Minchev mentelmi jogának felfüggesztéséről; mivel a jelen ügy különböző elemeivel kapcsolatos jelentős bizonytalanság egyébiránt olyan jellegű lehet, amely a </w:t>
      </w:r>
      <w:r w:rsidRPr="00F03414">
        <w:rPr>
          <w:i/>
          <w:iCs/>
        </w:rPr>
        <w:t>fumus persecutionis</w:t>
      </w:r>
      <w:r w:rsidRPr="00F03414">
        <w:t xml:space="preserve"> fennállására utalhat;</w:t>
      </w:r>
    </w:p>
    <w:p w:rsidR="00FE4264" w:rsidRPr="00F03414" w:rsidP="000F7CB0" w14:paraId="06B08783" w14:textId="77777777">
      <w:pPr>
        <w:pStyle w:val="NormalHanging12a"/>
        <w:widowControl/>
      </w:pPr>
      <w:r w:rsidRPr="00F03414">
        <w:t>1.</w:t>
      </w:r>
      <w:r w:rsidRPr="00F03414">
        <w:tab/>
        <w:t>úgy határoz, hogy nem függeszti fel Nikola Minchev mentelmi jogát;</w:t>
      </w:r>
    </w:p>
    <w:p w:rsidR="00E365E1" w:rsidRPr="007549D2" w:rsidP="00F03414" w14:paraId="5BFF2CD1" w14:textId="15BF8604">
      <w:pPr>
        <w:pStyle w:val="NormalHanging12a"/>
        <w:widowControl/>
      </w:pPr>
      <w:r w:rsidRPr="00F03414">
        <w:t>2.</w:t>
      </w:r>
      <w:r w:rsidRPr="00F03414">
        <w:tab/>
        <w:t xml:space="preserve">utasítja elnökét, hogy haladéktalanul továbbítsa ezt a határozatot és </w:t>
      </w:r>
      <w:r w:rsidRPr="00F03414" w:rsidR="007A68EE">
        <w:t xml:space="preserve">az </w:t>
      </w:r>
      <w:r w:rsidRPr="00F03414">
        <w:t>illetékes bizottság jelentését a Belga Királyság illetékes hatóság</w:t>
      </w:r>
      <w:r w:rsidRPr="00F03414" w:rsidR="007A68EE">
        <w:t>ainak</w:t>
      </w:r>
      <w:r w:rsidRPr="00F03414">
        <w:t xml:space="preserve"> és Nikola Minchevnek.</w:t>
      </w:r>
      <w:bookmarkEnd w:id="8"/>
    </w:p>
    <w:sectPr w:rsidSect="007549D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12C6DF5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295077C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057F2DC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0275" w:rsidRPr="007549D2" w14:paraId="642DCE7F" w14:textId="77777777">
      <w:r w:rsidRPr="007549D2">
        <w:separator/>
      </w:r>
    </w:p>
  </w:footnote>
  <w:footnote w:type="continuationSeparator" w:id="1">
    <w:p w:rsidR="008F0275" w:rsidRPr="007549D2" w14:paraId="6022167C" w14:textId="77777777">
      <w:r w:rsidRPr="007549D2">
        <w:continuationSeparator/>
      </w:r>
    </w:p>
  </w:footnote>
  <w:footnote w:id="2">
    <w:p w:rsidR="00FE4264" w:rsidRPr="000F7CB0" w:rsidP="007549D2" w14:paraId="028199E7" w14:textId="7B4B55C4">
      <w:pPr>
        <w:pStyle w:val="FootnoteText"/>
        <w:ind w:left="567" w:hanging="567"/>
        <w:rPr>
          <w:sz w:val="24"/>
          <w:lang w:val="hu-HU"/>
        </w:rPr>
      </w:pPr>
      <w:r w:rsidRPr="000F7CB0">
        <w:rPr>
          <w:rStyle w:val="FootnoteReference"/>
          <w:sz w:val="24"/>
          <w:lang w:val="hu-HU"/>
        </w:rPr>
        <w:footnoteRef/>
      </w:r>
      <w:r w:rsidRPr="000F7CB0" w:rsidR="007549D2">
        <w:rPr>
          <w:sz w:val="24"/>
          <w:lang w:val="hu-HU"/>
        </w:rPr>
        <w:t xml:space="preserve"> </w:t>
      </w:r>
      <w:r w:rsidRPr="000F7CB0" w:rsidR="007549D2">
        <w:rPr>
          <w:sz w:val="24"/>
          <w:lang w:val="hu-HU"/>
        </w:rPr>
        <w:tab/>
      </w:r>
      <w:r w:rsidRPr="000F7CB0">
        <w:rPr>
          <w:sz w:val="24"/>
          <w:lang w:val="hu-HU"/>
        </w:rPr>
        <w:t>A Bíróság 2008. október 21-i ítélete, Marra kontra De Gregorio és Clemente, C 200/07. és C-201/07., ECLI:EU:C:2008:579; a Törvényszék 2010. március 19-i ítélete, Gollnisch kontra Európai Parlament, T-42/06, ECLI:EU:T:2010:102; a Bíróság 2011. szeptember 6-i ítélete, Patriciello-ügy, C-163/10, ECLI: EU:C:2011:543; a Törvényszék 2013. január 17-i ítélete, Gollnisch kontra Parlament, T-346/11 és T-347/11, ECLI:EU:T:2013:23; a Bíróság 2019. december 19-i ítélete, Junqueras Vies, C-502/19, ECLI:EU:C:2019:1115.</w:t>
      </w:r>
    </w:p>
  </w:footnote>
  <w:footnote w:id="3">
    <w:p w:rsidR="00FE4264" w:rsidRPr="000F7CB0" w:rsidP="007549D2" w14:paraId="40F9F275" w14:textId="16B8F330">
      <w:pPr>
        <w:pStyle w:val="FootnoteText"/>
        <w:ind w:left="567" w:hanging="567"/>
        <w:rPr>
          <w:sz w:val="24"/>
          <w:lang w:val="hu-HU"/>
        </w:rPr>
      </w:pPr>
      <w:r w:rsidRPr="000F7CB0">
        <w:rPr>
          <w:rStyle w:val="FootnoteReference"/>
          <w:sz w:val="24"/>
          <w:lang w:val="hu-HU"/>
        </w:rPr>
        <w:footnoteRef/>
      </w:r>
      <w:r w:rsidRPr="000F7CB0" w:rsidR="007549D2">
        <w:rPr>
          <w:sz w:val="24"/>
          <w:lang w:val="hu-HU"/>
        </w:rPr>
        <w:t xml:space="preserve"> </w:t>
      </w:r>
      <w:r w:rsidRPr="000F7CB0" w:rsidR="007549D2">
        <w:rPr>
          <w:sz w:val="24"/>
          <w:lang w:val="hu-HU"/>
        </w:rPr>
        <w:tab/>
      </w:r>
      <w:r w:rsidRPr="000F7CB0">
        <w:rPr>
          <w:sz w:val="24"/>
          <w:lang w:val="hu-HU"/>
        </w:rPr>
        <w:t>A Törvényszék 2019. április 30-i ítélete, Briois kontra Európai Parlament, T-214/18, ECLI:</w:t>
      </w:r>
      <w:r w:rsidRPr="000F7CB0">
        <w:rPr>
          <w:sz w:val="24"/>
          <w:lang w:val="hu-HU"/>
        </w:rPr>
        <w:t>EU:T</w:t>
      </w:r>
      <w:r w:rsidRPr="000F7CB0">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3F377C2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5637A63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49D2" w14:paraId="08DC784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8652668">
    <w:abstractNumId w:val="9"/>
  </w:num>
  <w:num w:numId="2" w16cid:durableId="1431970454">
    <w:abstractNumId w:val="9"/>
  </w:num>
  <w:num w:numId="3" w16cid:durableId="1948350746">
    <w:abstractNumId w:val="7"/>
  </w:num>
  <w:num w:numId="4" w16cid:durableId="1764691325">
    <w:abstractNumId w:val="7"/>
  </w:num>
  <w:num w:numId="5" w16cid:durableId="1879468813">
    <w:abstractNumId w:val="6"/>
  </w:num>
  <w:num w:numId="6" w16cid:durableId="536742913">
    <w:abstractNumId w:val="6"/>
  </w:num>
  <w:num w:numId="7" w16cid:durableId="1978413523">
    <w:abstractNumId w:val="5"/>
  </w:num>
  <w:num w:numId="8" w16cid:durableId="335234654">
    <w:abstractNumId w:val="5"/>
  </w:num>
  <w:num w:numId="9" w16cid:durableId="616067121">
    <w:abstractNumId w:val="4"/>
  </w:num>
  <w:num w:numId="10" w16cid:durableId="383527772">
    <w:abstractNumId w:val="4"/>
  </w:num>
  <w:num w:numId="11" w16cid:durableId="1150369298">
    <w:abstractNumId w:val="8"/>
  </w:num>
  <w:num w:numId="12" w16cid:durableId="181625826">
    <w:abstractNumId w:val="8"/>
  </w:num>
  <w:num w:numId="13" w16cid:durableId="542063640">
    <w:abstractNumId w:val="3"/>
  </w:num>
  <w:num w:numId="14" w16cid:durableId="708919308">
    <w:abstractNumId w:val="3"/>
  </w:num>
  <w:num w:numId="15" w16cid:durableId="1309557954">
    <w:abstractNumId w:val="2"/>
  </w:num>
  <w:num w:numId="16" w16cid:durableId="70351876">
    <w:abstractNumId w:val="2"/>
  </w:num>
  <w:num w:numId="17" w16cid:durableId="2045447809">
    <w:abstractNumId w:val="1"/>
  </w:num>
  <w:num w:numId="18" w16cid:durableId="446051418">
    <w:abstractNumId w:val="1"/>
  </w:num>
  <w:num w:numId="19" w16cid:durableId="603270091">
    <w:abstractNumId w:val="0"/>
  </w:num>
  <w:num w:numId="20" w16cid:durableId="224417806">
    <w:abstractNumId w:val="0"/>
  </w:num>
  <w:num w:numId="21" w16cid:durableId="534150068">
    <w:abstractNumId w:val="9"/>
  </w:num>
  <w:num w:numId="22" w16cid:durableId="281546104">
    <w:abstractNumId w:val="7"/>
  </w:num>
  <w:num w:numId="23" w16cid:durableId="546067192">
    <w:abstractNumId w:val="6"/>
  </w:num>
  <w:num w:numId="24" w16cid:durableId="1483080946">
    <w:abstractNumId w:val="5"/>
  </w:num>
  <w:num w:numId="25" w16cid:durableId="1185363150">
    <w:abstractNumId w:val="4"/>
  </w:num>
  <w:num w:numId="26" w16cid:durableId="1550610770">
    <w:abstractNumId w:val="8"/>
  </w:num>
  <w:num w:numId="27" w16cid:durableId="2056002853">
    <w:abstractNumId w:val="3"/>
  </w:num>
  <w:num w:numId="28" w16cid:durableId="1963799844">
    <w:abstractNumId w:val="2"/>
  </w:num>
  <w:num w:numId="29" w16cid:durableId="1970240920">
    <w:abstractNumId w:val="1"/>
  </w:num>
  <w:num w:numId="30" w16cid:durableId="1997873706">
    <w:abstractNumId w:val="0"/>
  </w:num>
  <w:num w:numId="31" w16cid:durableId="629172095">
    <w:abstractNumId w:val="9"/>
  </w:num>
  <w:num w:numId="32" w16cid:durableId="1959681201">
    <w:abstractNumId w:val="7"/>
  </w:num>
  <w:num w:numId="33" w16cid:durableId="1913001206">
    <w:abstractNumId w:val="6"/>
  </w:num>
  <w:num w:numId="34" w16cid:durableId="1740514455">
    <w:abstractNumId w:val="5"/>
  </w:num>
  <w:num w:numId="35" w16cid:durableId="1403798121">
    <w:abstractNumId w:val="4"/>
  </w:num>
  <w:num w:numId="36" w16cid:durableId="1171528567">
    <w:abstractNumId w:val="8"/>
  </w:num>
  <w:num w:numId="37" w16cid:durableId="1783837536">
    <w:abstractNumId w:val="3"/>
  </w:num>
  <w:num w:numId="38" w16cid:durableId="724640199">
    <w:abstractNumId w:val="2"/>
  </w:num>
  <w:num w:numId="39" w16cid:durableId="2105177622">
    <w:abstractNumId w:val="1"/>
  </w:num>
  <w:num w:numId="40" w16cid:durableId="387850622">
    <w:abstractNumId w:val="0"/>
  </w:num>
  <w:num w:numId="41" w16cid:durableId="716979075">
    <w:abstractNumId w:val="10"/>
  </w:num>
  <w:num w:numId="42" w16cid:durableId="1289509367">
    <w:abstractNumId w:val="10"/>
  </w:num>
  <w:num w:numId="43" w16cid:durableId="409274445">
    <w:abstractNumId w:val="10"/>
  </w:num>
  <w:num w:numId="44" w16cid:durableId="1846481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275"/>
    <w:rsid w:val="00002272"/>
    <w:rsid w:val="00064002"/>
    <w:rsid w:val="000677B9"/>
    <w:rsid w:val="000831BA"/>
    <w:rsid w:val="000A42CC"/>
    <w:rsid w:val="000E7DD9"/>
    <w:rsid w:val="000F7CB0"/>
    <w:rsid w:val="0010095E"/>
    <w:rsid w:val="00125B37"/>
    <w:rsid w:val="00127833"/>
    <w:rsid w:val="00187494"/>
    <w:rsid w:val="001F32AE"/>
    <w:rsid w:val="00236D96"/>
    <w:rsid w:val="002767FF"/>
    <w:rsid w:val="002B18FE"/>
    <w:rsid w:val="002B5493"/>
    <w:rsid w:val="00343214"/>
    <w:rsid w:val="00361C00"/>
    <w:rsid w:val="00395FA1"/>
    <w:rsid w:val="003E15D4"/>
    <w:rsid w:val="00411CCE"/>
    <w:rsid w:val="0041666E"/>
    <w:rsid w:val="00421060"/>
    <w:rsid w:val="00467F43"/>
    <w:rsid w:val="00471C19"/>
    <w:rsid w:val="004867E3"/>
    <w:rsid w:val="00494A28"/>
    <w:rsid w:val="004C0004"/>
    <w:rsid w:val="004C5D52"/>
    <w:rsid w:val="0050519A"/>
    <w:rsid w:val="005072A1"/>
    <w:rsid w:val="00514517"/>
    <w:rsid w:val="00545827"/>
    <w:rsid w:val="00560270"/>
    <w:rsid w:val="00597A63"/>
    <w:rsid w:val="005C2568"/>
    <w:rsid w:val="005F1B17"/>
    <w:rsid w:val="006037C0"/>
    <w:rsid w:val="006631B6"/>
    <w:rsid w:val="00680577"/>
    <w:rsid w:val="006F74FA"/>
    <w:rsid w:val="00731ADD"/>
    <w:rsid w:val="00734777"/>
    <w:rsid w:val="00747932"/>
    <w:rsid w:val="00751A4A"/>
    <w:rsid w:val="007549D2"/>
    <w:rsid w:val="00756632"/>
    <w:rsid w:val="00762C74"/>
    <w:rsid w:val="00786EC0"/>
    <w:rsid w:val="007A68EE"/>
    <w:rsid w:val="007D1690"/>
    <w:rsid w:val="007E22AD"/>
    <w:rsid w:val="00817416"/>
    <w:rsid w:val="00842779"/>
    <w:rsid w:val="00865F67"/>
    <w:rsid w:val="00881A7B"/>
    <w:rsid w:val="008840E5"/>
    <w:rsid w:val="00887B3E"/>
    <w:rsid w:val="008C2AC6"/>
    <w:rsid w:val="008F0275"/>
    <w:rsid w:val="00912059"/>
    <w:rsid w:val="00930C23"/>
    <w:rsid w:val="0093193B"/>
    <w:rsid w:val="009509D8"/>
    <w:rsid w:val="00950B64"/>
    <w:rsid w:val="00981893"/>
    <w:rsid w:val="00A1687D"/>
    <w:rsid w:val="00A43E52"/>
    <w:rsid w:val="00A4678D"/>
    <w:rsid w:val="00A778C7"/>
    <w:rsid w:val="00AB441E"/>
    <w:rsid w:val="00AB6293"/>
    <w:rsid w:val="00AD1BFC"/>
    <w:rsid w:val="00AE0928"/>
    <w:rsid w:val="00AF396B"/>
    <w:rsid w:val="00AF3B82"/>
    <w:rsid w:val="00B12E95"/>
    <w:rsid w:val="00B22876"/>
    <w:rsid w:val="00B52FC3"/>
    <w:rsid w:val="00B558F0"/>
    <w:rsid w:val="00B637E0"/>
    <w:rsid w:val="00B93080"/>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DE255D"/>
    <w:rsid w:val="00DE4A4F"/>
    <w:rsid w:val="00E365E1"/>
    <w:rsid w:val="00E820A4"/>
    <w:rsid w:val="00EB006A"/>
    <w:rsid w:val="00EB4772"/>
    <w:rsid w:val="00ED169E"/>
    <w:rsid w:val="00ED4235"/>
    <w:rsid w:val="00F03414"/>
    <w:rsid w:val="00F04346"/>
    <w:rsid w:val="00F075DC"/>
    <w:rsid w:val="00F149E9"/>
    <w:rsid w:val="00F5134D"/>
    <w:rsid w:val="00F74202"/>
    <w:rsid w:val="00F87713"/>
    <w:rsid w:val="00FB4360"/>
    <w:rsid w:val="00FD0C70"/>
    <w:rsid w:val="00FE4264"/>
  </w:rsids>
  <w:docVars>
    <w:docVar w:name="dvdocse" w:val="A10-0155/2026"/>
    <w:docVar w:name="dvlangue" w:val="HU"/>
    <w:docVar w:name="dvnumam" w:val="0"/>
    <w:docVar w:name="dvpe" w:val="782.200"/>
    <w:docVar w:name="dvrapporteur" w:val="Előadó: "/>
    <w:docVar w:name="dvtitre" w:val="Az Európai Parlament 2026.  ...-i határozata a Nikola Minchev mentelmi jogának felfüggesztésére irányuló kérelemről(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F54F92"/>
  <w15:chartTrackingRefBased/>
  <w15:docId w15:val="{E1EAAD93-52E9-4E14-A2EE-4A18CE35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4264"/>
    <w:pPr>
      <w:spacing w:after="240"/>
      <w:ind w:left="567" w:hanging="567"/>
    </w:pPr>
  </w:style>
  <w:style w:type="paragraph" w:customStyle="1" w:styleId="EPComma">
    <w:name w:val="EPComma"/>
    <w:basedOn w:val="Normal"/>
    <w:rsid w:val="00FE4264"/>
    <w:pPr>
      <w:spacing w:before="480" w:after="240"/>
    </w:pPr>
  </w:style>
  <w:style w:type="paragraph" w:styleId="Revision">
    <w:name w:val="Revision"/>
    <w:hidden/>
    <w:uiPriority w:val="99"/>
    <w:semiHidden/>
    <w:rsid w:val="00B637E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6948</Characters>
  <Application>Microsoft Office Word</Application>
  <DocSecurity>0</DocSecurity>
  <Lines>144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2026-07-15T14:05:00Z</dcterms:created>
  <dcterms:modified xsi:type="dcterms:W3CDTF">2026-07-15T14:05:00Z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A10-0155/2026</vt:lpwstr>
  </property>
  <property fmtid="{D5CDD505-2E9C-101B-9397-08002B2CF9AE}" pid="4" name="&lt;Type&gt;">
    <vt:lpwstr>RR</vt:lpwstr>
  </property>
</Properties>
</file>