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7D499CEB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456DE" w:rsidP="0010095E" w14:paraId="4468123E" w14:textId="77777777">
            <w:pPr>
              <w:pStyle w:val="EPName"/>
            </w:pPr>
            <w:r w:rsidRPr="00C456DE">
              <w:t>Parlamento europeo</w:t>
            </w:r>
          </w:p>
          <w:p w:rsidR="00751A4A" w:rsidRPr="00C456DE" w:rsidP="005F1B17" w14:paraId="6790A61E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456DE">
              <w:t>2024</w:t>
            </w:r>
            <w:r w:rsidRPr="00C456DE" w:rsidR="00817416">
              <w:t>-202</w:t>
            </w:r>
            <w:r w:rsidRPr="00C456D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C456DE" w:rsidP="0010095E" w14:paraId="3341C5AF" w14:textId="77777777">
            <w:pPr>
              <w:pStyle w:val="EPLogo"/>
            </w:pPr>
            <w:r w:rsidRPr="00C456DE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456DE" w:rsidP="004C5D52" w14:paraId="0C15D51E" w14:textId="77777777">
      <w:pPr>
        <w:pStyle w:val="LineTop"/>
      </w:pPr>
    </w:p>
    <w:p w:rsidR="00680577" w:rsidRPr="00C456DE" w:rsidP="00680577" w14:paraId="3C9D892F" w14:textId="77777777">
      <w:pPr>
        <w:pStyle w:val="EPBodyTA1"/>
      </w:pPr>
      <w:r w:rsidRPr="00C456DE">
        <w:t>TESTI APPROVATI</w:t>
      </w:r>
    </w:p>
    <w:p w:rsidR="00D058B8" w:rsidRPr="00C456DE" w:rsidP="00D058B8" w14:paraId="02A4AD24" w14:textId="77777777">
      <w:pPr>
        <w:pStyle w:val="LineBottom"/>
      </w:pPr>
    </w:p>
    <w:p w:rsidR="00317AFD" w:rsidRPr="00C456DE" w:rsidP="00317AFD" w14:paraId="0292E21F" w14:textId="452C32BC">
      <w:pPr>
        <w:pStyle w:val="ATHeading1"/>
      </w:pPr>
      <w:bookmarkStart w:id="0" w:name="TANumber"/>
      <w:r w:rsidRPr="00C456DE">
        <w:t>P10_</w:t>
      </w:r>
      <w:r w:rsidRPr="00C456DE">
        <w:t>TA(</w:t>
      </w:r>
      <w:r w:rsidRPr="00C456DE">
        <w:t>2026)0</w:t>
      </w:r>
      <w:r w:rsidRPr="00C456DE" w:rsidR="00C456DE">
        <w:t>195</w:t>
      </w:r>
      <w:bookmarkEnd w:id="0"/>
    </w:p>
    <w:p w:rsidR="00317AFD" w:rsidRPr="00C456DE" w:rsidP="00317AFD" w14:paraId="57F980E6" w14:textId="77777777">
      <w:pPr>
        <w:pStyle w:val="ATHeading2"/>
      </w:pPr>
      <w:bookmarkStart w:id="1" w:name="title"/>
      <w:r w:rsidRPr="00C456DE">
        <w:t xml:space="preserve">Richiesta di revoca dell'immunità di Nikola </w:t>
      </w:r>
      <w:r w:rsidRPr="00C456DE">
        <w:t>Minchev</w:t>
      </w:r>
      <w:bookmarkEnd w:id="1"/>
    </w:p>
    <w:p w:rsidR="00317AFD" w:rsidRPr="00C456DE" w:rsidP="00317AFD" w14:paraId="19D2ECE4" w14:textId="77777777">
      <w:pPr>
        <w:rPr>
          <w:i/>
          <w:vanish/>
        </w:rPr>
      </w:pPr>
      <w:r>
        <w:rPr>
          <w:i/>
        </w:rPr>
        <w:fldChar w:fldCharType="begin"/>
      </w:r>
      <w:r w:rsidRPr="00C456DE">
        <w:rPr>
          <w:i/>
        </w:rPr>
        <w:instrText xml:space="preserve"> TC"(</w:instrText>
      </w:r>
      <w:bookmarkStart w:id="2" w:name="DocNumber"/>
      <w:r w:rsidRPr="00C456DE">
        <w:rPr>
          <w:i/>
        </w:rPr>
        <w:instrText>A10-0155/2026</w:instrText>
      </w:r>
      <w:bookmarkEnd w:id="2"/>
      <w:r w:rsidRPr="00C456DE">
        <w:rPr>
          <w:i/>
        </w:rPr>
        <w:instrText xml:space="preserve"> - Relatore: Ilhan Kyuchyuk)"\l3 \n&gt; \* MERGEFORMAT </w:instrText>
      </w:r>
      <w:r>
        <w:rPr>
          <w:i/>
        </w:rPr>
        <w:fldChar w:fldCharType="end"/>
      </w:r>
    </w:p>
    <w:p w:rsidR="00317AFD" w:rsidRPr="00C456DE" w:rsidP="00317AFD" w14:paraId="4BD6A3E5" w14:textId="77777777">
      <w:pPr>
        <w:rPr>
          <w:vanish/>
        </w:rPr>
      </w:pPr>
      <w:bookmarkStart w:id="3" w:name="Commission"/>
      <w:r w:rsidRPr="00C456DE">
        <w:rPr>
          <w:vanish/>
        </w:rPr>
        <w:t>Commissione giuridica</w:t>
      </w:r>
      <w:bookmarkEnd w:id="3"/>
    </w:p>
    <w:p w:rsidR="00317AFD" w:rsidRPr="00C456DE" w:rsidP="00317AFD" w14:paraId="045A6375" w14:textId="77777777">
      <w:pPr>
        <w:rPr>
          <w:vanish/>
        </w:rPr>
      </w:pPr>
      <w:bookmarkStart w:id="4" w:name="PE"/>
      <w:r w:rsidRPr="00C456DE">
        <w:rPr>
          <w:vanish/>
        </w:rPr>
        <w:t>PE782.200</w:t>
      </w:r>
      <w:bookmarkEnd w:id="4"/>
    </w:p>
    <w:p w:rsidR="00317AFD" w:rsidRPr="00C456DE" w:rsidP="00317AFD" w14:paraId="1AA63C20" w14:textId="77777777">
      <w:pPr>
        <w:pStyle w:val="ATHeading3"/>
      </w:pPr>
      <w:bookmarkStart w:id="5" w:name="Sujet"/>
      <w:r w:rsidRPr="00C456DE">
        <w:t xml:space="preserve">Decisione del Parlamento europeo del 16 giugno 2026 sulla richiesta di revoca dell'immunità di Nikola </w:t>
      </w:r>
      <w:r w:rsidRPr="00C456DE">
        <w:t>Minchev</w:t>
      </w:r>
      <w:bookmarkEnd w:id="5"/>
      <w:r w:rsidRPr="00C456DE">
        <w:t xml:space="preserve"> </w:t>
      </w:r>
      <w:bookmarkStart w:id="6" w:name="References"/>
      <w:r w:rsidRPr="00C456DE">
        <w:t>(2025/2100(IMM))</w:t>
      </w:r>
      <w:bookmarkEnd w:id="6"/>
    </w:p>
    <w:p w:rsidR="00CB483F" w:rsidRPr="00C456DE" w:rsidP="0003421A" w14:paraId="73C9599B" w14:textId="77777777">
      <w:pPr>
        <w:pStyle w:val="NormalHanging12a"/>
        <w:spacing w:before="480"/>
      </w:pPr>
      <w:bookmarkStart w:id="7" w:name="TextBodyBegin"/>
      <w:bookmarkEnd w:id="7"/>
      <w:r w:rsidRPr="00C456DE">
        <w:rPr>
          <w:i/>
        </w:rPr>
        <w:t>Il Parlamento europeo</w:t>
      </w:r>
      <w:r w:rsidRPr="00C456DE">
        <w:t>,</w:t>
      </w:r>
    </w:p>
    <w:p w:rsidR="00CB483F" w:rsidRPr="00C456DE" w:rsidP="00CB483F" w14:paraId="0E7F8B51" w14:textId="55D6E958">
      <w:pPr>
        <w:pStyle w:val="NormalHanging12a"/>
      </w:pPr>
      <w:r w:rsidRPr="00C456DE">
        <w:t>–</w:t>
      </w:r>
      <w:r w:rsidRPr="00C456DE">
        <w:tab/>
      </w:r>
      <w:bookmarkStart w:id="8" w:name="_Hlk231477072"/>
      <w:r w:rsidRPr="00C456DE">
        <w:t xml:space="preserve">vista la richiesta di revoca dell'immunità di Nikola </w:t>
      </w:r>
      <w:r w:rsidRPr="00C456DE">
        <w:t>Minchev</w:t>
      </w:r>
      <w:r w:rsidRPr="00C456DE">
        <w:t xml:space="preserve">, ricevuta con lettera in data 6 maggio 2025 del </w:t>
      </w:r>
      <w:r w:rsidRPr="00C456DE" w:rsidR="00F109CE">
        <w:t>s</w:t>
      </w:r>
      <w:r w:rsidRPr="00C456DE">
        <w:t xml:space="preserve">ervizio pubblico federale belga </w:t>
      </w:r>
      <w:r w:rsidRPr="00C456DE" w:rsidR="00DB124E">
        <w:t xml:space="preserve">per </w:t>
      </w:r>
      <w:r w:rsidRPr="00C456DE">
        <w:t xml:space="preserve">gli </w:t>
      </w:r>
      <w:r w:rsidRPr="00C456DE" w:rsidR="002528C2">
        <w:t>a</w:t>
      </w:r>
      <w:r w:rsidRPr="00C456DE">
        <w:t xml:space="preserve">ffari esteri, </w:t>
      </w:r>
      <w:r w:rsidRPr="00C456DE" w:rsidR="00DB124E">
        <w:t>i</w:t>
      </w:r>
      <w:r w:rsidRPr="00C456DE">
        <w:t xml:space="preserve">l commercio estero e la cooperazione allo sviluppo, recante una richiesta della </w:t>
      </w:r>
      <w:r w:rsidRPr="00C456DE" w:rsidR="00F109CE">
        <w:t>p</w:t>
      </w:r>
      <w:r w:rsidRPr="00C456DE">
        <w:t xml:space="preserve">rocura belga, in data 16 aprile 2025, nel quadro di un procedimento penale da avviare a carico di Nikola </w:t>
      </w:r>
      <w:r w:rsidRPr="00C456DE">
        <w:t>Minchev</w:t>
      </w:r>
      <w:r w:rsidRPr="00C456DE">
        <w:t>, e comunicata in Aula il 21 maggio 2025,</w:t>
      </w:r>
    </w:p>
    <w:p w:rsidR="00CB483F" w:rsidRPr="00C456DE" w:rsidP="00CB483F" w14:paraId="4E106D94" w14:textId="7DBE6E02">
      <w:pPr>
        <w:pStyle w:val="NormalHanging12a"/>
        <w:rPr>
          <w:bCs/>
        </w:rPr>
      </w:pPr>
      <w:r w:rsidRPr="00C456DE">
        <w:t>–</w:t>
      </w:r>
      <w:r w:rsidRPr="00C456DE">
        <w:tab/>
      </w:r>
      <w:bookmarkStart w:id="9" w:name="_Hlk225077637"/>
      <w:r w:rsidRPr="00C456DE">
        <w:t xml:space="preserve">viste le informazioni supplementari fornite il 15 luglio 2025 dal procuratore federale e dal giudice istruttore </w:t>
      </w:r>
      <w:r w:rsidRPr="00C456DE" w:rsidR="002528C2">
        <w:t>nel corso di</w:t>
      </w:r>
      <w:r w:rsidRPr="00C456DE">
        <w:t xml:space="preserve"> uno scambio di opinioni e la risposta del 18 settembre 2025 </w:t>
      </w:r>
      <w:r w:rsidRPr="00C456DE" w:rsidR="00DB124E">
        <w:t>d</w:t>
      </w:r>
      <w:r w:rsidRPr="00C456DE" w:rsidR="002528C2">
        <w:t>a parte d</w:t>
      </w:r>
      <w:r w:rsidRPr="00C456DE" w:rsidR="00DB124E">
        <w:t xml:space="preserve">el procuratore federale </w:t>
      </w:r>
      <w:r w:rsidRPr="00C456DE">
        <w:t>a seguito di un'ulteriore richiesta scritta di informazioni</w:t>
      </w:r>
      <w:r w:rsidRPr="00C456DE" w:rsidR="002528C2">
        <w:t>;</w:t>
      </w:r>
      <w:r w:rsidRPr="00C456DE">
        <w:t xml:space="preserve"> visto che una richiesta di revoca dell'immunità di un deputato </w:t>
      </w:r>
      <w:bookmarkStart w:id="10" w:name="_Hlk225077824"/>
      <w:r w:rsidRPr="00C456DE">
        <w:t>deve soddisfare determinati</w:t>
      </w:r>
      <w:bookmarkEnd w:id="10"/>
      <w:r w:rsidRPr="00C456DE">
        <w:t xml:space="preserve"> </w:t>
      </w:r>
      <w:r w:rsidRPr="00C456DE" w:rsidR="00A8586A">
        <w:t>requisiti</w:t>
      </w:r>
      <w:r w:rsidRPr="00C456DE">
        <w:t xml:space="preserve">, </w:t>
      </w:r>
      <w:r w:rsidRPr="00C456DE" w:rsidR="00A8586A">
        <w:t>in particol</w:t>
      </w:r>
      <w:r w:rsidRPr="00C456DE" w:rsidR="00C456DE">
        <w:t>a</w:t>
      </w:r>
      <w:r w:rsidRPr="00C456DE" w:rsidR="00A8586A">
        <w:t>re</w:t>
      </w:r>
      <w:r w:rsidRPr="00C456DE">
        <w:t xml:space="preserve"> </w:t>
      </w:r>
      <w:r w:rsidRPr="00C456DE" w:rsidR="00A8586A">
        <w:t xml:space="preserve">deve </w:t>
      </w:r>
      <w:r w:rsidRPr="00C456DE">
        <w:t xml:space="preserve">essere formulata in modo chiaro, anche per quanto riguarda il quadro giuridico su cui si basa la richiesta, e </w:t>
      </w:r>
      <w:r w:rsidRPr="00C456DE" w:rsidR="002528C2">
        <w:t xml:space="preserve">deve </w:t>
      </w:r>
      <w:r w:rsidRPr="00C456DE">
        <w:t>fornire elementi e informazioni chiari e sufficienti affinché il Parlamento sia in grado di esaminarla per poter giungere a una conclusione e ultimare l'esame il più rapidamente possibile, anche tenendo conto della relativa complessità del caso,</w:t>
      </w:r>
      <w:bookmarkEnd w:id="9"/>
    </w:p>
    <w:p w:rsidR="00CB483F" w:rsidRPr="00C456DE" w:rsidP="00CB483F" w14:paraId="6748A7B9" w14:textId="77777777">
      <w:pPr>
        <w:pStyle w:val="NormalHanging12a"/>
      </w:pPr>
      <w:r w:rsidRPr="00C456DE">
        <w:t>–</w:t>
      </w:r>
      <w:r w:rsidRPr="00C456DE">
        <w:tab/>
        <w:t xml:space="preserve">avendo ascoltato Nikola </w:t>
      </w:r>
      <w:r w:rsidRPr="00C456DE">
        <w:t>Minchev</w:t>
      </w:r>
      <w:r w:rsidRPr="00C456DE">
        <w:t xml:space="preserve"> il 3 dicembre 2025 a norma dell'articolo 9, paragrafo 6, del suo regolamento,</w:t>
      </w:r>
    </w:p>
    <w:p w:rsidR="00CB483F" w:rsidRPr="00C456DE" w:rsidP="00CB483F" w14:paraId="69573FB1" w14:textId="77777777">
      <w:pPr>
        <w:pStyle w:val="NormalHanging12a"/>
      </w:pPr>
      <w:r w:rsidRPr="00C456DE">
        <w:t>–</w:t>
      </w:r>
      <w:r w:rsidRPr="00C456DE">
        <w:tab/>
        <w:t>visti gli articoli 8 e 9 del protocollo n. 7 sui privilegi e sulle immunità dell'Unione europea e l'articolo 6, paragrafo 2, dell'atto relativo all'elezione dei membri del Parlamento europeo a suffragio universale diretto, del 20 settembre 1976,</w:t>
      </w:r>
    </w:p>
    <w:p w:rsidR="00CB483F" w:rsidRPr="00C456DE" w:rsidP="00CB483F" w14:paraId="5333612F" w14:textId="77777777">
      <w:pPr>
        <w:pStyle w:val="NormalHanging12a"/>
      </w:pPr>
      <w:r w:rsidRPr="00C456DE">
        <w:t>–</w:t>
      </w:r>
      <w:r w:rsidRPr="00C456DE">
        <w:tab/>
        <w:t xml:space="preserve">viste le sentenze pronunciate dalla Corte di giustizia dell'Unione europea il 21 ottobre </w:t>
      </w:r>
      <w:r w:rsidRPr="00C456DE">
        <w:t>2008, il 19 marzo 2010, il 6 settembre 2011, il 17 gennaio 2013 e il 19 dicembre 2019</w:t>
      </w:r>
      <w:r>
        <w:rPr>
          <w:vertAlign w:val="superscript"/>
        </w:rPr>
        <w:footnoteReference w:id="2"/>
      </w:r>
      <w:r w:rsidRPr="00C456DE">
        <w:t>,</w:t>
      </w:r>
    </w:p>
    <w:p w:rsidR="00CB483F" w:rsidRPr="00C456DE" w:rsidP="00CB483F" w14:paraId="752439E3" w14:textId="77777777">
      <w:pPr>
        <w:pStyle w:val="NormalHanging12a"/>
      </w:pPr>
      <w:r w:rsidRPr="00C456DE">
        <w:t>–</w:t>
      </w:r>
      <w:r w:rsidRPr="00C456DE">
        <w:tab/>
        <w:t>visti l'articolo 5, paragrafo 2, l'articolo 6, paragrafo 1, e l'articolo 9 del suo regolamento,</w:t>
      </w:r>
    </w:p>
    <w:p w:rsidR="00CB483F" w:rsidRPr="00C456DE" w:rsidP="00CB483F" w14:paraId="09CDB64D" w14:textId="77777777">
      <w:pPr>
        <w:pStyle w:val="NormalHanging12a"/>
      </w:pPr>
      <w:r w:rsidRPr="00C456DE">
        <w:t>–</w:t>
      </w:r>
      <w:r w:rsidRPr="00C456DE">
        <w:tab/>
        <w:t>vista la relazione della commissione giuridica (A10-0155/2026),</w:t>
      </w:r>
    </w:p>
    <w:p w:rsidR="00CB483F" w:rsidRPr="00C456DE" w:rsidP="00CB483F" w14:paraId="33D74CC3" w14:textId="44F0FC05">
      <w:pPr>
        <w:pStyle w:val="NormalHanging12a"/>
      </w:pPr>
      <w:r w:rsidRPr="00C456DE">
        <w:t>A.</w:t>
      </w:r>
      <w:r w:rsidRPr="00C456DE">
        <w:tab/>
        <w:t xml:space="preserve">considerando che il </w:t>
      </w:r>
      <w:bookmarkStart w:id="11" w:name="_Hlk210982066"/>
      <w:r w:rsidRPr="00C456DE" w:rsidR="00DB124E">
        <w:t>6 maggio 2025</w:t>
      </w:r>
      <w:bookmarkEnd w:id="11"/>
      <w:r w:rsidRPr="00C456DE">
        <w:t xml:space="preserve"> il </w:t>
      </w:r>
      <w:r w:rsidRPr="00C456DE" w:rsidR="00C74000">
        <w:t>s</w:t>
      </w:r>
      <w:r w:rsidRPr="00C456DE" w:rsidR="00DB124E">
        <w:t xml:space="preserve">ervizio pubblico federale per gli </w:t>
      </w:r>
      <w:r w:rsidRPr="00C456DE" w:rsidR="002528C2">
        <w:t>a</w:t>
      </w:r>
      <w:r w:rsidRPr="00C456DE" w:rsidR="00DB124E">
        <w:t>ffari esteri, il commercio estero e la cooperazione allo sviluppo ha trasmesso una richiesta del procuratore federale, datata 16 aprile 2025,</w:t>
      </w:r>
      <w:r w:rsidRPr="00C456DE">
        <w:t xml:space="preserve"> </w:t>
      </w:r>
      <w:r w:rsidRPr="00C456DE" w:rsidR="00DB124E">
        <w:t>di</w:t>
      </w:r>
      <w:r w:rsidRPr="00C456DE">
        <w:t xml:space="preserve"> revoca dell'immunità di Nikola </w:t>
      </w:r>
      <w:r w:rsidRPr="00C456DE">
        <w:t>Minchev</w:t>
      </w:r>
      <w:r w:rsidRPr="00C456DE">
        <w:t>, deputato al Parlamento europeo eletto in Bulgaria, nel quadro di un procedimento penale da avviare a suo carico;</w:t>
      </w:r>
    </w:p>
    <w:p w:rsidR="00CB483F" w:rsidRPr="00C456DE" w:rsidP="00CB483F" w14:paraId="65A8B5CC" w14:textId="09E7330E">
      <w:pPr>
        <w:pStyle w:val="NormalHanging12a"/>
      </w:pPr>
      <w:r w:rsidRPr="00C456DE">
        <w:t>B.</w:t>
      </w:r>
      <w:r w:rsidRPr="00C456DE">
        <w:tab/>
      </w:r>
      <w:bookmarkStart w:id="12" w:name="_Hlk229403782"/>
      <w:bookmarkStart w:id="13" w:name="_Hlk228968475"/>
      <w:bookmarkStart w:id="14" w:name="_Hlk223949179"/>
      <w:r w:rsidRPr="00C456DE">
        <w:t>considerando che da un</w:t>
      </w:r>
      <w:r w:rsidRPr="00C456DE" w:rsidR="00DB124E">
        <w:t>’ampia</w:t>
      </w:r>
      <w:r w:rsidRPr="00C456DE">
        <w:t xml:space="preserve"> indagine riguardante la società Huawei sarebbero emers</w:t>
      </w:r>
      <w:r w:rsidRPr="00C456DE" w:rsidR="00F109CE">
        <w:t>i</w:t>
      </w:r>
      <w:r w:rsidRPr="00C456DE">
        <w:t xml:space="preserve"> gravi </w:t>
      </w:r>
      <w:r w:rsidRPr="00C456DE" w:rsidR="00F109CE">
        <w:t>indizi circa</w:t>
      </w:r>
      <w:r w:rsidRPr="00C456DE">
        <w:t xml:space="preserve"> l'esistenza di un'organizzazione criminale il cui scopo sarebbe stato quello di influenzare le decisioni delle istituzioni dell'U</w:t>
      </w:r>
      <w:r w:rsidRPr="00C456DE" w:rsidR="00DB124E">
        <w:t>nione</w:t>
      </w:r>
      <w:r w:rsidRPr="00C456DE">
        <w:t xml:space="preserve"> dedicandosi alla corruzione di deputati al Parlamento europeo</w:t>
      </w:r>
      <w:bookmarkEnd w:id="12"/>
      <w:r w:rsidRPr="00C456DE">
        <w:t xml:space="preserve">; che </w:t>
      </w:r>
      <w:r w:rsidRPr="00C456DE" w:rsidR="00DB124E">
        <w:t xml:space="preserve">tale </w:t>
      </w:r>
      <w:r w:rsidRPr="00C456DE">
        <w:t xml:space="preserve">indagine sembrerebbe aver portato alla luce diversi atti di presunta corruzione che si presume siano stati commessi regolarmente dal 2021 al 2024; che il sistema corruttivo avrebbe assunto varie forme, </w:t>
      </w:r>
      <w:bookmarkStart w:id="15" w:name="_Hlk229403810"/>
      <w:r w:rsidRPr="00C456DE">
        <w:t xml:space="preserve">tra cui l'invito di deputati al Parlamento europeo a eventi finanziati da Huawei, presumibilmente in cambio dell'assunzione di posizioni politiche a favore di tale società, e doni eccessivi quali spese di vitto e viaggio o inviti </w:t>
      </w:r>
      <w:r w:rsidRPr="00C456DE" w:rsidR="00C74000">
        <w:t xml:space="preserve">ricorrenti </w:t>
      </w:r>
      <w:r w:rsidRPr="00C456DE">
        <w:t>a partite di calcio al di fuori del quadro del Parlamento europeo</w:t>
      </w:r>
      <w:bookmarkEnd w:id="13"/>
      <w:bookmarkEnd w:id="15"/>
      <w:r w:rsidRPr="00C456DE">
        <w:t>;</w:t>
      </w:r>
      <w:bookmarkEnd w:id="14"/>
    </w:p>
    <w:p w:rsidR="00CB483F" w:rsidRPr="00C456DE" w:rsidP="00CB483F" w14:paraId="14532E9A" w14:textId="4A36970D">
      <w:pPr>
        <w:pStyle w:val="NormalHanging12a"/>
      </w:pPr>
      <w:r w:rsidRPr="00C456DE">
        <w:t>C.</w:t>
      </w:r>
      <w:r w:rsidRPr="00C456DE">
        <w:tab/>
        <w:t xml:space="preserve">considerando che, in base alla richiesta di revoca dell'immunità, il 24 ottobre 2024 Nikola </w:t>
      </w:r>
      <w:r w:rsidRPr="00C456DE">
        <w:t>Minchev</w:t>
      </w:r>
      <w:r w:rsidRPr="00C456DE">
        <w:t xml:space="preserve"> ha </w:t>
      </w:r>
      <w:r w:rsidRPr="00C456DE" w:rsidR="00C74000">
        <w:t xml:space="preserve">assistito </w:t>
      </w:r>
      <w:r w:rsidRPr="00C456DE">
        <w:t xml:space="preserve">a una partita di calcio in uno stadio di Bruxelles, insieme al suo assistente parlamentare accreditato, due rappresentanti di Huawei e un'altra persona; che, sempre secondo la richiesta, </w:t>
      </w:r>
      <w:r w:rsidRPr="00C456DE" w:rsidR="00C74000">
        <w:t>hanno assistito alla partita</w:t>
      </w:r>
      <w:r w:rsidRPr="00C456DE">
        <w:t xml:space="preserve"> in una tribuna affittata da Huawei al costo di 45 000 EUR a stagione, presumibilmente tramite una società intermediaria, </w:t>
      </w:r>
      <w:r w:rsidRPr="00C456DE" w:rsidR="00DB124E">
        <w:t xml:space="preserve">presumibilmente </w:t>
      </w:r>
      <w:r w:rsidRPr="00C456DE">
        <w:t xml:space="preserve">al fine di facilitare i contatti con alcuni deputati al Parlamento europeo; che il rimborso delle spese sostenute per </w:t>
      </w:r>
      <w:r w:rsidRPr="00C456DE" w:rsidR="00C74000">
        <w:t xml:space="preserve">assistere </w:t>
      </w:r>
      <w:r w:rsidRPr="00C456DE">
        <w:t>alla partita di calcio</w:t>
      </w:r>
      <w:r w:rsidRPr="00C456DE" w:rsidR="00C74000">
        <w:t>,</w:t>
      </w:r>
      <w:r w:rsidRPr="00C456DE">
        <w:t xml:space="preserve"> il cui importo esatto non era noto all'autorità che ha chiesto la revoca dell'immunità</w:t>
      </w:r>
      <w:r w:rsidRPr="00C456DE" w:rsidR="00C74000">
        <w:t>,</w:t>
      </w:r>
      <w:r w:rsidRPr="00C456DE">
        <w:t xml:space="preserve"> non sembra essere stato dichiarato da Nikola </w:t>
      </w:r>
      <w:r w:rsidRPr="00C456DE">
        <w:t>Minchev</w:t>
      </w:r>
      <w:r w:rsidRPr="00C456DE">
        <w:t xml:space="preserve"> al Parlamento europeo; che, secondo le informazioni supplementari fornite dal procuratore federale, il 16 luglio 2024 Nikola </w:t>
      </w:r>
      <w:r w:rsidRPr="00C456DE">
        <w:t>Minchev</w:t>
      </w:r>
      <w:r w:rsidRPr="00C456DE">
        <w:t xml:space="preserve"> ha partecipato anche a una cena, insieme a un dirigente di Huawei, organizzata da uno dei due rappresentanti d</w:t>
      </w:r>
      <w:r w:rsidRPr="00C456DE" w:rsidR="00C74000">
        <w:t>i Huawei</w:t>
      </w:r>
      <w:r w:rsidRPr="00C456DE">
        <w:t>;</w:t>
      </w:r>
    </w:p>
    <w:p w:rsidR="00CB483F" w:rsidRPr="00C456DE" w:rsidP="00CB483F" w14:paraId="562F751A" w14:textId="794C25DA">
      <w:pPr>
        <w:pStyle w:val="NormalHanging12a"/>
      </w:pPr>
      <w:r w:rsidRPr="00C456DE">
        <w:t>D.</w:t>
      </w:r>
      <w:r w:rsidRPr="00C456DE">
        <w:tab/>
        <w:t xml:space="preserve">considerando che soltanto </w:t>
      </w:r>
      <w:r w:rsidRPr="00C456DE" w:rsidR="00DB124E">
        <w:t>dopo che i</w:t>
      </w:r>
      <w:r w:rsidRPr="00C456DE">
        <w:t>l procuratore federale</w:t>
      </w:r>
      <w:r w:rsidRPr="00C456DE" w:rsidR="00081734">
        <w:t xml:space="preserve"> ha fornito informazioni supplementari</w:t>
      </w:r>
      <w:r w:rsidRPr="00C456DE">
        <w:t>, in risposta a</w:t>
      </w:r>
      <w:r w:rsidRPr="00C456DE" w:rsidR="00C74000">
        <w:t xml:space="preserve"> una</w:t>
      </w:r>
      <w:r w:rsidRPr="00C456DE">
        <w:t xml:space="preserve"> richiesta scritta di maggiori informazioni, è emerso che le presunte azioni di Nikola </w:t>
      </w:r>
      <w:r w:rsidRPr="00C456DE">
        <w:t>Minchev</w:t>
      </w:r>
      <w:r w:rsidRPr="00C456DE">
        <w:t xml:space="preserve"> </w:t>
      </w:r>
      <w:r w:rsidRPr="00C456DE" w:rsidR="00081734">
        <w:t>potrebbero</w:t>
      </w:r>
      <w:r w:rsidRPr="00C456DE">
        <w:t xml:space="preserve"> configurare corruzione pubblica passiva, un reato ai sensi dell'articolo 246, paragrafo 1, del </w:t>
      </w:r>
      <w:r w:rsidRPr="00C456DE">
        <w:t>codice penale</w:t>
      </w:r>
      <w:r w:rsidRPr="00C456DE">
        <w:t xml:space="preserve"> belga;</w:t>
      </w:r>
    </w:p>
    <w:p w:rsidR="00CB483F" w:rsidRPr="00C456DE" w:rsidP="00CB483F" w14:paraId="75AC5842" w14:textId="7955174D">
      <w:pPr>
        <w:pStyle w:val="NormalHanging12a"/>
      </w:pPr>
      <w:r w:rsidRPr="00C456DE">
        <w:t>E.</w:t>
      </w:r>
      <w:r w:rsidRPr="00C456DE">
        <w:tab/>
        <w:t xml:space="preserve">considerando che Nikola </w:t>
      </w:r>
      <w:r w:rsidRPr="00C456DE">
        <w:t>Minchev</w:t>
      </w:r>
      <w:r w:rsidRPr="00C456DE">
        <w:t xml:space="preserve"> è stato eletto al Parlamento europeo alle elezioni europee del giugno 2024 e che</w:t>
      </w:r>
      <w:r w:rsidRPr="00C456DE" w:rsidR="00DD4A38">
        <w:t>,</w:t>
      </w:r>
      <w:r w:rsidRPr="00C456DE">
        <w:t xml:space="preserve"> </w:t>
      </w:r>
      <w:r w:rsidRPr="00C456DE" w:rsidR="00081734">
        <w:t>pertanto</w:t>
      </w:r>
      <w:r w:rsidRPr="00C456DE" w:rsidR="00DD4A38">
        <w:t>,</w:t>
      </w:r>
      <w:r w:rsidRPr="00C456DE" w:rsidR="00081734">
        <w:t xml:space="preserve"> </w:t>
      </w:r>
      <w:r w:rsidRPr="00C456DE">
        <w:t xml:space="preserve">era deputato al Parlamento europeo all'epoca </w:t>
      </w:r>
      <w:r w:rsidRPr="00C456DE">
        <w:t>dei presunti reati;</w:t>
      </w:r>
    </w:p>
    <w:p w:rsidR="00CB483F" w:rsidRPr="00C456DE" w:rsidP="00CB483F" w14:paraId="6FC2D8CE" w14:textId="77777777">
      <w:pPr>
        <w:pStyle w:val="NormalHanging12a"/>
      </w:pPr>
      <w:r w:rsidRPr="00C456DE">
        <w:t>F.</w:t>
      </w:r>
      <w:r w:rsidRPr="00C456DE">
        <w:tab/>
        <w:t>considerando, da un lato, che il Parlamento non dovrebbe essere assimilato a un tribunale e, dall'altro, che il deputato non dovrebbe, nel contesto di una procedura di revoca dell'immunità, essere considerato un "accusato"</w:t>
      </w:r>
      <w:r>
        <w:rPr>
          <w:vertAlign w:val="superscript"/>
        </w:rPr>
        <w:footnoteReference w:id="3"/>
      </w:r>
      <w:r w:rsidRPr="00C456DE">
        <w:t>;</w:t>
      </w:r>
    </w:p>
    <w:p w:rsidR="00CB483F" w:rsidRPr="00C456DE" w:rsidP="00CB483F" w14:paraId="2104485B" w14:textId="77777777">
      <w:pPr>
        <w:pStyle w:val="NormalHanging12a"/>
      </w:pPr>
      <w:r w:rsidRPr="00C456DE">
        <w:t>G.</w:t>
      </w:r>
      <w:r w:rsidRPr="00C456DE">
        <w:tab/>
        <w:t>considerando che l'immunità parlamentare prevista dal protocollo n. 7 sui privilegi e sulle immunità dell'Unione europea è intesa a proteggere il Parlamento e i deputati che lo compongono da procedimenti giudiziari relativi ad attività svolte nell'esercizio del mandato parlamentare e che non possono essere disgiunte da esso;</w:t>
      </w:r>
    </w:p>
    <w:p w:rsidR="00CB483F" w:rsidRPr="00C456DE" w:rsidP="00CB483F" w14:paraId="3C5885BA" w14:textId="6BD70CF8">
      <w:pPr>
        <w:pStyle w:val="NormalHanging12a"/>
      </w:pPr>
      <w:r w:rsidRPr="00C456DE">
        <w:t>H.</w:t>
      </w:r>
      <w:r w:rsidRPr="00C456DE">
        <w:tab/>
        <w:t xml:space="preserve">considerando che, </w:t>
      </w:r>
      <w:r w:rsidRPr="00C456DE" w:rsidR="00081734">
        <w:t>conformemente</w:t>
      </w:r>
      <w:r w:rsidRPr="00C456DE">
        <w:t xml:space="preserve"> </w:t>
      </w:r>
      <w:r w:rsidRPr="00C456DE" w:rsidR="00081734">
        <w:t>a</w:t>
      </w:r>
      <w:r w:rsidRPr="00C456DE">
        <w:t xml:space="preserve">ll'articolo 5, paragrafo 2, del regolamento, l'immunità parlamentare non è un privilegio personale del deputato ma una garanzia di indipendenza del </w:t>
      </w:r>
      <w:r w:rsidRPr="00C456DE">
        <w:t>Parlamentoin</w:t>
      </w:r>
      <w:r w:rsidRPr="00C456DE">
        <w:t xml:space="preserve"> quanto istituzione e dei suoi membri;</w:t>
      </w:r>
    </w:p>
    <w:p w:rsidR="00CB483F" w:rsidRPr="00C456DE" w:rsidP="00CB483F" w14:paraId="2B0F1307" w14:textId="52ACEACD">
      <w:pPr>
        <w:pStyle w:val="NormalHanging12a"/>
      </w:pPr>
      <w:r w:rsidRPr="00C456DE">
        <w:t>I.</w:t>
      </w:r>
      <w:r w:rsidRPr="00C456DE">
        <w:tab/>
        <w:t>considerando che l'articolo 8 del protocollo n. 7 sui privilegi e sulle immunità dell'Unione europea prevede che i membri del Parlamento europeo non poss</w:t>
      </w:r>
      <w:r w:rsidRPr="00C456DE" w:rsidR="00DD4A38">
        <w:t>o</w:t>
      </w:r>
      <w:r w:rsidRPr="00C456DE">
        <w:t>no essere ricercati, detenuti o perseguiti a motivo delle opinioni o dei voti espressi nell'esercizio delle loro funzioni; che il presunto reato non riguarda opinion</w:t>
      </w:r>
      <w:r w:rsidRPr="00C456DE" w:rsidR="00081734">
        <w:t>i</w:t>
      </w:r>
      <w:r w:rsidRPr="00C456DE">
        <w:t xml:space="preserve"> o vot</w:t>
      </w:r>
      <w:r w:rsidRPr="00C456DE" w:rsidR="00081734">
        <w:t>i</w:t>
      </w:r>
      <w:r w:rsidRPr="00C456DE">
        <w:t xml:space="preserve"> espressi da Nikola </w:t>
      </w:r>
      <w:r w:rsidRPr="00C456DE">
        <w:t>Minchev</w:t>
      </w:r>
      <w:r w:rsidRPr="00C456DE">
        <w:t xml:space="preserve"> nell'esercizio delle sue funzioni ai sensi dell'articolo 8 d</w:t>
      </w:r>
      <w:r w:rsidRPr="00C456DE" w:rsidR="00081734">
        <w:t>i tale</w:t>
      </w:r>
      <w:r w:rsidRPr="00C456DE">
        <w:t xml:space="preserve"> protocollo;</w:t>
      </w:r>
    </w:p>
    <w:p w:rsidR="00CB483F" w:rsidRPr="00C456DE" w:rsidP="00CB483F" w14:paraId="7C59C0F1" w14:textId="1E20C491">
      <w:pPr>
        <w:pStyle w:val="NormalHanging12a"/>
      </w:pPr>
      <w:r w:rsidRPr="00C456DE">
        <w:t>J.</w:t>
      </w:r>
      <w:r w:rsidRPr="00C456DE">
        <w:tab/>
        <w:t>considerando che l'articolo 9, primo comma, lettera b), del protocollo n. 7 sui privilegi e sulle immunità dell'Unione europea stabilisce che</w:t>
      </w:r>
      <w:r w:rsidRPr="00C456DE" w:rsidR="006865CB">
        <w:t>, per la durata delle sessioni del Parlamento europeo,</w:t>
      </w:r>
      <w:r w:rsidRPr="00C456DE">
        <w:t xml:space="preserve"> i </w:t>
      </w:r>
      <w:r w:rsidRPr="00C456DE" w:rsidR="006865CB">
        <w:t>membri di esso</w:t>
      </w:r>
      <w:r w:rsidRPr="00C456DE">
        <w:t xml:space="preserve"> beneficiano, sul territorio di ogni altro Stato membro </w:t>
      </w:r>
      <w:r w:rsidRPr="00C456DE" w:rsidR="00DD4A38">
        <w:t>diverso dal proprio</w:t>
      </w:r>
      <w:r w:rsidRPr="00C456DE">
        <w:t>, dell'esenzione da ogni provvedimento di detenzione e da ogni procedimento giudiziario;</w:t>
      </w:r>
    </w:p>
    <w:p w:rsidR="00CB483F" w:rsidRPr="00C456DE" w:rsidP="00CB483F" w14:paraId="1A4BCFBE" w14:textId="2B02798D">
      <w:pPr>
        <w:pStyle w:val="NormalHanging12a"/>
      </w:pPr>
      <w:r w:rsidRPr="00C456DE">
        <w:t>K.</w:t>
      </w:r>
      <w:r w:rsidRPr="00C456DE">
        <w:tab/>
        <w:t xml:space="preserve">considerando che qualsiasi conclusione in merito all'immunità di Nikola </w:t>
      </w:r>
      <w:r w:rsidRPr="00C456DE">
        <w:t>Minchev</w:t>
      </w:r>
      <w:r w:rsidRPr="00C456DE">
        <w:t xml:space="preserve"> deve essere tratta sulla base della richiesta di revoca dell'immunità e sulla base delle informazioni e delle spiegazioni fornite nel caso di specie, comprese le risposte fornite dal procuratore federale, sia durante lo scambio di opinioni che nelle informazioni supplementari fornite per iscritto; che vi è una </w:t>
      </w:r>
      <w:r w:rsidRPr="00C456DE" w:rsidR="006865CB">
        <w:t>evidente</w:t>
      </w:r>
      <w:r w:rsidRPr="00C456DE">
        <w:t xml:space="preserve"> scarsità di elementi concreti nella richiesta di revoca dell'immunità; che i successivi scambi orali e scritti con il procuratore federale belga non hanno dissipato la notevole incertezza in merito ai vari elementi contenuti nella richiesta di revoca dell'immunità di Nikola </w:t>
      </w:r>
      <w:r w:rsidRPr="00C456DE">
        <w:t>Minchev</w:t>
      </w:r>
      <w:r w:rsidRPr="00C456DE">
        <w:t>;</w:t>
      </w:r>
    </w:p>
    <w:p w:rsidR="00CB483F" w:rsidRPr="00C456DE" w:rsidP="00CB483F" w14:paraId="696D7EF8" w14:textId="602350AA">
      <w:pPr>
        <w:pStyle w:val="NormalHanging12a"/>
      </w:pPr>
      <w:r w:rsidRPr="00C456DE">
        <w:t>L.</w:t>
      </w:r>
      <w:r w:rsidRPr="00C456DE">
        <w:tab/>
        <w:t xml:space="preserve">considerando che, sulla base di quanto precede, l'insieme delle informazioni presentate non ha consentito al Parlamento di giungere </w:t>
      </w:r>
      <w:r w:rsidRPr="00C456DE" w:rsidR="00C74000">
        <w:t xml:space="preserve">con sicurezza </w:t>
      </w:r>
      <w:r w:rsidRPr="00C456DE">
        <w:t xml:space="preserve">a una decisione sufficientemente informata di revocare l'immunità di Nikola </w:t>
      </w:r>
      <w:r w:rsidRPr="00C456DE">
        <w:t>Minchev</w:t>
      </w:r>
      <w:r w:rsidRPr="00C456DE">
        <w:t xml:space="preserve">; che la notevole incertezza riguardo ai vari elementi del caso di specie di norma indicherebbe, inoltre, la sussistenza di </w:t>
      </w:r>
      <w:r w:rsidRPr="00C456DE">
        <w:rPr>
          <w:i/>
        </w:rPr>
        <w:t xml:space="preserve">fumus </w:t>
      </w:r>
      <w:r w:rsidRPr="00C456DE">
        <w:rPr>
          <w:i/>
        </w:rPr>
        <w:t>persecutionis</w:t>
      </w:r>
      <w:r w:rsidRPr="00C456DE">
        <w:t>;</w:t>
      </w:r>
    </w:p>
    <w:p w:rsidR="00CB483F" w:rsidRPr="00C456DE" w:rsidP="00CB483F" w14:paraId="28ACCCDB" w14:textId="77777777">
      <w:pPr>
        <w:pStyle w:val="NormalHanging12a"/>
      </w:pPr>
      <w:r w:rsidRPr="00C456DE">
        <w:t>1.</w:t>
      </w:r>
      <w:r w:rsidRPr="00C456DE">
        <w:tab/>
        <w:t xml:space="preserve">decide di non revocare l'immunità di Nikola </w:t>
      </w:r>
      <w:r w:rsidRPr="00C456DE">
        <w:t>Minchev</w:t>
      </w:r>
      <w:r w:rsidRPr="00C456DE">
        <w:t>;</w:t>
      </w:r>
    </w:p>
    <w:p w:rsidR="00E365E1" w:rsidRPr="00C456DE" w:rsidP="00C456DE" w14:paraId="779FAE42" w14:textId="2C6B8A10">
      <w:pPr>
        <w:pStyle w:val="NormalHanging12a"/>
      </w:pPr>
      <w:r w:rsidRPr="00C456DE">
        <w:t>2.</w:t>
      </w:r>
      <w:r w:rsidRPr="00C456DE">
        <w:tab/>
        <w:t>incarica la sua Presidente di trasmettere immediatamente la presente decisione e la relazione della sua commissione competente all</w:t>
      </w:r>
      <w:r w:rsidRPr="00C456DE" w:rsidR="006865CB">
        <w:t>’</w:t>
      </w:r>
      <w:r w:rsidRPr="00C456DE">
        <w:t>autorità competent</w:t>
      </w:r>
      <w:r w:rsidRPr="00C456DE" w:rsidR="006865CB">
        <w:t>e</w:t>
      </w:r>
      <w:r w:rsidRPr="00C456DE">
        <w:t xml:space="preserve"> del Regno del Belgio e a Nikola </w:t>
      </w:r>
      <w:r w:rsidRPr="00C456DE">
        <w:t>Minchev</w:t>
      </w:r>
      <w:r w:rsidRPr="00C456DE">
        <w:t>.</w:t>
      </w:r>
      <w:bookmarkEnd w:id="8"/>
    </w:p>
    <w:sectPr w:rsidSect="00E30FF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30FF4" w14:paraId="6C008900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30FF4" w14:paraId="40AF83A4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30FF4" w14:paraId="163BB91A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17AFD" w:rsidRPr="00E30FF4" w14:paraId="7595F20C" w14:textId="77777777">
      <w:r w:rsidRPr="00E30FF4">
        <w:separator/>
      </w:r>
    </w:p>
  </w:footnote>
  <w:footnote w:type="continuationSeparator" w:id="1">
    <w:p w:rsidR="00317AFD" w:rsidRPr="00E30FF4" w14:paraId="34E7D2CE" w14:textId="77777777">
      <w:r w:rsidRPr="00E30FF4">
        <w:continuationSeparator/>
      </w:r>
    </w:p>
  </w:footnote>
  <w:footnote w:id="2">
    <w:p w:rsidR="00CB483F" w:rsidRPr="00E30FF4" w:rsidP="00E30FF4" w14:paraId="59F4726F" w14:textId="77777777">
      <w:pPr>
        <w:pStyle w:val="FootnoteText"/>
        <w:ind w:left="567" w:hanging="567"/>
        <w:rPr>
          <w:sz w:val="24"/>
          <w:lang w:val="it-IT"/>
        </w:rPr>
      </w:pPr>
      <w:r w:rsidRPr="00E30FF4">
        <w:rPr>
          <w:rStyle w:val="FootnoteReference"/>
          <w:sz w:val="24"/>
          <w:lang w:val="it-IT"/>
        </w:rPr>
        <w:footnoteRef/>
      </w:r>
      <w:r w:rsidRPr="00E30FF4" w:rsidR="00E30FF4">
        <w:rPr>
          <w:sz w:val="24"/>
          <w:lang w:val="it-IT"/>
        </w:rPr>
        <w:t xml:space="preserve"> </w:t>
      </w:r>
      <w:r w:rsidRPr="00E30FF4" w:rsidR="00E30FF4">
        <w:rPr>
          <w:sz w:val="24"/>
          <w:lang w:val="it-IT"/>
        </w:rPr>
        <w:tab/>
      </w:r>
      <w:r w:rsidRPr="00E30FF4">
        <w:rPr>
          <w:sz w:val="24"/>
          <w:lang w:val="it-IT"/>
        </w:rPr>
        <w:t xml:space="preserve">Sentenza della Corte di giustizia del 21 ottobre 2008, </w:t>
      </w:r>
      <w:r w:rsidRPr="00E30FF4">
        <w:rPr>
          <w:i/>
          <w:iCs/>
          <w:sz w:val="24"/>
          <w:lang w:val="it-IT"/>
        </w:rPr>
        <w:t>Marra/De Gregorio e Clemente</w:t>
      </w:r>
      <w:r w:rsidRPr="00E30FF4">
        <w:rPr>
          <w:sz w:val="24"/>
          <w:lang w:val="it-IT"/>
        </w:rPr>
        <w:t xml:space="preserve">, C-200/07 e C-201/07, ECLI:EU:C:2008:579; sentenza del Tribunale del 19 marzo 2010, </w:t>
      </w:r>
      <w:r w:rsidRPr="00E30FF4">
        <w:rPr>
          <w:i/>
          <w:iCs/>
          <w:sz w:val="24"/>
          <w:lang w:val="it-IT"/>
        </w:rPr>
        <w:t>Gollnisch</w:t>
      </w:r>
      <w:r w:rsidRPr="00E30FF4">
        <w:rPr>
          <w:i/>
          <w:iCs/>
          <w:sz w:val="24"/>
          <w:lang w:val="it-IT"/>
        </w:rPr>
        <w:t>/Parlamento</w:t>
      </w:r>
      <w:r w:rsidRPr="00E30FF4">
        <w:rPr>
          <w:sz w:val="24"/>
          <w:lang w:val="it-IT"/>
        </w:rPr>
        <w:t xml:space="preserve">, T-42/06, ECLI:EU:T:2010:102; sentenza della Corte di giustizia del 6 settembre 2011, </w:t>
      </w:r>
      <w:r w:rsidRPr="00E30FF4">
        <w:rPr>
          <w:i/>
          <w:iCs/>
          <w:sz w:val="24"/>
          <w:lang w:val="it-IT"/>
        </w:rPr>
        <w:t>Patriciello</w:t>
      </w:r>
      <w:r w:rsidRPr="00E30FF4">
        <w:rPr>
          <w:sz w:val="24"/>
          <w:lang w:val="it-IT"/>
        </w:rPr>
        <w:t xml:space="preserve">, C-163/10, ECLI: EU:C:2011:543; sentenza del Tribunale del 17 gennaio 2013, </w:t>
      </w:r>
      <w:r w:rsidRPr="00E30FF4">
        <w:rPr>
          <w:i/>
          <w:iCs/>
          <w:sz w:val="24"/>
          <w:lang w:val="it-IT"/>
        </w:rPr>
        <w:t>Gollnisch</w:t>
      </w:r>
      <w:r w:rsidRPr="00E30FF4">
        <w:rPr>
          <w:i/>
          <w:iCs/>
          <w:sz w:val="24"/>
          <w:lang w:val="it-IT"/>
        </w:rPr>
        <w:t>/Parlamento</w:t>
      </w:r>
      <w:r w:rsidRPr="00E30FF4">
        <w:rPr>
          <w:sz w:val="24"/>
          <w:lang w:val="it-IT"/>
        </w:rPr>
        <w:t xml:space="preserve">, T-346/11 e T-347/11, ECLI:EU:T:2013:23; sentenza della Corte di giustizia del 19 dicembre 2019, </w:t>
      </w:r>
      <w:r w:rsidRPr="00E30FF4">
        <w:rPr>
          <w:i/>
          <w:iCs/>
          <w:sz w:val="24"/>
          <w:lang w:val="it-IT"/>
        </w:rPr>
        <w:t>Junqueras</w:t>
      </w:r>
      <w:r w:rsidRPr="00E30FF4">
        <w:rPr>
          <w:i/>
          <w:iCs/>
          <w:sz w:val="24"/>
          <w:lang w:val="it-IT"/>
        </w:rPr>
        <w:t xml:space="preserve"> </w:t>
      </w:r>
      <w:r w:rsidRPr="00E30FF4">
        <w:rPr>
          <w:i/>
          <w:iCs/>
          <w:sz w:val="24"/>
          <w:lang w:val="it-IT"/>
        </w:rPr>
        <w:t>Vies</w:t>
      </w:r>
      <w:r w:rsidRPr="00E30FF4">
        <w:rPr>
          <w:sz w:val="24"/>
          <w:lang w:val="it-IT"/>
        </w:rPr>
        <w:t>, C-502/19, ECLI:EU:C:2019:1115.</w:t>
      </w:r>
    </w:p>
  </w:footnote>
  <w:footnote w:id="3">
    <w:p w:rsidR="00CB483F" w:rsidRPr="00E30FF4" w:rsidP="00E30FF4" w14:paraId="11D6E56B" w14:textId="77777777">
      <w:pPr>
        <w:pStyle w:val="FootnoteText"/>
        <w:ind w:left="567" w:hanging="567"/>
        <w:rPr>
          <w:sz w:val="24"/>
          <w:lang w:val="it-IT"/>
        </w:rPr>
      </w:pPr>
      <w:r w:rsidRPr="00E30FF4">
        <w:rPr>
          <w:rStyle w:val="FootnoteReference"/>
          <w:sz w:val="24"/>
          <w:lang w:val="it-IT"/>
        </w:rPr>
        <w:footnoteRef/>
      </w:r>
      <w:r w:rsidRPr="00E30FF4" w:rsidR="00E30FF4">
        <w:rPr>
          <w:sz w:val="24"/>
          <w:lang w:val="it-IT"/>
        </w:rPr>
        <w:t xml:space="preserve"> </w:t>
      </w:r>
      <w:r w:rsidRPr="00E30FF4" w:rsidR="00E30FF4">
        <w:rPr>
          <w:sz w:val="24"/>
          <w:lang w:val="it-IT"/>
        </w:rPr>
        <w:tab/>
      </w:r>
      <w:r w:rsidRPr="00E30FF4">
        <w:rPr>
          <w:sz w:val="24"/>
          <w:lang w:val="it-IT"/>
        </w:rPr>
        <w:t xml:space="preserve">Sentenza del Tribunale del 30 aprile 2019, </w:t>
      </w:r>
      <w:r w:rsidRPr="00E30FF4">
        <w:rPr>
          <w:i/>
          <w:iCs/>
          <w:sz w:val="24"/>
          <w:lang w:val="it-IT"/>
        </w:rPr>
        <w:t>Briois</w:t>
      </w:r>
      <w:r w:rsidRPr="00E30FF4">
        <w:rPr>
          <w:i/>
          <w:iCs/>
          <w:sz w:val="24"/>
          <w:lang w:val="it-IT"/>
        </w:rPr>
        <w:t>/Parlamento</w:t>
      </w:r>
      <w:r w:rsidRPr="00E30FF4">
        <w:rPr>
          <w:sz w:val="24"/>
          <w:lang w:val="it-IT"/>
        </w:rPr>
        <w:t>, T-214/18, ECLI:</w:t>
      </w:r>
      <w:r w:rsidRPr="00E30FF4">
        <w:rPr>
          <w:sz w:val="24"/>
          <w:lang w:val="it-IT"/>
        </w:rPr>
        <w:t>EU:T</w:t>
      </w:r>
      <w:r w:rsidRPr="00E30FF4">
        <w:rPr>
          <w:sz w:val="24"/>
          <w:lang w:val="it-IT"/>
        </w:rPr>
        <w:t>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30FF4" w14:paraId="22DE5624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30FF4" w14:paraId="53AFD097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30FF4" w14:paraId="2142C4B7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52878379">
    <w:abstractNumId w:val="9"/>
  </w:num>
  <w:num w:numId="2" w16cid:durableId="1996764173">
    <w:abstractNumId w:val="9"/>
  </w:num>
  <w:num w:numId="3" w16cid:durableId="816803752">
    <w:abstractNumId w:val="7"/>
  </w:num>
  <w:num w:numId="4" w16cid:durableId="1597861734">
    <w:abstractNumId w:val="7"/>
  </w:num>
  <w:num w:numId="5" w16cid:durableId="1115324033">
    <w:abstractNumId w:val="6"/>
  </w:num>
  <w:num w:numId="6" w16cid:durableId="891236402">
    <w:abstractNumId w:val="6"/>
  </w:num>
  <w:num w:numId="7" w16cid:durableId="1945307781">
    <w:abstractNumId w:val="5"/>
  </w:num>
  <w:num w:numId="8" w16cid:durableId="996497007">
    <w:abstractNumId w:val="5"/>
  </w:num>
  <w:num w:numId="9" w16cid:durableId="619726261">
    <w:abstractNumId w:val="4"/>
  </w:num>
  <w:num w:numId="10" w16cid:durableId="1180200938">
    <w:abstractNumId w:val="4"/>
  </w:num>
  <w:num w:numId="11" w16cid:durableId="786510920">
    <w:abstractNumId w:val="8"/>
  </w:num>
  <w:num w:numId="12" w16cid:durableId="261375516">
    <w:abstractNumId w:val="8"/>
  </w:num>
  <w:num w:numId="13" w16cid:durableId="1065681649">
    <w:abstractNumId w:val="3"/>
  </w:num>
  <w:num w:numId="14" w16cid:durableId="824856030">
    <w:abstractNumId w:val="3"/>
  </w:num>
  <w:num w:numId="15" w16cid:durableId="997272391">
    <w:abstractNumId w:val="2"/>
  </w:num>
  <w:num w:numId="16" w16cid:durableId="415900293">
    <w:abstractNumId w:val="2"/>
  </w:num>
  <w:num w:numId="17" w16cid:durableId="189605758">
    <w:abstractNumId w:val="1"/>
  </w:num>
  <w:num w:numId="18" w16cid:durableId="334118244">
    <w:abstractNumId w:val="1"/>
  </w:num>
  <w:num w:numId="19" w16cid:durableId="1818647105">
    <w:abstractNumId w:val="0"/>
  </w:num>
  <w:num w:numId="20" w16cid:durableId="1038121772">
    <w:abstractNumId w:val="0"/>
  </w:num>
  <w:num w:numId="21" w16cid:durableId="1399590769">
    <w:abstractNumId w:val="9"/>
  </w:num>
  <w:num w:numId="22" w16cid:durableId="547647056">
    <w:abstractNumId w:val="7"/>
  </w:num>
  <w:num w:numId="23" w16cid:durableId="1108963178">
    <w:abstractNumId w:val="6"/>
  </w:num>
  <w:num w:numId="24" w16cid:durableId="104733974">
    <w:abstractNumId w:val="5"/>
  </w:num>
  <w:num w:numId="25" w16cid:durableId="1120147661">
    <w:abstractNumId w:val="4"/>
  </w:num>
  <w:num w:numId="26" w16cid:durableId="1024749751">
    <w:abstractNumId w:val="8"/>
  </w:num>
  <w:num w:numId="27" w16cid:durableId="1141966035">
    <w:abstractNumId w:val="3"/>
  </w:num>
  <w:num w:numId="28" w16cid:durableId="1238058757">
    <w:abstractNumId w:val="2"/>
  </w:num>
  <w:num w:numId="29" w16cid:durableId="1039822530">
    <w:abstractNumId w:val="1"/>
  </w:num>
  <w:num w:numId="30" w16cid:durableId="1308899735">
    <w:abstractNumId w:val="0"/>
  </w:num>
  <w:num w:numId="31" w16cid:durableId="778792361">
    <w:abstractNumId w:val="9"/>
  </w:num>
  <w:num w:numId="32" w16cid:durableId="373121231">
    <w:abstractNumId w:val="7"/>
  </w:num>
  <w:num w:numId="33" w16cid:durableId="338629930">
    <w:abstractNumId w:val="6"/>
  </w:num>
  <w:num w:numId="34" w16cid:durableId="494803262">
    <w:abstractNumId w:val="5"/>
  </w:num>
  <w:num w:numId="35" w16cid:durableId="965769801">
    <w:abstractNumId w:val="4"/>
  </w:num>
  <w:num w:numId="36" w16cid:durableId="1286543741">
    <w:abstractNumId w:val="8"/>
  </w:num>
  <w:num w:numId="37" w16cid:durableId="474298477">
    <w:abstractNumId w:val="3"/>
  </w:num>
  <w:num w:numId="38" w16cid:durableId="1879274500">
    <w:abstractNumId w:val="2"/>
  </w:num>
  <w:num w:numId="39" w16cid:durableId="930431756">
    <w:abstractNumId w:val="1"/>
  </w:num>
  <w:num w:numId="40" w16cid:durableId="1660647191">
    <w:abstractNumId w:val="0"/>
  </w:num>
  <w:num w:numId="41" w16cid:durableId="288555606">
    <w:abstractNumId w:val="10"/>
  </w:num>
  <w:num w:numId="42" w16cid:durableId="1733193968">
    <w:abstractNumId w:val="10"/>
  </w:num>
  <w:num w:numId="43" w16cid:durableId="1817530972">
    <w:abstractNumId w:val="10"/>
  </w:num>
  <w:num w:numId="44" w16cid:durableId="6433151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AFD"/>
    <w:rsid w:val="00002272"/>
    <w:rsid w:val="0003421A"/>
    <w:rsid w:val="00064002"/>
    <w:rsid w:val="000677B9"/>
    <w:rsid w:val="00081734"/>
    <w:rsid w:val="000831BA"/>
    <w:rsid w:val="000A42CC"/>
    <w:rsid w:val="000E7DD9"/>
    <w:rsid w:val="0010095E"/>
    <w:rsid w:val="00125B37"/>
    <w:rsid w:val="00187494"/>
    <w:rsid w:val="001C2EBA"/>
    <w:rsid w:val="001F32AE"/>
    <w:rsid w:val="002528C2"/>
    <w:rsid w:val="002767FF"/>
    <w:rsid w:val="002B18FE"/>
    <w:rsid w:val="002B5493"/>
    <w:rsid w:val="00317AFD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865CB"/>
    <w:rsid w:val="006E35AE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3D46"/>
    <w:rsid w:val="00836F92"/>
    <w:rsid w:val="00842779"/>
    <w:rsid w:val="008558DB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5AC2"/>
    <w:rsid w:val="00A1687D"/>
    <w:rsid w:val="00A43E52"/>
    <w:rsid w:val="00A4678D"/>
    <w:rsid w:val="00A778C7"/>
    <w:rsid w:val="00A8586A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56DE"/>
    <w:rsid w:val="00C61C0C"/>
    <w:rsid w:val="00C74000"/>
    <w:rsid w:val="00C941CB"/>
    <w:rsid w:val="00CB483F"/>
    <w:rsid w:val="00CC2357"/>
    <w:rsid w:val="00CF071A"/>
    <w:rsid w:val="00D058B8"/>
    <w:rsid w:val="00D56C11"/>
    <w:rsid w:val="00D834A0"/>
    <w:rsid w:val="00D872DF"/>
    <w:rsid w:val="00D91E21"/>
    <w:rsid w:val="00DA7FCD"/>
    <w:rsid w:val="00DB124E"/>
    <w:rsid w:val="00DB3E78"/>
    <w:rsid w:val="00DD4A38"/>
    <w:rsid w:val="00E30FF4"/>
    <w:rsid w:val="00E365E1"/>
    <w:rsid w:val="00E820A4"/>
    <w:rsid w:val="00EB006A"/>
    <w:rsid w:val="00EB4772"/>
    <w:rsid w:val="00ED169E"/>
    <w:rsid w:val="00ED4235"/>
    <w:rsid w:val="00F04346"/>
    <w:rsid w:val="00F075DC"/>
    <w:rsid w:val="00F109CE"/>
    <w:rsid w:val="00F149E9"/>
    <w:rsid w:val="00F5134D"/>
    <w:rsid w:val="00F74202"/>
    <w:rsid w:val="00F87713"/>
    <w:rsid w:val="00FB4360"/>
    <w:rsid w:val="00FD0C70"/>
  </w:rsids>
  <w:docVars>
    <w:docVar w:name="dvdocse" w:val="A10-0155/2026"/>
    <w:docVar w:name="dvlangue" w:val="IT"/>
    <w:docVar w:name="dvnumam" w:val="0"/>
    <w:docVar w:name="dvpe" w:val="782.200"/>
    <w:docVar w:name="dvrapporteur" w:val="Relatore: "/>
    <w:docVar w:name="dvtitre" w:val="Decisione del Parlamento europeo del 16 giugno 2026 sulla richiesta di revoca dell'immunità di Nikola Minchev(2025/2100(IMM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4E92DD1"/>
  <w15:chartTrackingRefBased/>
  <w15:docId w15:val="{1D6C8248-2403-4027-BA8F-96B1698D4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CB483F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9A5AC2"/>
    <w:rPr>
      <w:sz w:val="24"/>
      <w:lang w:val="it-IT"/>
    </w:rPr>
  </w:style>
  <w:style w:type="character" w:styleId="CommentReference">
    <w:name w:val="annotation reference"/>
    <w:basedOn w:val="DefaultParagraphFont"/>
    <w:rsid w:val="00DB124E"/>
    <w:rPr>
      <w:sz w:val="16"/>
      <w:szCs w:val="16"/>
    </w:rPr>
  </w:style>
  <w:style w:type="paragraph" w:styleId="CommentText">
    <w:name w:val="annotation text"/>
    <w:basedOn w:val="Normal"/>
    <w:link w:val="CommentTextChar"/>
    <w:rsid w:val="00DB124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B124E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rsid w:val="00DB12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B124E"/>
    <w:rPr>
      <w:b/>
      <w:bCs/>
      <w:lang w:val="it-IT"/>
    </w:rPr>
  </w:style>
  <w:style w:type="character" w:styleId="Emphasis">
    <w:name w:val="Emphasis"/>
    <w:basedOn w:val="DefaultParagraphFont"/>
    <w:uiPriority w:val="20"/>
    <w:qFormat/>
    <w:rsid w:val="006865C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1161</Words>
  <Characters>6754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2026-06-16T10:48:00Z</dcterms:created>
  <dcterms:modified xsi:type="dcterms:W3CDTF">2026-06-16T10:48:00Z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A10-0155/2026</vt:lpwstr>
  </property>
  <property fmtid="{D5CDD505-2E9C-101B-9397-08002B2CF9AE}" pid="4" name="&lt;Type&gt;">
    <vt:lpwstr>RR</vt:lpwstr>
  </property>
</Properties>
</file>