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D1DF4EB" w14:textId="77777777" w:rsidTr="0010095E">
        <w:tblPrEx>
          <w:tblW w:w="9072" w:type="dxa"/>
          <w:tblLook w:val="01E0"/>
        </w:tblPrEx>
        <w:trPr>
          <w:trHeight w:hRule="exact" w:val="1418"/>
        </w:trPr>
        <w:tc>
          <w:tcPr>
            <w:tcW w:w="6804" w:type="dxa"/>
            <w:shd w:val="clear" w:color="auto" w:fill="auto"/>
            <w:vAlign w:val="center"/>
          </w:tcPr>
          <w:p w:rsidR="00751A4A" w:rsidRPr="00FE3033" w:rsidP="0010095E" w14:paraId="414A51A4" w14:textId="77777777">
            <w:pPr>
              <w:pStyle w:val="EPName"/>
            </w:pPr>
            <w:r w:rsidRPr="00FE3033">
              <w:t>Europos Parlamentas</w:t>
            </w:r>
          </w:p>
          <w:p w:rsidR="00751A4A" w:rsidRPr="00FE3033" w:rsidP="005F1B17" w14:paraId="5B2AE08F" w14:textId="77777777">
            <w:pPr>
              <w:pStyle w:val="EPTerm"/>
              <w:rPr>
                <w:rStyle w:val="HideTWBExt"/>
                <w:noProof w:val="0"/>
                <w:vanish w:val="0"/>
                <w:color w:val="auto"/>
              </w:rPr>
            </w:pPr>
            <w:r w:rsidRPr="00FE3033">
              <w:t>2024</w:t>
            </w:r>
            <w:r w:rsidRPr="00FE3033" w:rsidR="00817416">
              <w:t>-202</w:t>
            </w:r>
            <w:r w:rsidRPr="00FE3033">
              <w:t>9</w:t>
            </w:r>
          </w:p>
        </w:tc>
        <w:tc>
          <w:tcPr>
            <w:tcW w:w="2268" w:type="dxa"/>
            <w:shd w:val="clear" w:color="auto" w:fill="auto"/>
          </w:tcPr>
          <w:p w:rsidR="00751A4A" w:rsidRPr="00FE3033" w:rsidP="0010095E" w14:paraId="16F5C1F1" w14:textId="77777777">
            <w:pPr>
              <w:pStyle w:val="EPLogo"/>
            </w:pPr>
            <w:r w:rsidRPr="00FE303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E3033" w:rsidP="004C5D52" w14:paraId="3149C851" w14:textId="77777777">
      <w:pPr>
        <w:pStyle w:val="LineTop"/>
      </w:pPr>
    </w:p>
    <w:p w:rsidR="00680577" w:rsidRPr="00FE3033" w:rsidP="00680577" w14:paraId="7696A975" w14:textId="77777777">
      <w:pPr>
        <w:pStyle w:val="EPBodyTA1"/>
      </w:pPr>
      <w:r w:rsidRPr="00FE3033">
        <w:t>PRIIMTI TEKSTAI</w:t>
      </w:r>
    </w:p>
    <w:p w:rsidR="00D058B8" w:rsidRPr="00FE3033" w:rsidP="00D058B8" w14:paraId="0CEFEC23" w14:textId="77777777">
      <w:pPr>
        <w:pStyle w:val="LineBottom"/>
      </w:pPr>
    </w:p>
    <w:p w:rsidR="0057212F" w:rsidRPr="00FE3033" w:rsidP="0057212F" w14:paraId="6B42AD4A" w14:textId="401E658D">
      <w:pPr>
        <w:pStyle w:val="ATHeading1"/>
      </w:pPr>
      <w:bookmarkStart w:id="0" w:name="TANumber"/>
      <w:r w:rsidRPr="00FE3033">
        <w:t>P10_TA(2026)0</w:t>
      </w:r>
      <w:r w:rsidR="0087305A">
        <w:t>195</w:t>
      </w:r>
      <w:bookmarkEnd w:id="0"/>
    </w:p>
    <w:p w:rsidR="0057212F" w:rsidRPr="00FE3033" w:rsidP="0057212F" w14:paraId="77FEE105" w14:textId="77777777">
      <w:pPr>
        <w:pStyle w:val="ATHeading2"/>
      </w:pPr>
      <w:bookmarkStart w:id="1" w:name="title"/>
      <w:r w:rsidRPr="00FE3033">
        <w:t xml:space="preserve">Prašymas atšaukti </w:t>
      </w:r>
      <w:r w:rsidRPr="00FE3033">
        <w:t>Nikolos</w:t>
      </w:r>
      <w:r w:rsidRPr="00FE3033">
        <w:t xml:space="preserve"> </w:t>
      </w:r>
      <w:r w:rsidRPr="00FE3033">
        <w:t>Minchevo</w:t>
      </w:r>
      <w:r w:rsidRPr="00FE3033">
        <w:t xml:space="preserve"> (</w:t>
      </w:r>
      <w:r w:rsidRPr="00FE3033">
        <w:t>Nikola</w:t>
      </w:r>
      <w:r w:rsidRPr="00FE3033">
        <w:t xml:space="preserve"> </w:t>
      </w:r>
      <w:r w:rsidRPr="00FE3033">
        <w:t>Minchev</w:t>
      </w:r>
      <w:r w:rsidRPr="00FE3033">
        <w:t>) imunitetą</w:t>
      </w:r>
      <w:bookmarkEnd w:id="1"/>
    </w:p>
    <w:p w:rsidR="0057212F" w:rsidRPr="00FE3033" w:rsidP="0057212F" w14:paraId="080B87D0" w14:textId="77777777">
      <w:pPr>
        <w:rPr>
          <w:i/>
          <w:vanish/>
        </w:rPr>
      </w:pPr>
      <w:r>
        <w:rPr>
          <w:i/>
        </w:rPr>
        <w:fldChar w:fldCharType="begin"/>
      </w:r>
      <w:r w:rsidRPr="00FE3033">
        <w:rPr>
          <w:i/>
        </w:rPr>
        <w:instrText xml:space="preserve"> TC"(</w:instrText>
      </w:r>
      <w:bookmarkStart w:id="2" w:name="DocNumber"/>
      <w:r w:rsidRPr="00FE3033">
        <w:rPr>
          <w:i/>
        </w:rPr>
        <w:instrText>A10-0155/2026</w:instrText>
      </w:r>
      <w:bookmarkEnd w:id="2"/>
      <w:r w:rsidRPr="00FE3033">
        <w:rPr>
          <w:i/>
        </w:rPr>
        <w:instrText xml:space="preserve"> - Pranešėjas: Ilhan Kyuchyuk)"\l3 \n&gt; \* MERGEFORMAT </w:instrText>
      </w:r>
      <w:r>
        <w:rPr>
          <w:i/>
        </w:rPr>
        <w:fldChar w:fldCharType="end"/>
      </w:r>
    </w:p>
    <w:p w:rsidR="0057212F" w:rsidRPr="00FE3033" w:rsidP="0057212F" w14:paraId="3D65E7F1" w14:textId="77777777">
      <w:pPr>
        <w:rPr>
          <w:vanish/>
        </w:rPr>
      </w:pPr>
      <w:bookmarkStart w:id="3" w:name="Commission"/>
      <w:r w:rsidRPr="00FE3033">
        <w:rPr>
          <w:vanish/>
        </w:rPr>
        <w:t>Teisės reikalų komitetas</w:t>
      </w:r>
      <w:bookmarkEnd w:id="3"/>
    </w:p>
    <w:p w:rsidR="0057212F" w:rsidRPr="00FE3033" w:rsidP="0057212F" w14:paraId="097FD6EE" w14:textId="77777777">
      <w:pPr>
        <w:rPr>
          <w:vanish/>
        </w:rPr>
      </w:pPr>
      <w:bookmarkStart w:id="4" w:name="PE"/>
      <w:r w:rsidRPr="00FE3033">
        <w:rPr>
          <w:vanish/>
        </w:rPr>
        <w:t>PE782.200</w:t>
      </w:r>
      <w:bookmarkEnd w:id="4"/>
    </w:p>
    <w:p w:rsidR="0057212F" w:rsidRPr="00FE3033" w:rsidP="0052587A" w14:paraId="29E7D81F" w14:textId="12DE557F">
      <w:pPr>
        <w:pStyle w:val="ATHeading3"/>
      </w:pPr>
      <w:bookmarkStart w:id="5" w:name="Sujet"/>
      <w:r w:rsidRPr="00FE3033">
        <w:t xml:space="preserve">2026 m. </w:t>
      </w:r>
      <w:r w:rsidR="0052587A">
        <w:t>birželio</w:t>
      </w:r>
      <w:r w:rsidRPr="00FE3033" w:rsidR="0052587A">
        <w:t xml:space="preserve"> </w:t>
      </w:r>
      <w:r w:rsidR="007B0329">
        <w:t>16</w:t>
      </w:r>
      <w:r w:rsidRPr="00FE3033" w:rsidR="007B0329">
        <w:t xml:space="preserve"> </w:t>
      </w:r>
      <w:r w:rsidRPr="00FE3033">
        <w:t xml:space="preserve">d. Europos Parlamento sprendimas dėl prašymo atšaukti </w:t>
      </w:r>
      <w:r w:rsidRPr="00FE3033">
        <w:t>Nikolos</w:t>
      </w:r>
      <w:r w:rsidRPr="00FE3033">
        <w:t xml:space="preserve"> </w:t>
      </w:r>
      <w:r w:rsidRPr="00FE3033">
        <w:t>Minchevo</w:t>
      </w:r>
      <w:r w:rsidRPr="00FE3033">
        <w:t xml:space="preserve"> (</w:t>
      </w:r>
      <w:r w:rsidRPr="00FE3033">
        <w:t>Nikola</w:t>
      </w:r>
      <w:r w:rsidRPr="00FE3033">
        <w:t xml:space="preserve"> </w:t>
      </w:r>
      <w:r w:rsidRPr="00FE3033">
        <w:t>Minchev</w:t>
      </w:r>
      <w:r w:rsidRPr="00FE3033">
        <w:t>) imunitetą</w:t>
      </w:r>
      <w:bookmarkEnd w:id="5"/>
      <w:r w:rsidRPr="00FE3033">
        <w:t xml:space="preserve"> </w:t>
      </w:r>
      <w:bookmarkStart w:id="6" w:name="References"/>
      <w:r w:rsidRPr="00FE3033">
        <w:t>(</w:t>
      </w:r>
      <w:r w:rsidRPr="005C4FE6" w:rsidR="00830903">
        <w:t>2025/2100</w:t>
      </w:r>
      <w:r w:rsidRPr="00FE3033">
        <w:t>(IMM))</w:t>
      </w:r>
      <w:bookmarkEnd w:id="6"/>
    </w:p>
    <w:p w:rsidR="000D6465" w:rsidRPr="00FE3033" w:rsidP="000D6465" w14:paraId="2E35020C" w14:textId="77777777">
      <w:pPr>
        <w:pStyle w:val="EPComma"/>
      </w:pPr>
      <w:bookmarkStart w:id="7" w:name="TextBodyBegin"/>
      <w:bookmarkEnd w:id="7"/>
      <w:r w:rsidRPr="00FE3033">
        <w:rPr>
          <w:i/>
        </w:rPr>
        <w:t>Europos Parlamentas</w:t>
      </w:r>
      <w:r w:rsidRPr="00FE3033">
        <w:t>,</w:t>
      </w:r>
    </w:p>
    <w:p w:rsidR="000D6465" w:rsidRPr="00FE3033" w:rsidP="000D6465" w14:paraId="429C5482" w14:textId="1DDABC36">
      <w:pPr>
        <w:pStyle w:val="NormalHanging12a"/>
      </w:pPr>
      <w:r w:rsidRPr="00FE3033">
        <w:t>–</w:t>
      </w:r>
      <w:r w:rsidRPr="00FE3033">
        <w:tab/>
      </w:r>
      <w:bookmarkStart w:id="8" w:name="_Hlk231477072"/>
      <w:r w:rsidRPr="00FE3033">
        <w:t xml:space="preserve">atsižvelgdamas į Belgijos federalinės užsienio reikalų, užsienio prekybos ir vystomojo bendradarbiavimo tarnybos 2025 m. gegužės 6 d. laišku, kuriuo perduodamas Belgijos federalinės prokuratūros 2025 m. balandžio 16 d. prašymas, pateiktą prašymą atšaukti </w:t>
      </w:r>
      <w:r w:rsidRPr="00FE3033">
        <w:t>Nikolos</w:t>
      </w:r>
      <w:r w:rsidRPr="00FE3033">
        <w:t xml:space="preserve"> </w:t>
      </w:r>
      <w:r w:rsidRPr="00FE3033">
        <w:t>Minchevo</w:t>
      </w:r>
      <w:r w:rsidRPr="00FE3033">
        <w:t xml:space="preserve"> imunitetą ryšium su jo atžvilgiu pradėtinu baudžiamuoju procesu, kuris buvo paskelbtas 2025 m. gegužės 21 d. plenariniame posėdyje,</w:t>
      </w:r>
    </w:p>
    <w:p w:rsidR="000D6465" w:rsidRPr="00FE3033" w:rsidP="000D6465" w14:paraId="0262EA61" w14:textId="39E7DE47">
      <w:pPr>
        <w:pStyle w:val="NormalHanging12a"/>
        <w:rPr>
          <w:bCs/>
        </w:rPr>
      </w:pPr>
      <w:r w:rsidRPr="00FE3033">
        <w:t>–</w:t>
      </w:r>
      <w:r w:rsidRPr="00FE3033">
        <w:tab/>
      </w:r>
      <w:bookmarkStart w:id="9" w:name="_Hlk225077637"/>
      <w:r w:rsidRPr="00FE3033">
        <w:t xml:space="preserve">atsižvelgdamas į papildomą informaciją, kurią 2025 m. liepos 15 d. pasikeitimo nuomonėmis metu pateikė </w:t>
      </w:r>
      <w:r w:rsidR="00786C9F">
        <w:t>f</w:t>
      </w:r>
      <w:r w:rsidRPr="00FE3033">
        <w:t xml:space="preserve">ederalinė prokurorė ir ikiteisminio tyrimo teisėjas, ir į 2025 m. rugsėjo 18 d. </w:t>
      </w:r>
      <w:r w:rsidR="00F96797">
        <w:t>f</w:t>
      </w:r>
      <w:r w:rsidR="005C134D">
        <w:t xml:space="preserve">ederalinės prokurorės </w:t>
      </w:r>
      <w:r w:rsidRPr="00FE3033">
        <w:t xml:space="preserve">atsakymą, pateiktą atsakant į papildomą rašytinį prašymą pateikti informaciją; atsižvelgdamas į tai, kad prašymas atšaukti Parlamento nario imunitetą </w:t>
      </w:r>
      <w:bookmarkStart w:id="10" w:name="_Hlk225077824"/>
      <w:r w:rsidRPr="00FE3033">
        <w:t>turi atitikti tam tikrus</w:t>
      </w:r>
      <w:bookmarkEnd w:id="10"/>
      <w:r w:rsidRPr="00FE3033">
        <w:t xml:space="preserve"> reikalavimus, tai yra, jis turi būti suformuluotas aiškiai, be kita ko, kiek tai susiję su teisiniu pagrindu, kuriuo grindžiamas prašymas, taip pat jame turi būti pateikti aiškūs ir pakankami įrodymai bei informacija, kad Parlamentas galėtų išnagrinėti prašymą ir padaryti išvadą bei kuo greičiau užbaigti tą nagrinėjimą, taip pat turint omenyje santykinį atvejo sudėtingumą;</w:t>
      </w:r>
      <w:bookmarkEnd w:id="9"/>
    </w:p>
    <w:p w:rsidR="000D6465" w:rsidRPr="00FE3033" w:rsidP="000D6465" w14:paraId="27C634FA" w14:textId="77777777">
      <w:pPr>
        <w:pStyle w:val="NormalHanging12a"/>
      </w:pPr>
      <w:r w:rsidRPr="00FE3033">
        <w:t>–</w:t>
      </w:r>
      <w:r w:rsidRPr="00FE3033">
        <w:tab/>
        <w:t xml:space="preserve">2025 m. gruodžio 3 d. išklausęs </w:t>
      </w:r>
      <w:r w:rsidRPr="00FE3033">
        <w:t>Nikolos</w:t>
      </w:r>
      <w:r w:rsidRPr="00FE3033">
        <w:t xml:space="preserve"> </w:t>
      </w:r>
      <w:r w:rsidRPr="00FE3033">
        <w:t>Minchevo</w:t>
      </w:r>
      <w:r w:rsidRPr="00FE3033">
        <w:t xml:space="preserve"> paaiškinimų, kaip nurodyta Darbo tvarkos taisyklių 9 straipsnio 6 dalyje,</w:t>
      </w:r>
    </w:p>
    <w:p w:rsidR="000D6465" w:rsidRPr="00FE3033" w:rsidP="000D6465" w14:paraId="79EB14F7" w14:textId="77777777">
      <w:pPr>
        <w:pStyle w:val="NormalHanging12a"/>
      </w:pPr>
      <w:r w:rsidRPr="00FE3033">
        <w:t>–</w:t>
      </w:r>
      <w:r w:rsidRPr="00FE3033">
        <w:tab/>
        <w:t>atsižvelgdamas į Protokolo Nr. 7 dėl Europos Sąjungos privilegijų ir imunitetų 8 ir 9 straipsnius ir į 1976 m. rugsėjo 20 d. Akto dėl Europos Parlamento narių rinkimų remiantis tiesiogine visuotine rinkimų teise 6 straipsnio 2 dalį,</w:t>
      </w:r>
    </w:p>
    <w:p w:rsidR="000D6465" w:rsidRPr="00FE3033" w:rsidP="000D6465" w14:paraId="4A9036C6" w14:textId="77777777">
      <w:pPr>
        <w:pStyle w:val="NormalHanging12a"/>
      </w:pPr>
      <w:r w:rsidRPr="00FE3033">
        <w:t>–</w:t>
      </w:r>
      <w:r w:rsidRPr="00FE3033">
        <w:tab/>
        <w:t xml:space="preserve">atsižvelgdamas į Europos Sąjungos Teisingumo Teismo 2008 m. spalio 21 d., 2010 m. kovo 19 d., 2011 m. rugsėjo 6 d., 2013 m. sausio 17 d. ir 2019 m. gruodžio 19 d. </w:t>
      </w:r>
      <w:r w:rsidRPr="00FE3033">
        <w:t>sprendimus</w:t>
      </w:r>
      <w:r>
        <w:rPr>
          <w:vertAlign w:val="superscript"/>
        </w:rPr>
        <w:footnoteReference w:id="2"/>
      </w:r>
      <w:r w:rsidRPr="00FE3033">
        <w:t>,</w:t>
      </w:r>
    </w:p>
    <w:p w:rsidR="000D6465" w:rsidRPr="00FE3033" w:rsidP="000D6465" w14:paraId="19922B44" w14:textId="77777777">
      <w:pPr>
        <w:pStyle w:val="NormalHanging12a"/>
      </w:pPr>
      <w:r w:rsidRPr="00FE3033">
        <w:t>–</w:t>
      </w:r>
      <w:r w:rsidRPr="00FE3033">
        <w:tab/>
        <w:t>atsižvelgdamas į Darbo tvarkos taisyklių 5 straipsnio 2 dalį, 6 straipsnio 1 dalį ir 9 straipsnį,</w:t>
      </w:r>
    </w:p>
    <w:p w:rsidR="000D6465" w:rsidRPr="00FE3033" w:rsidP="000D6465" w14:paraId="1792814F" w14:textId="77777777">
      <w:pPr>
        <w:pStyle w:val="NormalHanging12a"/>
      </w:pPr>
      <w:r w:rsidRPr="00FE3033">
        <w:t>–</w:t>
      </w:r>
      <w:r w:rsidRPr="00FE3033">
        <w:tab/>
        <w:t>atsižvelgdamas į Teisės reikalų komiteto pranešimą (A10-0155/2026),</w:t>
      </w:r>
    </w:p>
    <w:p w:rsidR="000D6465" w:rsidRPr="00FE3033" w:rsidP="000D6465" w14:paraId="6A77709D" w14:textId="4461E974">
      <w:pPr>
        <w:pStyle w:val="NormalHanging12a"/>
      </w:pPr>
      <w:r w:rsidRPr="00FE3033">
        <w:t>A.</w:t>
      </w:r>
      <w:r w:rsidRPr="00FE3033">
        <w:tab/>
        <w:t xml:space="preserve">kadangi </w:t>
      </w:r>
      <w:bookmarkStart w:id="11" w:name="_Hlk210982066"/>
      <w:r w:rsidR="00F96797">
        <w:t xml:space="preserve">2025 m. gegužės 6 d. </w:t>
      </w:r>
      <w:bookmarkEnd w:id="11"/>
      <w:r w:rsidRPr="00CF5E6C" w:rsidR="007B0329">
        <w:t>Belgijos federalinė užsienio reikalų, užsienio prekybos ir vystomojo bendradarbiavimo tarnyb</w:t>
      </w:r>
      <w:r w:rsidR="007B0329">
        <w:t xml:space="preserve">a perdavė </w:t>
      </w:r>
      <w:r w:rsidR="00F96797">
        <w:t>f</w:t>
      </w:r>
      <w:r w:rsidRPr="00FE3033">
        <w:t>ederalinė</w:t>
      </w:r>
      <w:r w:rsidR="007B0329">
        <w:t>s</w:t>
      </w:r>
      <w:r w:rsidRPr="00FE3033">
        <w:t xml:space="preserve"> prokurorė</w:t>
      </w:r>
      <w:r w:rsidR="007B0329">
        <w:t>s</w:t>
      </w:r>
      <w:r w:rsidRPr="00FE3033">
        <w:t xml:space="preserve"> </w:t>
      </w:r>
      <w:r w:rsidRPr="00FE3033" w:rsidR="00F96797">
        <w:t xml:space="preserve">2025 m. balandžio 16 d. </w:t>
      </w:r>
      <w:r w:rsidRPr="00FE3033">
        <w:t xml:space="preserve">prašymą atšaukti Bulgarijoje išrinkto Europos Parlamento nario </w:t>
      </w:r>
      <w:r w:rsidRPr="00FE3033">
        <w:t>Nikolos</w:t>
      </w:r>
      <w:r w:rsidRPr="00FE3033">
        <w:t xml:space="preserve"> </w:t>
      </w:r>
      <w:r w:rsidRPr="00FE3033">
        <w:t>Minchevo</w:t>
      </w:r>
      <w:r w:rsidRPr="00FE3033">
        <w:t xml:space="preserve"> imunitetą ryšium su jo atžvilgiu pradėtinu baudžiamuoju procesu;</w:t>
      </w:r>
    </w:p>
    <w:p w:rsidR="000D6465" w:rsidRPr="00FE3033" w:rsidP="000D6465" w14:paraId="03282ABA" w14:textId="7B45E40C">
      <w:pPr>
        <w:pStyle w:val="NormalHanging12a"/>
      </w:pPr>
      <w:r w:rsidRPr="00FE3033">
        <w:t>B.</w:t>
      </w:r>
      <w:r w:rsidRPr="00FE3033">
        <w:tab/>
      </w:r>
      <w:bookmarkStart w:id="12" w:name="_Hlk229403782"/>
      <w:bookmarkStart w:id="13" w:name="_Hlk228968475"/>
      <w:bookmarkStart w:id="14" w:name="_Hlk223949179"/>
      <w:r w:rsidRPr="00FE3033">
        <w:t>kadangi atlikus plataus masto tyrimą dėl įmonės „</w:t>
      </w:r>
      <w:r w:rsidRPr="00FE3033">
        <w:t>Huawei</w:t>
      </w:r>
      <w:r w:rsidRPr="00FE3033">
        <w:t xml:space="preserve">“ galimai gauta rimtų įrodymų, patvirtinančių, kad egzistuoja nusikalstamas susivienijimas, kurio tikslas, kaip įtariama, buvo daryti įtaką </w:t>
      </w:r>
      <w:r w:rsidR="007B0329">
        <w:t>Sąjungos</w:t>
      </w:r>
      <w:r w:rsidRPr="00FE3033" w:rsidR="007B0329">
        <w:t xml:space="preserve"> </w:t>
      </w:r>
      <w:r w:rsidRPr="00FE3033">
        <w:t>institucijų sprendimams dalyvaujant Europos Parlamento narių korupciniuose veiksmuose;</w:t>
      </w:r>
      <w:bookmarkEnd w:id="12"/>
      <w:r w:rsidRPr="00FE3033">
        <w:t xml:space="preserve"> kadangi panašu, kad atliekant tą tyrimą buvo atskleisti keli galimos korupcijos veiksmai, kurie, kaip įtariama, buvo reguliariai daromi nuo 2021 iki 2024 metų; kadangi korupcijos schema, kaip įtariama, pasireiškė įvairiomis formomis, </w:t>
      </w:r>
      <w:bookmarkStart w:id="15" w:name="_Hlk229403810"/>
      <w:r w:rsidRPr="00FE3033">
        <w:t>įskaitant kvietimus Europos Parlamento nariams į įmonės „</w:t>
      </w:r>
      <w:r w:rsidRPr="00FE3033">
        <w:t>Huawei</w:t>
      </w:r>
      <w:r w:rsidRPr="00FE3033">
        <w:t>“ remiamus renginius, galimai kaip atlygį už tai, kad buvo laikomasi šiai įmonei palankios politinės pozicijos, ir pernelyg vertingas dovanas, pavyzdžiui, maitinimo ir kelionės išlaidų apmokėjimą arba reguliarius kvietimus į futbolo rungtynes už Europos Parlamento ribų</w:t>
      </w:r>
      <w:bookmarkEnd w:id="13"/>
      <w:bookmarkEnd w:id="15"/>
      <w:r w:rsidRPr="00FE3033">
        <w:t>;</w:t>
      </w:r>
      <w:bookmarkEnd w:id="14"/>
    </w:p>
    <w:p w:rsidR="000D6465" w:rsidRPr="00FE3033" w:rsidP="000D6465" w14:paraId="36FBE66E" w14:textId="2257768B">
      <w:pPr>
        <w:pStyle w:val="NormalHanging12a"/>
      </w:pPr>
      <w:r w:rsidRPr="00FE3033">
        <w:t>C.</w:t>
      </w:r>
      <w:r w:rsidRPr="00FE3033">
        <w:tab/>
        <w:t xml:space="preserve">kadangi prašyme atšaukti imunitetą nurodyta, kad 2024 m. spalio 24 d. </w:t>
      </w:r>
      <w:r w:rsidRPr="00FE3033">
        <w:t>Nikola</w:t>
      </w:r>
      <w:r w:rsidRPr="00FE3033">
        <w:t xml:space="preserve"> </w:t>
      </w:r>
      <w:r w:rsidRPr="00FE3033">
        <w:t>Minchev</w:t>
      </w:r>
      <w:r w:rsidRPr="00FE3033">
        <w:t xml:space="preserve"> kartu su savo akredituotu Parlamento nario padėjėju, dviem įmonės „</w:t>
      </w:r>
      <w:r w:rsidRPr="00FE3033">
        <w:t>Huawei</w:t>
      </w:r>
      <w:r w:rsidRPr="00FE3033">
        <w:t>“ atstovais ir kitu asmeniu Briuselyje esančiame stadione stebėjo futbolo rungtynes; kadangi prašyme nurodyta, kad jie buvo ložėje, kurią įmonė „</w:t>
      </w:r>
      <w:r w:rsidRPr="00FE3033">
        <w:t>Huawei</w:t>
      </w:r>
      <w:r w:rsidRPr="00FE3033">
        <w:t xml:space="preserve">“ galimai per įmonę tarpininkę išsinuomojo už mokestį, kuris sudaro 45 000 EUR per sezoną, siekdama sudaryti palankesnes sąlygas palaikyti ryšius su kai kuriais Europos Parlamento nariais; kadangi nepanašu, kad </w:t>
      </w:r>
      <w:r w:rsidRPr="00FE3033">
        <w:t>Nikola</w:t>
      </w:r>
      <w:r w:rsidRPr="00FE3033">
        <w:t xml:space="preserve"> </w:t>
      </w:r>
      <w:r w:rsidRPr="00FE3033">
        <w:t>Minchev</w:t>
      </w:r>
      <w:r w:rsidRPr="00FE3033">
        <w:t xml:space="preserve"> Europos Parlamentui deklaravo išlaidas, patirtas stebint futbolo rungtynes, kurių tiksli suma institucijai, prašančiai atšaukti imunitetą, nebuvo žinoma; kadangi, remiantis </w:t>
      </w:r>
      <w:r w:rsidR="00F66FC4">
        <w:t>f</w:t>
      </w:r>
      <w:r w:rsidRPr="00FE3033">
        <w:t xml:space="preserve">ederalinės prokurorės pateikta papildoma informacija, 2024 m. liepos 16 d. </w:t>
      </w:r>
      <w:r w:rsidRPr="00FE3033">
        <w:t>Nikola</w:t>
      </w:r>
      <w:r w:rsidRPr="00FE3033">
        <w:t xml:space="preserve"> </w:t>
      </w:r>
      <w:r w:rsidRPr="00FE3033">
        <w:t>Minchev</w:t>
      </w:r>
      <w:r w:rsidRPr="00FE3033">
        <w:t xml:space="preserve"> kartu su įmonės „</w:t>
      </w:r>
      <w:r w:rsidRPr="00FE3033">
        <w:t>Huawei</w:t>
      </w:r>
      <w:r w:rsidRPr="00FE3033">
        <w:t>“ vadovybės darbuotoja taip pat dalyvavo vieno iš dviejų „</w:t>
      </w:r>
      <w:r w:rsidRPr="00FE3033">
        <w:t>Huawei</w:t>
      </w:r>
      <w:r w:rsidRPr="00FE3033">
        <w:t>“ atstovų surengtoje vakarienėje;</w:t>
      </w:r>
    </w:p>
    <w:p w:rsidR="000D6465" w:rsidRPr="00FE3033" w:rsidP="000D6465" w14:paraId="78C3E107" w14:textId="106B70B1">
      <w:pPr>
        <w:pStyle w:val="NormalHanging12a"/>
      </w:pPr>
      <w:r w:rsidRPr="00FE3033">
        <w:t>D.</w:t>
      </w:r>
      <w:r w:rsidRPr="00FE3033">
        <w:tab/>
        <w:t xml:space="preserve">kadangi tai, kad Nikolai </w:t>
      </w:r>
      <w:r w:rsidRPr="00FE3033">
        <w:t>Minchevui</w:t>
      </w:r>
      <w:r w:rsidRPr="00FE3033">
        <w:t xml:space="preserve"> inkriminuojami veiksmai galėtų būti laikomi Belgijos baudžiamojo kodekso 246 straipsnio 1 dalyje numatyta nusikalstama veika – kyšininkavimu (viešąsias pareigas einančio asmens pasyviąja korupcija), buvo nurodyta tik gavus papildomos informacijos, kurią </w:t>
      </w:r>
      <w:r w:rsidR="00786C9F">
        <w:t>f</w:t>
      </w:r>
      <w:r w:rsidRPr="00FE3033">
        <w:t>ederalinė prokurorė pateikė atsakydama į rašytinį prašymą pateikti papildomos informacijos;</w:t>
      </w:r>
    </w:p>
    <w:p w:rsidR="000D6465" w:rsidRPr="00FE3033" w:rsidP="000D6465" w14:paraId="0D9CBCF0" w14:textId="0F8C98BF">
      <w:pPr>
        <w:pStyle w:val="NormalHanging12a"/>
      </w:pPr>
      <w:r w:rsidRPr="00FE3033">
        <w:t>E.</w:t>
      </w:r>
      <w:r w:rsidRPr="00FE3033">
        <w:tab/>
        <w:t xml:space="preserve">kadangi </w:t>
      </w:r>
      <w:r w:rsidRPr="00FE3033" w:rsidR="005C134D">
        <w:t>Nikola</w:t>
      </w:r>
      <w:r w:rsidRPr="00FE3033" w:rsidR="005C134D">
        <w:t xml:space="preserve"> </w:t>
      </w:r>
      <w:r w:rsidRPr="00FE3033" w:rsidR="005C134D">
        <w:t>Minchev</w:t>
      </w:r>
      <w:r w:rsidRPr="00FE3033" w:rsidR="005C134D">
        <w:t xml:space="preserve"> buvo išrinktas į Europos Parlamentą</w:t>
      </w:r>
      <w:r w:rsidR="00F66FC4">
        <w:t xml:space="preserve"> </w:t>
      </w:r>
      <w:r w:rsidRPr="00FE3033">
        <w:t>2024 m. birželio mėn. vykusiuose Europos Parlamento rinkimuose</w:t>
      </w:r>
      <w:r w:rsidR="005C134D">
        <w:t>,</w:t>
      </w:r>
      <w:r w:rsidRPr="00FE3033">
        <w:t xml:space="preserve"> ir </w:t>
      </w:r>
      <w:r w:rsidR="005C134D">
        <w:t xml:space="preserve">todėl </w:t>
      </w:r>
      <w:r w:rsidRPr="00FE3033">
        <w:t xml:space="preserve">veikos, kuria jis įtariamas, </w:t>
      </w:r>
      <w:r w:rsidRPr="00FE3033">
        <w:t>padarymo momentu buvo Europos Parlamento nar</w:t>
      </w:r>
      <w:r w:rsidR="005C134D">
        <w:t>iu</w:t>
      </w:r>
      <w:r w:rsidRPr="00FE3033">
        <w:t>;</w:t>
      </w:r>
    </w:p>
    <w:p w:rsidR="000D6465" w:rsidRPr="00FE3033" w:rsidP="000D6465" w14:paraId="5108EC2C" w14:textId="77777777">
      <w:pPr>
        <w:pStyle w:val="NormalHanging12a"/>
      </w:pPr>
      <w:r w:rsidRPr="00FE3033">
        <w:t>F.</w:t>
      </w:r>
      <w:r w:rsidRPr="00FE3033">
        <w:tab/>
        <w:t>kadangi, pirma, Parlamentas negali būti prilyginamas teismui ir, antra, vykstant imuniteto atšaukimo procedūrai Parlamento narys negali būti laikomas kaltinamuoju</w:t>
      </w:r>
      <w:r>
        <w:rPr>
          <w:vertAlign w:val="superscript"/>
        </w:rPr>
        <w:footnoteReference w:id="3"/>
      </w:r>
      <w:r w:rsidRPr="00FE3033">
        <w:t>;</w:t>
      </w:r>
    </w:p>
    <w:p w:rsidR="000D6465" w:rsidRPr="00FE3033" w:rsidP="000D6465" w14:paraId="5E593B89" w14:textId="77777777">
      <w:pPr>
        <w:pStyle w:val="NormalHanging12a"/>
      </w:pPr>
      <w:r w:rsidRPr="00FE3033">
        <w:t>G.</w:t>
      </w:r>
      <w:r w:rsidRPr="00FE3033">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0D6465" w:rsidRPr="00FE3033" w:rsidP="000D6465" w14:paraId="204DD1A9" w14:textId="104B1B98">
      <w:pPr>
        <w:pStyle w:val="NormalHanging12a"/>
      </w:pPr>
      <w:r w:rsidRPr="00FE3033">
        <w:t>H.</w:t>
      </w:r>
      <w:r w:rsidRPr="00FE3033">
        <w:tab/>
        <w:t>kadangi Parlamento darbo tvarkos taisyklių 5 straipsnio 2 dalyje numatyta, kad Parlamento nario imunitetas yra ne jo asmeninė privilegija, bet viso Europos Parlamento ir jo narių nepriklausomumo garantija;</w:t>
      </w:r>
    </w:p>
    <w:p w:rsidR="000D6465" w:rsidRPr="00FE3033" w:rsidP="000D6465" w14:paraId="64710088" w14:textId="77777777">
      <w:pPr>
        <w:pStyle w:val="NormalHanging12a"/>
      </w:pPr>
      <w:r w:rsidRPr="00FE3033">
        <w:t>I.</w:t>
      </w:r>
      <w:r w:rsidRPr="00FE3033">
        <w:tab/>
        <w:t xml:space="preserve">kadangi Protokolo Nr. 7 dėl Europos Sąjungos privilegijų ir imunitetų 8 straipsnyje nustatyta, kad Europos Parlamento nariai negali būti apklausiami, sulaikomi ar traukiami atsakomybėn dėl einant pareigas pareikštos nuomonės ar balsavimo; kadangi galima nusikalstama veika nėra susijusi su Nikolai </w:t>
      </w:r>
      <w:r w:rsidRPr="00FE3033">
        <w:t>Minchevui</w:t>
      </w:r>
      <w:r w:rsidRPr="00FE3033">
        <w:t xml:space="preserve"> einant pareigas pareikšta nuomone ar balsavimu, kaip numatyta to protokolo 8 straipsnyje;</w:t>
      </w:r>
    </w:p>
    <w:p w:rsidR="000D6465" w:rsidRPr="00FE3033" w:rsidP="000D6465" w14:paraId="5E2E4DD3" w14:textId="1FCC8E76">
      <w:pPr>
        <w:pStyle w:val="NormalHanging12a"/>
      </w:pPr>
      <w:r w:rsidRPr="00FE3033">
        <w:t>J.</w:t>
      </w:r>
      <w:r w:rsidRPr="00FE3033">
        <w:tab/>
        <w:t xml:space="preserve">kadangi Protokolo Nr. 7 dėl Europos Sąjungos privilegijų ir imunitetų 9 straipsnio pirmos pastraipos b punkte nustatyta, kad Parlamento nariai </w:t>
      </w:r>
      <w:r w:rsidR="007B0329">
        <w:t xml:space="preserve">Europos Parlamento sesijų metu </w:t>
      </w:r>
      <w:r w:rsidRPr="00FE3033">
        <w:t>visų kitų valstybių narių teritorijose naudojasi imunitetu nuo bet kokios sulaikymo priemonės ir patraukimo atsakomybėn;</w:t>
      </w:r>
    </w:p>
    <w:p w:rsidR="000D6465" w:rsidRPr="00FE3033" w:rsidP="000D6465" w14:paraId="316C917D" w14:textId="69099825">
      <w:pPr>
        <w:pStyle w:val="NormalHanging12a"/>
      </w:pPr>
      <w:r w:rsidRPr="00FE3033">
        <w:t>K.</w:t>
      </w:r>
      <w:r w:rsidRPr="00FE3033">
        <w:tab/>
        <w:t xml:space="preserve">kadangi bet kokia išvada dėl </w:t>
      </w:r>
      <w:r w:rsidRPr="00FE3033">
        <w:t>Nikolos</w:t>
      </w:r>
      <w:r w:rsidRPr="00FE3033">
        <w:t xml:space="preserve"> </w:t>
      </w:r>
      <w:r w:rsidRPr="00FE3033">
        <w:t>Minchevo</w:t>
      </w:r>
      <w:r w:rsidRPr="00FE3033">
        <w:t xml:space="preserve"> imuniteto turi būti daroma remiantis prašymu atšaukti imunitetą ir šioje byloje pateikta informacija bei paaiškinimais, įskaitant </w:t>
      </w:r>
      <w:r w:rsidR="00786C9F">
        <w:t>f</w:t>
      </w:r>
      <w:r w:rsidRPr="00FE3033">
        <w:t xml:space="preserve">ederalinės prokurorės atsakymus, pateiktus tiek pasikeitimo nuomonėmis metu, tiek raštu pateiktoje papildomoje informacijoje; kadangi prašyme atšaukti imunitetą akivaizdžiai trūksta konkrečių įrodymų; kadangi vėlesni žodiniai ir rašytiniai kontaktai su </w:t>
      </w:r>
      <w:r w:rsidR="00786C9F">
        <w:t>f</w:t>
      </w:r>
      <w:r w:rsidRPr="00FE3033">
        <w:t xml:space="preserve">ederaline prokurore neišsklaidė didelio netikrumo, susijusio su įvairiais prašyme atšaukti </w:t>
      </w:r>
      <w:r w:rsidRPr="00FE3033">
        <w:t>Nikolos</w:t>
      </w:r>
      <w:r w:rsidRPr="00FE3033">
        <w:t xml:space="preserve"> </w:t>
      </w:r>
      <w:r w:rsidRPr="00FE3033">
        <w:t>Minchevo</w:t>
      </w:r>
      <w:r w:rsidRPr="00FE3033">
        <w:t xml:space="preserve"> imunitetą pateiktais įrodymais;</w:t>
      </w:r>
    </w:p>
    <w:p w:rsidR="000D6465" w:rsidRPr="00FE3033" w:rsidP="000D6465" w14:paraId="2D16293A" w14:textId="77777777">
      <w:pPr>
        <w:pStyle w:val="NormalHanging12a"/>
      </w:pPr>
      <w:r w:rsidRPr="00FE3033">
        <w:t>L.</w:t>
      </w:r>
      <w:r w:rsidRPr="00FE3033">
        <w:tab/>
        <w:t xml:space="preserve">kadangi, remiantis tuo, kas išdėstyta pirmiau, iš pateiktos informacijos visumos Parlamentas negalėjo užtikrintai priimti pakankamai informacija pagrįsto sprendimo atšaukti </w:t>
      </w:r>
      <w:r w:rsidRPr="00FE3033">
        <w:t>Nikolos</w:t>
      </w:r>
      <w:r w:rsidRPr="00FE3033">
        <w:t xml:space="preserve"> </w:t>
      </w:r>
      <w:r w:rsidRPr="00FE3033">
        <w:t>Minchevo</w:t>
      </w:r>
      <w:r w:rsidRPr="00FE3033">
        <w:t xml:space="preserve"> imunitetą; kadangi didelis netikrumas, susijęs su įvairiais įrodymais šioje byloje, be kita ko, savo pobūdžiu rodytų esant </w:t>
      </w:r>
      <w:r w:rsidRPr="00FE3033">
        <w:rPr>
          <w:i/>
        </w:rPr>
        <w:t>fumus</w:t>
      </w:r>
      <w:r w:rsidRPr="00FE3033">
        <w:rPr>
          <w:i/>
        </w:rPr>
        <w:t xml:space="preserve"> </w:t>
      </w:r>
      <w:r w:rsidRPr="00FE3033">
        <w:rPr>
          <w:i/>
        </w:rPr>
        <w:t>persecutionis</w:t>
      </w:r>
      <w:r w:rsidRPr="00FE3033">
        <w:t>;</w:t>
      </w:r>
    </w:p>
    <w:p w:rsidR="000D6465" w:rsidRPr="00FE3033" w:rsidP="000D6465" w14:paraId="46384E1E" w14:textId="77777777">
      <w:pPr>
        <w:pStyle w:val="NormalHanging12a"/>
      </w:pPr>
      <w:r w:rsidRPr="00FE3033">
        <w:t>1.</w:t>
      </w:r>
      <w:r w:rsidRPr="00FE3033">
        <w:tab/>
        <w:t xml:space="preserve">nusprendžia neatšaukti </w:t>
      </w:r>
      <w:r w:rsidRPr="00FE3033">
        <w:t>Nikolos</w:t>
      </w:r>
      <w:r w:rsidRPr="00FE3033">
        <w:t xml:space="preserve"> </w:t>
      </w:r>
      <w:r w:rsidRPr="00FE3033">
        <w:t>Minchevo</w:t>
      </w:r>
      <w:r w:rsidRPr="00FE3033">
        <w:t xml:space="preserve"> imuniteto;</w:t>
      </w:r>
    </w:p>
    <w:p w:rsidR="00E365E1" w:rsidRPr="00FE3033" w:rsidP="00786C9F" w14:paraId="3E31A6E2" w14:textId="7B277355">
      <w:pPr>
        <w:ind w:left="567" w:hanging="567"/>
      </w:pPr>
      <w:r w:rsidRPr="00FE3033">
        <w:t>2.</w:t>
      </w:r>
      <w:r w:rsidRPr="00FE3033">
        <w:tab/>
        <w:t>paveda Pirmininkei nedelsiant perduoti šį sprendimą ir atsakingo komiteto pranešimą Belgijos Karalystės kompetenting</w:t>
      </w:r>
      <w:r w:rsidR="005C134D">
        <w:t>ai</w:t>
      </w:r>
      <w:r w:rsidRPr="00FE3033">
        <w:t xml:space="preserve"> institucij</w:t>
      </w:r>
      <w:r w:rsidR="005C134D">
        <w:t>ai</w:t>
      </w:r>
      <w:r w:rsidRPr="00FE3033">
        <w:t xml:space="preserve"> ir Nikolai </w:t>
      </w:r>
      <w:r w:rsidRPr="00FE3033">
        <w:t>Minchevui</w:t>
      </w:r>
      <w:r w:rsidRPr="00FE3033">
        <w:t>.</w:t>
      </w:r>
      <w:bookmarkEnd w:id="8"/>
    </w:p>
    <w:sectPr w:rsidSect="00FE303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3033" w14:paraId="59F354F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3033" w14:paraId="644D155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3033" w14:paraId="7D1DFD3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212F" w:rsidRPr="00FE3033" w14:paraId="770F1014" w14:textId="77777777">
      <w:r w:rsidRPr="00FE3033">
        <w:separator/>
      </w:r>
    </w:p>
  </w:footnote>
  <w:footnote w:type="continuationSeparator" w:id="1">
    <w:p w:rsidR="0057212F" w:rsidRPr="00FE3033" w14:paraId="567DC22B" w14:textId="77777777">
      <w:r w:rsidRPr="00FE3033">
        <w:continuationSeparator/>
      </w:r>
    </w:p>
  </w:footnote>
  <w:footnote w:id="2">
    <w:p w:rsidR="000D6465" w:rsidRPr="00FE3033" w:rsidP="00FE3033" w14:paraId="688DE320" w14:textId="6B51090F">
      <w:pPr>
        <w:pStyle w:val="FootnoteText"/>
        <w:ind w:left="567" w:hanging="567"/>
        <w:rPr>
          <w:sz w:val="24"/>
          <w:lang w:val="lt-LT"/>
        </w:rPr>
      </w:pPr>
      <w:r w:rsidRPr="00FE3033">
        <w:rPr>
          <w:rStyle w:val="FootnoteReference"/>
          <w:sz w:val="24"/>
          <w:lang w:val="lt-LT"/>
        </w:rPr>
        <w:footnoteRef/>
      </w:r>
      <w:r w:rsidRPr="00FE3033" w:rsidR="00FE3033">
        <w:rPr>
          <w:sz w:val="24"/>
          <w:lang w:val="lt-LT"/>
        </w:rPr>
        <w:t xml:space="preserve"> </w:t>
      </w:r>
      <w:r w:rsidRPr="00FE3033" w:rsidR="00FE3033">
        <w:rPr>
          <w:sz w:val="24"/>
          <w:lang w:val="lt-LT"/>
        </w:rPr>
        <w:tab/>
      </w:r>
      <w:r w:rsidRPr="00FE3033">
        <w:rPr>
          <w:sz w:val="24"/>
          <w:lang w:val="lt-LT"/>
        </w:rPr>
        <w:t xml:space="preserve">2008 m. spalio 21 d. Teisingumo Teismo sprendimas </w:t>
      </w:r>
      <w:r w:rsidRPr="00FE3033">
        <w:rPr>
          <w:i/>
          <w:sz w:val="24"/>
          <w:lang w:val="lt-LT"/>
        </w:rPr>
        <w:t>Marra / De Gregorio ir Clemente</w:t>
      </w:r>
      <w:r w:rsidRPr="00FE3033">
        <w:rPr>
          <w:sz w:val="24"/>
          <w:lang w:val="lt-LT"/>
        </w:rPr>
        <w:t xml:space="preserve">, C-200/07 ir C-201/07, ECLI:EU:C:2008:579; 2010 m. kovo 19 d. Bendrojo Teismo sprendimas </w:t>
      </w:r>
      <w:r w:rsidRPr="00FE3033">
        <w:rPr>
          <w:i/>
          <w:sz w:val="24"/>
          <w:lang w:val="lt-LT"/>
        </w:rPr>
        <w:t>Gollnisch / Parlamentas</w:t>
      </w:r>
      <w:r w:rsidRPr="00FE3033">
        <w:rPr>
          <w:sz w:val="24"/>
          <w:lang w:val="lt-LT"/>
        </w:rPr>
        <w:t xml:space="preserve">, T-42/06, ECLI:EU:T:2010:102; 2011 m. rugsėjo 6 d. Teisingumo Teismo sprendimas </w:t>
      </w:r>
      <w:r w:rsidRPr="00FE3033">
        <w:rPr>
          <w:i/>
          <w:sz w:val="24"/>
          <w:lang w:val="lt-LT"/>
        </w:rPr>
        <w:t>Patriciello</w:t>
      </w:r>
      <w:r w:rsidRPr="00FE3033">
        <w:rPr>
          <w:sz w:val="24"/>
          <w:lang w:val="lt-LT"/>
        </w:rPr>
        <w:t xml:space="preserve">, C-163/10, ECLI: EU:C:2011:543; 2013 m. sausio 17 d. Bendrojo Teismo sprendimas </w:t>
      </w:r>
      <w:r w:rsidRPr="00FE3033">
        <w:rPr>
          <w:i/>
          <w:sz w:val="24"/>
          <w:lang w:val="lt-LT"/>
        </w:rPr>
        <w:t>Gollnisch / Parlamentas</w:t>
      </w:r>
      <w:r w:rsidRPr="00FE3033">
        <w:rPr>
          <w:sz w:val="24"/>
          <w:lang w:val="lt-LT"/>
        </w:rPr>
        <w:t xml:space="preserve">, T-346/11 ir T-347/11, ECLI:EU:T:2013:23; 2019 m. gruodžio 19 d. Teisingumo Teismo sprendimas </w:t>
      </w:r>
      <w:r w:rsidRPr="00FE3033">
        <w:rPr>
          <w:i/>
          <w:iCs/>
          <w:sz w:val="24"/>
          <w:lang w:val="lt-LT"/>
        </w:rPr>
        <w:t>Junqueras Vies</w:t>
      </w:r>
      <w:r w:rsidRPr="00FE3033">
        <w:rPr>
          <w:sz w:val="24"/>
          <w:lang w:val="lt-LT"/>
        </w:rPr>
        <w:t>, C-502/19, ECLI:EU:C:2019:1115.</w:t>
      </w:r>
    </w:p>
  </w:footnote>
  <w:footnote w:id="3">
    <w:p w:rsidR="000D6465" w:rsidRPr="00FE3033" w:rsidP="00FE3033" w14:paraId="264F27DB" w14:textId="7B21A81B">
      <w:pPr>
        <w:pStyle w:val="FootnoteText"/>
        <w:ind w:left="567" w:hanging="567"/>
        <w:rPr>
          <w:sz w:val="24"/>
          <w:lang w:val="lt-LT"/>
        </w:rPr>
      </w:pPr>
      <w:r w:rsidRPr="00FE3033">
        <w:rPr>
          <w:rStyle w:val="FootnoteReference"/>
          <w:sz w:val="24"/>
          <w:lang w:val="lt-LT"/>
        </w:rPr>
        <w:footnoteRef/>
      </w:r>
      <w:r w:rsidRPr="00FE3033" w:rsidR="00FE3033">
        <w:rPr>
          <w:sz w:val="24"/>
          <w:lang w:val="lt-LT"/>
        </w:rPr>
        <w:t xml:space="preserve"> </w:t>
      </w:r>
      <w:r w:rsidRPr="00FE3033" w:rsidR="00FE3033">
        <w:rPr>
          <w:sz w:val="24"/>
          <w:lang w:val="lt-LT"/>
        </w:rPr>
        <w:tab/>
      </w:r>
      <w:r w:rsidRPr="00FE3033">
        <w:rPr>
          <w:sz w:val="24"/>
          <w:lang w:val="lt-LT"/>
        </w:rPr>
        <w:t xml:space="preserve">2019 m. balandžio 30 d. Bendrojo Teismo sprendimas </w:t>
      </w:r>
      <w:r w:rsidRPr="00FE3033">
        <w:rPr>
          <w:i/>
          <w:sz w:val="24"/>
          <w:lang w:val="lt-LT"/>
        </w:rPr>
        <w:t>Briois / Parlamentas</w:t>
      </w:r>
      <w:r w:rsidRPr="00FE3033">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3033" w14:paraId="0B3D792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3033" w14:paraId="12FDB40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3033" w14:paraId="3199A7A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4165847">
    <w:abstractNumId w:val="9"/>
  </w:num>
  <w:num w:numId="2" w16cid:durableId="1575701173">
    <w:abstractNumId w:val="9"/>
  </w:num>
  <w:num w:numId="3" w16cid:durableId="960456312">
    <w:abstractNumId w:val="7"/>
  </w:num>
  <w:num w:numId="4" w16cid:durableId="1089543580">
    <w:abstractNumId w:val="7"/>
  </w:num>
  <w:num w:numId="5" w16cid:durableId="96292384">
    <w:abstractNumId w:val="6"/>
  </w:num>
  <w:num w:numId="6" w16cid:durableId="1617326725">
    <w:abstractNumId w:val="6"/>
  </w:num>
  <w:num w:numId="7" w16cid:durableId="1706322537">
    <w:abstractNumId w:val="5"/>
  </w:num>
  <w:num w:numId="8" w16cid:durableId="778447838">
    <w:abstractNumId w:val="5"/>
  </w:num>
  <w:num w:numId="9" w16cid:durableId="1135831213">
    <w:abstractNumId w:val="4"/>
  </w:num>
  <w:num w:numId="10" w16cid:durableId="545726598">
    <w:abstractNumId w:val="4"/>
  </w:num>
  <w:num w:numId="11" w16cid:durableId="1342779283">
    <w:abstractNumId w:val="8"/>
  </w:num>
  <w:num w:numId="12" w16cid:durableId="41443548">
    <w:abstractNumId w:val="8"/>
  </w:num>
  <w:num w:numId="13" w16cid:durableId="308487402">
    <w:abstractNumId w:val="3"/>
  </w:num>
  <w:num w:numId="14" w16cid:durableId="223027260">
    <w:abstractNumId w:val="3"/>
  </w:num>
  <w:num w:numId="15" w16cid:durableId="478352875">
    <w:abstractNumId w:val="2"/>
  </w:num>
  <w:num w:numId="16" w16cid:durableId="1599754951">
    <w:abstractNumId w:val="2"/>
  </w:num>
  <w:num w:numId="17" w16cid:durableId="1454207619">
    <w:abstractNumId w:val="1"/>
  </w:num>
  <w:num w:numId="18" w16cid:durableId="1611084459">
    <w:abstractNumId w:val="1"/>
  </w:num>
  <w:num w:numId="19" w16cid:durableId="1421677397">
    <w:abstractNumId w:val="0"/>
  </w:num>
  <w:num w:numId="20" w16cid:durableId="520628299">
    <w:abstractNumId w:val="0"/>
  </w:num>
  <w:num w:numId="21" w16cid:durableId="1426923509">
    <w:abstractNumId w:val="9"/>
  </w:num>
  <w:num w:numId="22" w16cid:durableId="988051696">
    <w:abstractNumId w:val="7"/>
  </w:num>
  <w:num w:numId="23" w16cid:durableId="1364555950">
    <w:abstractNumId w:val="6"/>
  </w:num>
  <w:num w:numId="24" w16cid:durableId="136653085">
    <w:abstractNumId w:val="5"/>
  </w:num>
  <w:num w:numId="25" w16cid:durableId="1671789512">
    <w:abstractNumId w:val="4"/>
  </w:num>
  <w:num w:numId="26" w16cid:durableId="77530078">
    <w:abstractNumId w:val="8"/>
  </w:num>
  <w:num w:numId="27" w16cid:durableId="1766413021">
    <w:abstractNumId w:val="3"/>
  </w:num>
  <w:num w:numId="28" w16cid:durableId="512300429">
    <w:abstractNumId w:val="2"/>
  </w:num>
  <w:num w:numId="29" w16cid:durableId="1927690499">
    <w:abstractNumId w:val="1"/>
  </w:num>
  <w:num w:numId="30" w16cid:durableId="1287127459">
    <w:abstractNumId w:val="0"/>
  </w:num>
  <w:num w:numId="31" w16cid:durableId="1834485111">
    <w:abstractNumId w:val="9"/>
  </w:num>
  <w:num w:numId="32" w16cid:durableId="1991059775">
    <w:abstractNumId w:val="7"/>
  </w:num>
  <w:num w:numId="33" w16cid:durableId="321860808">
    <w:abstractNumId w:val="6"/>
  </w:num>
  <w:num w:numId="34" w16cid:durableId="1618875805">
    <w:abstractNumId w:val="5"/>
  </w:num>
  <w:num w:numId="35" w16cid:durableId="439764830">
    <w:abstractNumId w:val="4"/>
  </w:num>
  <w:num w:numId="36" w16cid:durableId="257103405">
    <w:abstractNumId w:val="8"/>
  </w:num>
  <w:num w:numId="37" w16cid:durableId="1832597482">
    <w:abstractNumId w:val="3"/>
  </w:num>
  <w:num w:numId="38" w16cid:durableId="1762332165">
    <w:abstractNumId w:val="2"/>
  </w:num>
  <w:num w:numId="39" w16cid:durableId="1218475520">
    <w:abstractNumId w:val="1"/>
  </w:num>
  <w:num w:numId="40" w16cid:durableId="1467699208">
    <w:abstractNumId w:val="0"/>
  </w:num>
  <w:num w:numId="41" w16cid:durableId="1913277387">
    <w:abstractNumId w:val="10"/>
  </w:num>
  <w:num w:numId="42" w16cid:durableId="114256150">
    <w:abstractNumId w:val="10"/>
  </w:num>
  <w:num w:numId="43" w16cid:durableId="953249240">
    <w:abstractNumId w:val="10"/>
  </w:num>
  <w:num w:numId="44" w16cid:durableId="1249120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2F"/>
    <w:rsid w:val="00002272"/>
    <w:rsid w:val="00064002"/>
    <w:rsid w:val="000677B9"/>
    <w:rsid w:val="000831BA"/>
    <w:rsid w:val="000A42CC"/>
    <w:rsid w:val="000D6465"/>
    <w:rsid w:val="000E7DD9"/>
    <w:rsid w:val="0010095E"/>
    <w:rsid w:val="00125B37"/>
    <w:rsid w:val="00187494"/>
    <w:rsid w:val="001F32AE"/>
    <w:rsid w:val="002767FF"/>
    <w:rsid w:val="002A446A"/>
    <w:rsid w:val="002B18FE"/>
    <w:rsid w:val="002B5493"/>
    <w:rsid w:val="00343214"/>
    <w:rsid w:val="00361C00"/>
    <w:rsid w:val="00395FA1"/>
    <w:rsid w:val="003E15D4"/>
    <w:rsid w:val="00411CCE"/>
    <w:rsid w:val="0041666E"/>
    <w:rsid w:val="00421060"/>
    <w:rsid w:val="004631E3"/>
    <w:rsid w:val="00471C19"/>
    <w:rsid w:val="004867E3"/>
    <w:rsid w:val="00494A28"/>
    <w:rsid w:val="004C0004"/>
    <w:rsid w:val="004C5D52"/>
    <w:rsid w:val="0050519A"/>
    <w:rsid w:val="005072A1"/>
    <w:rsid w:val="00514517"/>
    <w:rsid w:val="0052587A"/>
    <w:rsid w:val="00545827"/>
    <w:rsid w:val="00560270"/>
    <w:rsid w:val="0057212F"/>
    <w:rsid w:val="005C134D"/>
    <w:rsid w:val="005C2568"/>
    <w:rsid w:val="005C4FE6"/>
    <w:rsid w:val="005F0740"/>
    <w:rsid w:val="005F1B17"/>
    <w:rsid w:val="006037C0"/>
    <w:rsid w:val="006631B6"/>
    <w:rsid w:val="00680577"/>
    <w:rsid w:val="006F4A30"/>
    <w:rsid w:val="006F74FA"/>
    <w:rsid w:val="00731ADD"/>
    <w:rsid w:val="00734777"/>
    <w:rsid w:val="00747932"/>
    <w:rsid w:val="00751A4A"/>
    <w:rsid w:val="00756632"/>
    <w:rsid w:val="00762C74"/>
    <w:rsid w:val="00786C9F"/>
    <w:rsid w:val="00786EC0"/>
    <w:rsid w:val="007B0329"/>
    <w:rsid w:val="007D1690"/>
    <w:rsid w:val="007E22AD"/>
    <w:rsid w:val="00817416"/>
    <w:rsid w:val="00830903"/>
    <w:rsid w:val="00842779"/>
    <w:rsid w:val="00865F67"/>
    <w:rsid w:val="0087305A"/>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E6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FC4"/>
    <w:rsid w:val="00F74202"/>
    <w:rsid w:val="00F87713"/>
    <w:rsid w:val="00F96797"/>
    <w:rsid w:val="00FB4360"/>
    <w:rsid w:val="00FD0C70"/>
    <w:rsid w:val="00FE3033"/>
    <w:rsid w:val="00FF1237"/>
  </w:rsids>
  <w:docVars>
    <w:docVar w:name="dvdocse" w:val="A10-0155/2026"/>
    <w:docVar w:name="dvlangue" w:val="LT"/>
    <w:docVar w:name="dvnumam" w:val="0"/>
    <w:docVar w:name="dvpe" w:val="782.200"/>
    <w:docVar w:name="dvrapporteur" w:val="Pranešėjas: "/>
    <w:docVar w:name="dvtitre" w:val="2026 m. ... ... d. Europos Parlamento sprendimas dėl prašymo atšaukti Nikolos Minchevo (Nikola Minchev) imunitetą(A10-0155/202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1B703A"/>
  <w15:chartTrackingRefBased/>
  <w15:docId w15:val="{67B13F2A-63FA-42CC-B679-8890BBD4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D6465"/>
    <w:pPr>
      <w:spacing w:after="240"/>
      <w:ind w:left="567" w:hanging="567"/>
    </w:pPr>
  </w:style>
  <w:style w:type="paragraph" w:customStyle="1" w:styleId="EPComma">
    <w:name w:val="EPComma"/>
    <w:basedOn w:val="Normal"/>
    <w:rsid w:val="000D6465"/>
    <w:pPr>
      <w:spacing w:before="480" w:after="240"/>
    </w:pPr>
  </w:style>
  <w:style w:type="paragraph" w:styleId="Revision">
    <w:name w:val="Revision"/>
    <w:hidden/>
    <w:uiPriority w:val="99"/>
    <w:semiHidden/>
    <w:rsid w:val="0052587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961</Words>
  <Characters>6512</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2026-06-16T09:12:00Z</cp:lastPrinted>
  <dcterms:created xsi:type="dcterms:W3CDTF">2026-06-16T17:45:00Z</dcterms:created>
  <dcterms:modified xsi:type="dcterms:W3CDTF">2026-06-16T17:45:00Z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P10_TA(2026)0195_</vt:lpwstr>
  </property>
  <property fmtid="{D5CDD505-2E9C-101B-9397-08002B2CF9AE}" pid="4" name="&lt;Type&gt;">
    <vt:lpwstr>RR</vt:lpwstr>
  </property>
</Properties>
</file>