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171234D" w14:textId="77777777" w:rsidTr="0010095E">
        <w:tblPrEx>
          <w:tblW w:w="9072" w:type="dxa"/>
          <w:tblLook w:val="01E0"/>
        </w:tblPrEx>
        <w:trPr>
          <w:trHeight w:hRule="exact" w:val="1418"/>
        </w:trPr>
        <w:tc>
          <w:tcPr>
            <w:tcW w:w="6804" w:type="dxa"/>
            <w:shd w:val="clear" w:color="auto" w:fill="auto"/>
            <w:vAlign w:val="center"/>
          </w:tcPr>
          <w:p w:rsidR="00751A4A" w:rsidRPr="007F41AC" w:rsidP="0010095E" w14:paraId="210D74E8" w14:textId="77777777">
            <w:pPr>
              <w:pStyle w:val="EPName"/>
            </w:pPr>
            <w:r w:rsidRPr="007F41AC">
              <w:t>Eiropas Parlaments</w:t>
            </w:r>
          </w:p>
          <w:p w:rsidR="00751A4A" w:rsidRPr="007F41AC" w:rsidP="005F1B17" w14:paraId="1C4A99BD" w14:textId="77777777">
            <w:pPr>
              <w:pStyle w:val="EPTerm"/>
              <w:rPr>
                <w:rStyle w:val="HideTWBExt"/>
                <w:noProof w:val="0"/>
                <w:vanish w:val="0"/>
                <w:color w:val="auto"/>
              </w:rPr>
            </w:pPr>
            <w:r w:rsidRPr="007F41AC">
              <w:t>2024</w:t>
            </w:r>
            <w:r w:rsidRPr="007F41AC" w:rsidR="00817416">
              <w:t>-202</w:t>
            </w:r>
            <w:r w:rsidRPr="007F41AC">
              <w:t>9</w:t>
            </w:r>
          </w:p>
        </w:tc>
        <w:tc>
          <w:tcPr>
            <w:tcW w:w="2268" w:type="dxa"/>
            <w:shd w:val="clear" w:color="auto" w:fill="auto"/>
          </w:tcPr>
          <w:p w:rsidR="00751A4A" w:rsidRPr="007F41AC" w:rsidP="0010095E" w14:paraId="74F8A224" w14:textId="77777777">
            <w:pPr>
              <w:pStyle w:val="EPLogo"/>
            </w:pPr>
            <w:r w:rsidRPr="007F41A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F41AC" w:rsidP="004C5D52" w14:paraId="6C63DF2B" w14:textId="77777777">
      <w:pPr>
        <w:pStyle w:val="LineTop"/>
      </w:pPr>
    </w:p>
    <w:p w:rsidR="00680577" w:rsidRPr="007F41AC" w:rsidP="00680577" w14:paraId="4E75562E" w14:textId="77777777">
      <w:pPr>
        <w:pStyle w:val="EPBodyTA1"/>
      </w:pPr>
      <w:r w:rsidRPr="007F41AC">
        <w:t>PIEŅEMTIE TEKSTI</w:t>
      </w:r>
    </w:p>
    <w:p w:rsidR="00D058B8" w:rsidRPr="007F41AC" w:rsidP="00D058B8" w14:paraId="0677F4C3" w14:textId="77777777">
      <w:pPr>
        <w:pStyle w:val="LineBottom"/>
      </w:pPr>
    </w:p>
    <w:p w:rsidR="00F27D7C" w:rsidRPr="007F41AC" w:rsidP="00F27D7C" w14:paraId="42F58C58" w14:textId="3159CCFE">
      <w:pPr>
        <w:pStyle w:val="ATHeading1"/>
      </w:pPr>
      <w:bookmarkStart w:id="0" w:name="TANumber"/>
      <w:r w:rsidRPr="007F41AC">
        <w:t>P10_TA(2026)0</w:t>
      </w:r>
      <w:bookmarkEnd w:id="0"/>
      <w:r w:rsidRPr="007F41AC" w:rsidR="007F41AC">
        <w:t>195</w:t>
      </w:r>
    </w:p>
    <w:p w:rsidR="00F27D7C" w:rsidRPr="007F41AC" w:rsidP="00F27D7C" w14:paraId="6115EBF3" w14:textId="033C11D7">
      <w:pPr>
        <w:pStyle w:val="ATHeading2"/>
      </w:pPr>
      <w:r w:rsidRPr="007F41AC">
        <w:t>Piepras</w:t>
      </w:r>
      <w:r w:rsidRPr="007F41AC">
        <w:rPr>
          <w:rFonts w:hint="eastAsia"/>
        </w:rPr>
        <w:t>ī</w:t>
      </w:r>
      <w:r w:rsidRPr="007F41AC">
        <w:t xml:space="preserve">jums atcelt </w:t>
      </w:r>
      <w:r w:rsidRPr="007F41AC">
        <w:rPr>
          <w:i/>
          <w:iCs/>
        </w:rPr>
        <w:t xml:space="preserve">Nikola </w:t>
      </w:r>
      <w:r w:rsidRPr="007F41AC">
        <w:rPr>
          <w:i/>
          <w:iCs/>
        </w:rPr>
        <w:t>Minchev</w:t>
      </w:r>
      <w:r w:rsidRPr="007F41AC">
        <w:t xml:space="preserve"> imunit</w:t>
      </w:r>
      <w:r w:rsidRPr="007F41AC">
        <w:rPr>
          <w:rFonts w:hint="eastAsia"/>
        </w:rPr>
        <w:t>ā</w:t>
      </w:r>
      <w:r w:rsidRPr="007F41AC">
        <w:t>ti</w:t>
      </w:r>
    </w:p>
    <w:p w:rsidR="00F27D7C" w:rsidRPr="007F41AC" w:rsidP="00F27D7C" w14:paraId="2109BD45" w14:textId="77777777">
      <w:pPr>
        <w:rPr>
          <w:i/>
          <w:vanish/>
        </w:rPr>
      </w:pPr>
      <w:r>
        <w:rPr>
          <w:i/>
        </w:rPr>
        <w:fldChar w:fldCharType="begin"/>
      </w:r>
      <w:r w:rsidRPr="007F41AC">
        <w:rPr>
          <w:i/>
        </w:rPr>
        <w:instrText xml:space="preserve"> TC"(</w:instrText>
      </w:r>
      <w:bookmarkStart w:id="1" w:name="DocNumber"/>
      <w:r w:rsidRPr="007F41AC">
        <w:rPr>
          <w:i/>
        </w:rPr>
        <w:instrText>A10-0155/2026</w:instrText>
      </w:r>
      <w:bookmarkEnd w:id="1"/>
      <w:r w:rsidRPr="007F41AC">
        <w:rPr>
          <w:i/>
        </w:rPr>
        <w:instrText xml:space="preserve"> - Referents: Ilhan Kyuchyuk)"\l3 \n&gt; \* MERGEFORMAT </w:instrText>
      </w:r>
      <w:r>
        <w:rPr>
          <w:i/>
        </w:rPr>
        <w:fldChar w:fldCharType="end"/>
      </w:r>
    </w:p>
    <w:p w:rsidR="00F27D7C" w:rsidRPr="007F41AC" w:rsidP="00F27D7C" w14:paraId="0DAEBA70" w14:textId="77777777">
      <w:pPr>
        <w:rPr>
          <w:vanish/>
        </w:rPr>
      </w:pPr>
      <w:bookmarkStart w:id="2" w:name="Commission"/>
      <w:r w:rsidRPr="007F41AC">
        <w:rPr>
          <w:vanish/>
        </w:rPr>
        <w:t>Juridiskā komiteja</w:t>
      </w:r>
      <w:bookmarkEnd w:id="2"/>
    </w:p>
    <w:p w:rsidR="00F27D7C" w:rsidRPr="007F41AC" w:rsidP="00F27D7C" w14:paraId="03332146" w14:textId="77777777">
      <w:pPr>
        <w:rPr>
          <w:vanish/>
        </w:rPr>
      </w:pPr>
      <w:bookmarkStart w:id="3" w:name="PE"/>
      <w:r w:rsidRPr="007F41AC">
        <w:rPr>
          <w:vanish/>
        </w:rPr>
        <w:t>PE782.200</w:t>
      </w:r>
      <w:bookmarkEnd w:id="3"/>
    </w:p>
    <w:p w:rsidR="00F27D7C" w:rsidRPr="007F41AC" w:rsidP="00F27D7C" w14:paraId="5B9031F3" w14:textId="04B0B688">
      <w:pPr>
        <w:pStyle w:val="ATHeading3"/>
      </w:pPr>
      <w:bookmarkStart w:id="4" w:name="Sujet"/>
      <w:r w:rsidRPr="007F41AC">
        <w:t xml:space="preserve">Eiropas Parlamenta 2026. gada </w:t>
      </w:r>
      <w:r w:rsidRPr="007F41AC" w:rsidR="00490380">
        <w:t>16</w:t>
      </w:r>
      <w:r w:rsidRPr="007F41AC">
        <w:t xml:space="preserve">. </w:t>
      </w:r>
      <w:r w:rsidRPr="007F41AC" w:rsidR="002C25EE">
        <w:t>jūnija</w:t>
      </w:r>
      <w:r w:rsidRPr="007F41AC">
        <w:t xml:space="preserve"> </w:t>
      </w:r>
      <w:r w:rsidRPr="007F41AC" w:rsidR="007F41AC">
        <w:t xml:space="preserve">lēmums </w:t>
      </w:r>
      <w:r w:rsidRPr="007F41AC">
        <w:t xml:space="preserve">par pieprasījumu atcelt </w:t>
      </w:r>
      <w:r w:rsidRPr="007F41AC">
        <w:rPr>
          <w:i/>
          <w:iCs/>
        </w:rPr>
        <w:t xml:space="preserve">Nikola </w:t>
      </w:r>
      <w:r w:rsidRPr="007F41AC">
        <w:rPr>
          <w:i/>
          <w:iCs/>
        </w:rPr>
        <w:t>Minchev</w:t>
      </w:r>
      <w:r w:rsidRPr="007F41AC">
        <w:t xml:space="preserve"> imunitāti</w:t>
      </w:r>
      <w:bookmarkEnd w:id="4"/>
      <w:r w:rsidRPr="007F41AC">
        <w:t xml:space="preserve"> </w:t>
      </w:r>
      <w:bookmarkStart w:id="5" w:name="References"/>
      <w:r w:rsidRPr="007F41AC">
        <w:t>(2025/2100(IMM))</w:t>
      </w:r>
      <w:bookmarkEnd w:id="5"/>
    </w:p>
    <w:p w:rsidR="00D22133" w:rsidRPr="007F41AC" w:rsidP="00D22133" w14:paraId="73F61D3E" w14:textId="77777777">
      <w:pPr>
        <w:pStyle w:val="EPComma"/>
      </w:pPr>
      <w:bookmarkStart w:id="6" w:name="TextBodyBegin"/>
      <w:bookmarkEnd w:id="6"/>
      <w:r w:rsidRPr="007F41AC">
        <w:rPr>
          <w:i/>
        </w:rPr>
        <w:t>Eiropas Parlaments</w:t>
      </w:r>
      <w:r w:rsidRPr="007F41AC">
        <w:t>,</w:t>
      </w:r>
    </w:p>
    <w:p w:rsidR="00D22133" w:rsidRPr="007F41AC" w:rsidP="00D22133" w14:paraId="43CCD72C" w14:textId="77777777">
      <w:pPr>
        <w:pStyle w:val="NormalHanging12a"/>
      </w:pPr>
      <w:r w:rsidRPr="007F41AC">
        <w:t>–</w:t>
      </w:r>
      <w:r w:rsidRPr="007F41AC">
        <w:tab/>
      </w:r>
      <w:bookmarkStart w:id="7" w:name="_Hlk231477072"/>
      <w:r w:rsidRPr="007F41AC">
        <w:t xml:space="preserve">ņemot vērā 2025. gada 21. maijā Parlamentā izziņoto pieprasījumu atcelt </w:t>
      </w:r>
      <w:r w:rsidRPr="007F41AC">
        <w:rPr>
          <w:i/>
          <w:iCs/>
        </w:rPr>
        <w:t xml:space="preserve">Nikola </w:t>
      </w:r>
      <w:r w:rsidRPr="007F41AC">
        <w:rPr>
          <w:i/>
          <w:iCs/>
        </w:rPr>
        <w:t>Minchev</w:t>
      </w:r>
      <w:r w:rsidRPr="007F41AC">
        <w:t xml:space="preserve"> imunitāti, kas saņemts ar Beļģijas Federālā ārlietu, ārējās tirdzniecības un attīstības sadarbības valsts dienesta Protokola dienesta 2025. gada 6. maija vēstuli, ar kuru nosūtīts Beļģijas Federālās prokuratūras 2025. gada 16. aprīļa pieprasījums sakarā ar kriminālprocesu, kas pret viņu tiks ierosināts,</w:t>
      </w:r>
    </w:p>
    <w:p w:rsidR="00D22133" w:rsidRPr="007F41AC" w:rsidP="00D22133" w14:paraId="2467925F" w14:textId="6C74BDFF">
      <w:pPr>
        <w:pStyle w:val="NormalHanging12a"/>
      </w:pPr>
      <w:r w:rsidRPr="007F41AC">
        <w:t>–</w:t>
      </w:r>
      <w:r w:rsidRPr="007F41AC">
        <w:tab/>
      </w:r>
      <w:bookmarkStart w:id="8" w:name="_Hlk225077637"/>
      <w:r w:rsidRPr="007F41AC">
        <w:t xml:space="preserve">ņemot vērā papildu informāciju, ko 2025. gada 15. jūlijā viedokļu apmaiņā sniedza federālais prokurors un izmeklēšanas tiesnesis, un atbildi, kas sniegta 2025. gada 18. septembrī </w:t>
      </w:r>
      <w:r w:rsidRPr="007F41AC" w:rsidR="00490380">
        <w:t xml:space="preserve">no federālā prokurora </w:t>
      </w:r>
      <w:r w:rsidRPr="007F41AC">
        <w:t xml:space="preserve">pēc papildu rakstiska informācijas pieprasījuma, ņemot vērā, ka pieprasījumam atcelt deputāta imunitāti </w:t>
      </w:r>
      <w:bookmarkStart w:id="9" w:name="_Hlk225077824"/>
      <w:r w:rsidRPr="007F41AC">
        <w:t>ir jāatbilst</w:t>
      </w:r>
      <w:bookmarkEnd w:id="9"/>
      <w:r w:rsidRPr="007F41AC">
        <w:t xml:space="preserve"> noteiktiem standartiem, konkrētāk, tam ir jābūt skaidri formulētam, arī attiecībā uz tā pamatā esošo tiesisko regulējumu, un tajā ir jāsniedz skaidri un pietiekami elementi un informācija, lai Parlaments varētu pieprasījumu izskatīt un izdarīt secinājumu pēc iespējas ātrāk, paturot prātā arī lietas relatīvo sarežģītību,</w:t>
      </w:r>
      <w:bookmarkEnd w:id="8"/>
    </w:p>
    <w:p w:rsidR="00D22133" w:rsidRPr="007F41AC" w:rsidP="00D22133" w14:paraId="346702C1" w14:textId="77777777">
      <w:pPr>
        <w:pStyle w:val="NormalHanging12a"/>
      </w:pPr>
      <w:r w:rsidRPr="007F41AC">
        <w:t>–</w:t>
      </w:r>
      <w:r w:rsidRPr="007F41AC">
        <w:tab/>
        <w:t xml:space="preserve">pēc </w:t>
      </w:r>
      <w:r w:rsidRPr="007F41AC">
        <w:rPr>
          <w:i/>
          <w:iCs/>
        </w:rPr>
        <w:t xml:space="preserve">Nikola </w:t>
      </w:r>
      <w:r w:rsidRPr="007F41AC">
        <w:rPr>
          <w:i/>
          <w:iCs/>
        </w:rPr>
        <w:t>Minchev</w:t>
      </w:r>
      <w:r w:rsidRPr="007F41AC">
        <w:t xml:space="preserve"> uzklausīšanas 2025. gada 3. decembrī saskaņā ar Reglamenta 9. panta 6. punktu,</w:t>
      </w:r>
    </w:p>
    <w:p w:rsidR="00D22133" w:rsidRPr="007F41AC" w:rsidP="00D22133" w14:paraId="6EE18173" w14:textId="77777777">
      <w:pPr>
        <w:pStyle w:val="NormalHanging12a"/>
      </w:pPr>
      <w:r w:rsidRPr="007F41AC">
        <w:t>–</w:t>
      </w:r>
      <w:r w:rsidRPr="007F41AC">
        <w:tab/>
        <w:t>ņemot vērā Protokola Nr. 7 par privilēģijām un imunitāti Eiropas Savienībā 8. un 9. pantu, kā arī 1976. gada 20. septembra Akta par Eiropas Parlamenta deputātu ievēlēšanu tiešās vispārējās vēlēšanās 6. panta 2. punktu,</w:t>
      </w:r>
    </w:p>
    <w:p w:rsidR="00D22133" w:rsidRPr="007F41AC" w:rsidP="00D22133" w14:paraId="5C3002B9" w14:textId="77777777">
      <w:pPr>
        <w:pStyle w:val="NormalHanging12a"/>
      </w:pPr>
      <w:r w:rsidRPr="007F41AC">
        <w:t>–</w:t>
      </w:r>
      <w:r w:rsidRPr="007F41AC">
        <w:tab/>
        <w:t xml:space="preserve">ņemot vērā Eiropas Savienības Tiesas 2008. gada 21. oktobra, 2010. gada 19. marta, 2011. gada 6. septembra, 2013. gada 17. janvāra un 2019. gada 19. decembra </w:t>
      </w:r>
      <w:r w:rsidRPr="007F41AC">
        <w:t>spriedumu</w:t>
      </w:r>
      <w:r>
        <w:rPr>
          <w:vertAlign w:val="superscript"/>
        </w:rPr>
        <w:footnoteReference w:id="2"/>
      </w:r>
      <w:r w:rsidRPr="007F41AC">
        <w:t>,</w:t>
      </w:r>
    </w:p>
    <w:p w:rsidR="00D22133" w:rsidRPr="007F41AC" w:rsidP="00D22133" w14:paraId="38E56D6A" w14:textId="77777777">
      <w:pPr>
        <w:pStyle w:val="NormalHanging12a"/>
      </w:pPr>
      <w:r w:rsidRPr="007F41AC">
        <w:t>–</w:t>
      </w:r>
      <w:r w:rsidRPr="007F41AC">
        <w:tab/>
        <w:t>ņemot vērā Reglamenta 5. panta 2. punktu, 6. panta 1. punktu un 9. pantu,</w:t>
      </w:r>
    </w:p>
    <w:p w:rsidR="00D22133" w:rsidRPr="007F41AC" w:rsidP="00D22133" w14:paraId="54A35F29" w14:textId="77777777">
      <w:pPr>
        <w:pStyle w:val="NormalHanging12a"/>
      </w:pPr>
      <w:r w:rsidRPr="007F41AC">
        <w:t>–</w:t>
      </w:r>
      <w:r w:rsidRPr="007F41AC">
        <w:tab/>
        <w:t>ņemot vērā Juridiskās komitejas ziņojumu (A10-0155/2026),</w:t>
      </w:r>
    </w:p>
    <w:p w:rsidR="00490380" w:rsidRPr="007F41AC" w:rsidP="00D22133" w14:paraId="4D66A944" w14:textId="3397CD9D">
      <w:pPr>
        <w:pStyle w:val="NormalHanging12a"/>
      </w:pPr>
      <w:r w:rsidRPr="007F41AC">
        <w:t>A.</w:t>
      </w:r>
      <w:r w:rsidRPr="007F41AC">
        <w:tab/>
      </w:r>
      <w:r w:rsidRPr="007F41AC" w:rsidR="00FF3DBF">
        <w:t xml:space="preserve">tā kā 2025. gada 6. maijā Federālais valsts dienests ārlietās, ārējās tirdzniecības un attīstības sadarbības jautājumos nosūtīja federālā prokurora 2025. gada 16. aprīļa pieprasījumu </w:t>
      </w:r>
      <w:r w:rsidRPr="007F41AC">
        <w:t xml:space="preserve">atcelt Bulgārijā ievēlētā Eiropas Parlamenta deputāta </w:t>
      </w:r>
      <w:r w:rsidRPr="007F41AC">
        <w:rPr>
          <w:i/>
          <w:iCs/>
        </w:rPr>
        <w:t xml:space="preserve">Nikola </w:t>
      </w:r>
      <w:r w:rsidRPr="007F41AC">
        <w:rPr>
          <w:i/>
          <w:iCs/>
        </w:rPr>
        <w:t>Minchev</w:t>
      </w:r>
      <w:r w:rsidRPr="007F41AC">
        <w:t xml:space="preserve"> imunitāti sakarā ar kriminālprocesu, kas pret viņu tiks ierosināts;</w:t>
      </w:r>
      <w:r w:rsidRPr="007F41AC" w:rsidR="00FF3DBF">
        <w:rPr>
          <w:noProof/>
        </w:rPr>
        <w:t xml:space="preserve"> </w:t>
      </w:r>
    </w:p>
    <w:p w:rsidR="00D22133" w:rsidRPr="007F41AC" w:rsidP="00D22133" w14:paraId="3884746E" w14:textId="61B7C485">
      <w:pPr>
        <w:pStyle w:val="NormalHanging12a"/>
      </w:pPr>
      <w:r w:rsidRPr="007F41AC">
        <w:t>B.</w:t>
      </w:r>
      <w:r w:rsidRPr="007F41AC">
        <w:tab/>
      </w:r>
      <w:bookmarkStart w:id="10" w:name="_Hlk229403782"/>
      <w:bookmarkStart w:id="11" w:name="_Hlk228968475"/>
      <w:bookmarkStart w:id="12" w:name="_Hlk223949179"/>
      <w:r w:rsidRPr="007F41AC">
        <w:t xml:space="preserve">tā kā plašā izmeklēšanā, kas attiecas uz uzņēmumu </w:t>
      </w:r>
      <w:r w:rsidRPr="007F41AC">
        <w:rPr>
          <w:i/>
          <w:iCs/>
        </w:rPr>
        <w:t>Huawei</w:t>
      </w:r>
      <w:r w:rsidRPr="007F41AC">
        <w:t>, esot iegūti nopietni pierādījumi par to, ka pastāv noziedzīga organizācija, kuras mērķis esot ietekmēt S</w:t>
      </w:r>
      <w:r w:rsidRPr="007F41AC" w:rsidR="00490380">
        <w:t>avienības</w:t>
      </w:r>
      <w:r w:rsidRPr="007F41AC">
        <w:t xml:space="preserve"> iestāžu lēmumus, iesaistot Eiropas Parlamenta deputātus korupcijā</w:t>
      </w:r>
      <w:bookmarkEnd w:id="10"/>
      <w:r w:rsidRPr="007F41AC">
        <w:t xml:space="preserve">; tā kā minētā izmeklēšana, šķiet, ir atklājusi vairākas iespējamas korupcijas darbības, par kurām tiek uzskatīts, ka tās ir veiktas regulāri no 2021. līdz 2024. gadam; tā kā korupcijas shēma esot izpaudusies dažādos veidos, </w:t>
      </w:r>
      <w:bookmarkStart w:id="13" w:name="_Hlk229403810"/>
      <w:r w:rsidRPr="007F41AC">
        <w:t xml:space="preserve">arī kā Eiropas Parlamenta deputātu uzaicināšana uz </w:t>
      </w:r>
      <w:r w:rsidRPr="007F41AC">
        <w:rPr>
          <w:i/>
          <w:iCs/>
        </w:rPr>
        <w:t>Huawei</w:t>
      </w:r>
      <w:r w:rsidRPr="007F41AC">
        <w:t xml:space="preserve"> atbalstītiem pasākumiem apmaiņā pret politisku nostāju ieņemšanu par labu šim uzņēmumam, un pārmērīgas dāvanas, piemēram, ēdināšanas un ceļa izdevumu apmaksāšana vai regulāri ielūgumi uz futbola mačiem nesaistīti ar Eiropas Parlamenta darbu</w:t>
      </w:r>
      <w:bookmarkEnd w:id="11"/>
      <w:bookmarkEnd w:id="13"/>
      <w:r w:rsidRPr="007F41AC">
        <w:t>;</w:t>
      </w:r>
      <w:bookmarkEnd w:id="12"/>
    </w:p>
    <w:p w:rsidR="00D22133" w:rsidRPr="007F41AC" w:rsidP="00D22133" w14:paraId="4C7378E6" w14:textId="17AA2D01">
      <w:pPr>
        <w:pStyle w:val="NormalHanging12a"/>
      </w:pPr>
      <w:r w:rsidRPr="007F41AC">
        <w:t>C.</w:t>
      </w:r>
      <w:r w:rsidRPr="007F41AC">
        <w:tab/>
        <w:t xml:space="preserve">tā kā saskaņā ar imunitātes atcelšanas pieprasījumā doto informāciju </w:t>
      </w:r>
      <w:r w:rsidRPr="007F41AC">
        <w:rPr>
          <w:i/>
          <w:iCs/>
        </w:rPr>
        <w:t xml:space="preserve">Nikola </w:t>
      </w:r>
      <w:r w:rsidRPr="007F41AC">
        <w:rPr>
          <w:i/>
          <w:iCs/>
        </w:rPr>
        <w:t>Minchev</w:t>
      </w:r>
      <w:r w:rsidRPr="007F41AC">
        <w:t xml:space="preserve"> 2024. gada 24. oktobrī kopā ar savu reģistrēto deputāta palīgu, diviem </w:t>
      </w:r>
      <w:r w:rsidRPr="007F41AC">
        <w:rPr>
          <w:i/>
          <w:iCs/>
        </w:rPr>
        <w:t>Huawei</w:t>
      </w:r>
      <w:r w:rsidRPr="007F41AC">
        <w:t xml:space="preserve"> pārstāvjiem un citu personu apmeklēja futbola maču kādā Briseles stadionā; tā kā saskaņā ar pieprasījumā doto informāciju viņi uzturējās ložā, ko </w:t>
      </w:r>
      <w:r w:rsidRPr="007F41AC">
        <w:rPr>
          <w:i/>
          <w:iCs/>
        </w:rPr>
        <w:t>Huawei</w:t>
      </w:r>
      <w:r w:rsidRPr="007F41AC">
        <w:t xml:space="preserve">, iespējams, izmantojot </w:t>
      </w:r>
      <w:r w:rsidRPr="007F41AC">
        <w:t>starpnieksabiedrību</w:t>
      </w:r>
      <w:r w:rsidRPr="007F41AC">
        <w:t>, īrēja par EUR 45 000 uz sezonu, lai</w:t>
      </w:r>
      <w:r w:rsidRPr="007F41AC" w:rsidR="00E272B0">
        <w:t>, iespējams,</w:t>
      </w:r>
      <w:r w:rsidRPr="007F41AC">
        <w:t xml:space="preserve"> atvieglotu kontaktus ar konkrētiem Eiropas Parlamenta deputātiem; tā kā šķiet, ka </w:t>
      </w:r>
      <w:r w:rsidRPr="007F41AC">
        <w:rPr>
          <w:i/>
          <w:iCs/>
        </w:rPr>
        <w:t xml:space="preserve">Nikola </w:t>
      </w:r>
      <w:r w:rsidRPr="007F41AC">
        <w:rPr>
          <w:i/>
          <w:iCs/>
        </w:rPr>
        <w:t>Minchev</w:t>
      </w:r>
      <w:r w:rsidRPr="007F41AC">
        <w:t xml:space="preserve"> nav paziņojis Eiropas Parlamentam par futbola mača apmeklējuma radīto izdevumu segšanu un to precīza summa iestādei, kas pieprasa atcelt viņa imunitāti, nebija zināma; tā kā saskaņā ar Beļģijas federālā prokurora sniegto papildu informāciju 2024. gada 16. jūlijā </w:t>
      </w:r>
      <w:r w:rsidRPr="007F41AC">
        <w:rPr>
          <w:i/>
          <w:iCs/>
        </w:rPr>
        <w:t xml:space="preserve">Nikola </w:t>
      </w:r>
      <w:r w:rsidRPr="007F41AC">
        <w:rPr>
          <w:i/>
          <w:iCs/>
        </w:rPr>
        <w:t>Minchev</w:t>
      </w:r>
      <w:r w:rsidRPr="007F41AC">
        <w:t xml:space="preserve"> kopā ar kādu </w:t>
      </w:r>
      <w:r w:rsidRPr="007F41AC">
        <w:rPr>
          <w:i/>
          <w:iCs/>
        </w:rPr>
        <w:t>Huawei</w:t>
      </w:r>
      <w:r w:rsidRPr="007F41AC">
        <w:t xml:space="preserve"> vadītāju piedalījās arī vakariņās, ko organizēja viens no diviem </w:t>
      </w:r>
      <w:r w:rsidRPr="007F41AC">
        <w:rPr>
          <w:i/>
          <w:iCs/>
        </w:rPr>
        <w:t>Huawei</w:t>
      </w:r>
      <w:r w:rsidRPr="007F41AC">
        <w:t xml:space="preserve"> pārstāvjiem;</w:t>
      </w:r>
    </w:p>
    <w:p w:rsidR="00D22133" w:rsidRPr="007F41AC" w:rsidP="00D22133" w14:paraId="04F200B3" w14:textId="77777777">
      <w:pPr>
        <w:pStyle w:val="NormalHanging12a"/>
      </w:pPr>
      <w:r w:rsidRPr="007F41AC">
        <w:t>D.</w:t>
      </w:r>
      <w:r w:rsidRPr="007F41AC">
        <w:tab/>
        <w:t xml:space="preserve">tā kā tikai tad, kad Beļģijas federālais prokurors sniedza papildu informāciju, atbildot uz rakstisko pieprasījumu sniegt papildu informāciju, tika norādīts, ka </w:t>
      </w:r>
      <w:r w:rsidRPr="007F41AC">
        <w:rPr>
          <w:i/>
          <w:iCs/>
        </w:rPr>
        <w:t xml:space="preserve">Nikola </w:t>
      </w:r>
      <w:r w:rsidRPr="007F41AC">
        <w:rPr>
          <w:i/>
          <w:iCs/>
        </w:rPr>
        <w:t>Minchev</w:t>
      </w:r>
      <w:r w:rsidRPr="007F41AC">
        <w:t xml:space="preserve"> iespējamās darbības varētu būt pielīdzināmas pasīvai korupcijai publiskā amatā, kas ir noziedzīgs nodarījums saskaņā ar Beļģijas Kriminālkodeksa 246. panta 1. punktu;</w:t>
      </w:r>
    </w:p>
    <w:p w:rsidR="00D22133" w:rsidRPr="007F41AC" w:rsidP="00D22133" w14:paraId="53119124" w14:textId="6C7EA40F">
      <w:pPr>
        <w:pStyle w:val="NormalHanging12a"/>
      </w:pPr>
      <w:r w:rsidRPr="007F41AC">
        <w:t>E.</w:t>
      </w:r>
      <w:r w:rsidRPr="007F41AC">
        <w:tab/>
        <w:t xml:space="preserve">tā kā </w:t>
      </w:r>
      <w:r w:rsidRPr="007F41AC">
        <w:rPr>
          <w:i/>
          <w:iCs/>
        </w:rPr>
        <w:t xml:space="preserve">Nikola </w:t>
      </w:r>
      <w:r w:rsidRPr="007F41AC">
        <w:rPr>
          <w:i/>
          <w:iCs/>
        </w:rPr>
        <w:t>Minchev</w:t>
      </w:r>
      <w:r w:rsidRPr="007F41AC">
        <w:t xml:space="preserve"> 2024. gada jūnija Eiropas Parlamenta vēlēšanās tika ievēlēts Eiropas Parlamentā un </w:t>
      </w:r>
      <w:r w:rsidRPr="007F41AC" w:rsidR="00E272B0">
        <w:t xml:space="preserve">tātad </w:t>
      </w:r>
      <w:r w:rsidRPr="007F41AC">
        <w:t>inkriminētā nodarījuma izdarīšanas laikā bija Eiropas Parlamenta deputāts;</w:t>
      </w:r>
    </w:p>
    <w:p w:rsidR="00D22133" w:rsidRPr="007F41AC" w:rsidP="00D22133" w14:paraId="63FA022B" w14:textId="77777777">
      <w:pPr>
        <w:pStyle w:val="NormalHanging12a"/>
      </w:pPr>
      <w:r w:rsidRPr="007F41AC">
        <w:t>F.</w:t>
      </w:r>
      <w:r w:rsidRPr="007F41AC">
        <w:tab/>
        <w:t xml:space="preserve">tā kā, no vienas puses, Parlaments nevar tikt pielīdzināts tiesai un, no otras puses, </w:t>
      </w:r>
      <w:r w:rsidRPr="007F41AC">
        <w:t>deputāts imunitātes atcelšanas procedūras kontekstā nevar tikt uzskatīts par apsūdzēto</w:t>
      </w:r>
      <w:r>
        <w:rPr>
          <w:vertAlign w:val="superscript"/>
        </w:rPr>
        <w:footnoteReference w:id="3"/>
      </w:r>
      <w:r w:rsidRPr="007F41AC">
        <w:t>;</w:t>
      </w:r>
    </w:p>
    <w:p w:rsidR="00D22133" w:rsidRPr="007F41AC" w:rsidP="00D22133" w14:paraId="093221A3" w14:textId="77777777">
      <w:pPr>
        <w:pStyle w:val="NormalHanging12a"/>
      </w:pPr>
      <w:r w:rsidRPr="007F41AC">
        <w:t>G.</w:t>
      </w:r>
      <w:r w:rsidRPr="007F41AC">
        <w:tab/>
        <w:t>tā kā Protokola Nr. 7 par privilēģijām un imunitāti Eiropas Savienībā paredzētās parlamentārās imunitātes mērķis ir aizsargāt Parlamentu un tā deputātus pret juridisku procesu, kas tiktu ierosināts par darbībām, kuras būtu veiktas, pildot parlamentāros pienākumus, un kuras atrauti no šiem pienākumiem skatīt nevar;</w:t>
      </w:r>
    </w:p>
    <w:p w:rsidR="00D22133" w:rsidRPr="007F41AC" w:rsidP="00D22133" w14:paraId="634120E9" w14:textId="77777777">
      <w:pPr>
        <w:pStyle w:val="NormalHanging12a"/>
      </w:pPr>
      <w:r w:rsidRPr="007F41AC">
        <w:t>H.</w:t>
      </w:r>
      <w:r w:rsidRPr="007F41AC">
        <w:tab/>
        <w:t>tā kā saskaņā ar Parlamenta Reglamenta 5. panta 2. punktu deputāta imunitāte nav deputāta personiska privilēģija, bet gan visa Parlamenta un tā deputātu neatkarības garantija;</w:t>
      </w:r>
    </w:p>
    <w:p w:rsidR="00D22133" w:rsidRPr="007F41AC" w:rsidP="00D22133" w14:paraId="54987B69" w14:textId="77777777">
      <w:pPr>
        <w:pStyle w:val="NormalHanging12a"/>
      </w:pPr>
      <w:r w:rsidRPr="007F41AC">
        <w:t>I.</w:t>
      </w:r>
      <w:r w:rsidRPr="007F41AC">
        <w:tab/>
        <w:t xml:space="preserve">tā kā saskaņā ar Protokola Nr. 7 par privilēģijām un imunitāti Eiropas Savienībā 8. pantu attiecībā uz Eiropas Parlamenta locekļiem nevar veikt izmeklēšanas darbības, viņus aizturēt vai uzsākt tiesvedību sakarā ar viedokli, ko viņi pauduši, vai balsojumu, ko viņi veikuši, pildot pienākumus; tā kā inkriminētais nodarījums neattiecas uz viedokli vai balsojumu, ko </w:t>
      </w:r>
      <w:r w:rsidRPr="007F41AC">
        <w:rPr>
          <w:i/>
          <w:iCs/>
        </w:rPr>
        <w:t xml:space="preserve">Nikola </w:t>
      </w:r>
      <w:r w:rsidRPr="007F41AC">
        <w:rPr>
          <w:i/>
          <w:iCs/>
        </w:rPr>
        <w:t>Minchev</w:t>
      </w:r>
      <w:r w:rsidRPr="007F41AC">
        <w:t xml:space="preserve"> paudis vai veicis, pildot savus pienākumus minētā protokola 8. panta nozīmē;</w:t>
      </w:r>
    </w:p>
    <w:p w:rsidR="00D22133" w:rsidRPr="007F41AC" w:rsidP="00D22133" w14:paraId="78C35324" w14:textId="522F6C8B">
      <w:pPr>
        <w:pStyle w:val="NormalHanging12a"/>
      </w:pPr>
      <w:r w:rsidRPr="007F41AC">
        <w:t>J.</w:t>
      </w:r>
      <w:r w:rsidRPr="007F41AC">
        <w:tab/>
        <w:t>tā kā saskaņā ar Protokola Nr. 7 par privilēģijām un imunitāti Eiropas Savienībā 9. panta pirmās daļas b) apakšpunktu Eiropas Parlamenta locekļiem</w:t>
      </w:r>
      <w:r w:rsidRPr="007F41AC" w:rsidR="00E272B0">
        <w:t xml:space="preserve"> tā sesiju laikā</w:t>
      </w:r>
      <w:r w:rsidRPr="007F41AC">
        <w:t xml:space="preserve"> ikvienā dalībvalstī, kas nav viņu piederības dalībvalsts, ir imunitāte pret aizturēšanu un tiesvedību;</w:t>
      </w:r>
    </w:p>
    <w:p w:rsidR="00D22133" w:rsidRPr="007F41AC" w:rsidP="00D22133" w14:paraId="785990C6" w14:textId="74C51AE8">
      <w:pPr>
        <w:pStyle w:val="NormalHanging12a"/>
      </w:pPr>
      <w:r w:rsidRPr="007F41AC">
        <w:t>K.</w:t>
      </w:r>
      <w:r w:rsidRPr="007F41AC">
        <w:tab/>
        <w:t xml:space="preserve">tā kā secinājumi par </w:t>
      </w:r>
      <w:r w:rsidRPr="007F41AC">
        <w:rPr>
          <w:i/>
          <w:iCs/>
        </w:rPr>
        <w:t xml:space="preserve">Nikola </w:t>
      </w:r>
      <w:r w:rsidRPr="007F41AC">
        <w:rPr>
          <w:i/>
          <w:iCs/>
        </w:rPr>
        <w:t>Minchev</w:t>
      </w:r>
      <w:r w:rsidRPr="007F41AC">
        <w:t xml:space="preserve"> imunitāti ir jāizdara, balstoties uz pieprasījumu atcelt imunitāti un balstoties uz šajā lietā sniegto informāciju un paskaidrojumiem, tostarp federālā prokurora atbildēm, kas sniegtas gan viedokļu apmaiņas laikā, gan rakstiskajā papildu informācijā; tā kā pieprasījumā atcelt imunitāti acīmredzami trūkst konkrētu elementu; tā kā pēc tam notikusī mutiskā un rakstiskā saziņa ar federālo prokuroru ievērojamo nenoteiktību attiecībā uz dažādajiem elementiem, kas ietverti pieprasījumā atcelt </w:t>
      </w:r>
      <w:r w:rsidRPr="007F41AC">
        <w:rPr>
          <w:i/>
          <w:iCs/>
        </w:rPr>
        <w:t xml:space="preserve">Nikola </w:t>
      </w:r>
      <w:r w:rsidRPr="007F41AC">
        <w:rPr>
          <w:i/>
          <w:iCs/>
        </w:rPr>
        <w:t>Minchev</w:t>
      </w:r>
      <w:r w:rsidRPr="007F41AC">
        <w:t xml:space="preserve"> imunitāti, nemazināja;</w:t>
      </w:r>
    </w:p>
    <w:p w:rsidR="00D22133" w:rsidRPr="007F41AC" w:rsidP="00D22133" w14:paraId="1F13F025" w14:textId="77777777">
      <w:pPr>
        <w:pStyle w:val="NormalHanging12a"/>
      </w:pPr>
      <w:r w:rsidRPr="007F41AC">
        <w:t>L.</w:t>
      </w:r>
      <w:r w:rsidRPr="007F41AC">
        <w:tab/>
        <w:t xml:space="preserve">tā kā, balstoties uz iepriekš minēto, ar iesniegtās informācijas kopumu Parlamentam nepietika, lai pārliecinoši pieņemtu pietiekami informācijā balstītu lēmumu par </w:t>
      </w:r>
      <w:r w:rsidRPr="007F41AC">
        <w:rPr>
          <w:i/>
          <w:iCs/>
        </w:rPr>
        <w:t xml:space="preserve">Nikola </w:t>
      </w:r>
      <w:r w:rsidRPr="007F41AC">
        <w:rPr>
          <w:i/>
          <w:iCs/>
        </w:rPr>
        <w:t>Minchev</w:t>
      </w:r>
      <w:r w:rsidRPr="007F41AC">
        <w:t xml:space="preserve"> imunitātes atcelšanu; turklāt tā kā ievērojamā nenoteiktība attiecībā uz dažādiem šīs lietas elementiem varētu liecināt par </w:t>
      </w:r>
      <w:r w:rsidRPr="007F41AC">
        <w:rPr>
          <w:i/>
        </w:rPr>
        <w:t>fumus</w:t>
      </w:r>
      <w:r w:rsidRPr="007F41AC">
        <w:rPr>
          <w:i/>
        </w:rPr>
        <w:t xml:space="preserve"> </w:t>
      </w:r>
      <w:r w:rsidRPr="007F41AC">
        <w:rPr>
          <w:i/>
        </w:rPr>
        <w:t>persecutionis</w:t>
      </w:r>
      <w:r w:rsidRPr="007F41AC">
        <w:t>,</w:t>
      </w:r>
    </w:p>
    <w:p w:rsidR="00D22133" w:rsidRPr="007F41AC" w:rsidP="00D22133" w14:paraId="5AF08ACA" w14:textId="77777777">
      <w:pPr>
        <w:pStyle w:val="NormalHanging12a"/>
      </w:pPr>
      <w:r w:rsidRPr="007F41AC">
        <w:t>1.</w:t>
      </w:r>
      <w:r w:rsidRPr="007F41AC">
        <w:tab/>
        <w:t xml:space="preserve">nolemj neatcelt </w:t>
      </w:r>
      <w:r w:rsidRPr="007F41AC">
        <w:rPr>
          <w:i/>
          <w:iCs/>
        </w:rPr>
        <w:t xml:space="preserve">Nikola </w:t>
      </w:r>
      <w:r w:rsidRPr="007F41AC">
        <w:rPr>
          <w:i/>
          <w:iCs/>
        </w:rPr>
        <w:t>Minchev</w:t>
      </w:r>
      <w:r w:rsidRPr="007F41AC">
        <w:t xml:space="preserve"> imunitāti;</w:t>
      </w:r>
    </w:p>
    <w:p w:rsidR="00E365E1" w:rsidRPr="007F41AC" w:rsidP="00152761" w14:paraId="2F9EC461" w14:textId="072EE179">
      <w:r w:rsidRPr="007F41AC">
        <w:t>2.</w:t>
      </w:r>
      <w:r w:rsidRPr="007F41AC">
        <w:tab/>
        <w:t xml:space="preserve">uzdod priekšsēdētājai šo lēmumu un atbildīgās komitejas ziņojumu nekavējoties nosūtīt Beļģijas Karalistes kompetentajai iestādei un </w:t>
      </w:r>
      <w:r w:rsidRPr="007F41AC">
        <w:rPr>
          <w:i/>
          <w:iCs/>
        </w:rPr>
        <w:t xml:space="preserve">Nikola </w:t>
      </w:r>
      <w:r w:rsidRPr="007F41AC">
        <w:rPr>
          <w:i/>
          <w:iCs/>
        </w:rPr>
        <w:t>Minchev</w:t>
      </w:r>
      <w:r w:rsidRPr="007F41AC">
        <w:t>.</w:t>
      </w:r>
      <w:bookmarkEnd w:id="7"/>
    </w:p>
    <w:sectPr w:rsidSect="00152761">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52761" w14:paraId="127F767E"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52761" w14:paraId="532C49E6"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52761" w14:paraId="2E777DD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27D7C" w:rsidRPr="00152761" w14:paraId="7E04EEDA" w14:textId="77777777">
      <w:r w:rsidRPr="00152761">
        <w:separator/>
      </w:r>
    </w:p>
  </w:footnote>
  <w:footnote w:type="continuationSeparator" w:id="1">
    <w:p w:rsidR="00F27D7C" w:rsidRPr="00152761" w14:paraId="68B002FA" w14:textId="77777777">
      <w:r w:rsidRPr="00152761">
        <w:continuationSeparator/>
      </w:r>
    </w:p>
  </w:footnote>
  <w:footnote w:id="2">
    <w:p w:rsidR="00D22133" w:rsidRPr="00152761" w:rsidP="00152761" w14:paraId="552601B6" w14:textId="28AC2E9E">
      <w:pPr>
        <w:pStyle w:val="FootnoteText"/>
        <w:ind w:left="567" w:hanging="567"/>
        <w:rPr>
          <w:sz w:val="24"/>
          <w:lang w:val="lv-LV"/>
        </w:rPr>
      </w:pPr>
      <w:r w:rsidRPr="00152761">
        <w:rPr>
          <w:rStyle w:val="FootnoteReference"/>
          <w:sz w:val="24"/>
          <w:lang w:val="lv-LV"/>
        </w:rPr>
        <w:footnoteRef/>
      </w:r>
      <w:r w:rsidRPr="00152761" w:rsidR="00152761">
        <w:rPr>
          <w:sz w:val="24"/>
          <w:lang w:val="lv-LV"/>
        </w:rPr>
        <w:t xml:space="preserve"> </w:t>
      </w:r>
      <w:r w:rsidRPr="00152761" w:rsidR="00152761">
        <w:rPr>
          <w:sz w:val="24"/>
          <w:lang w:val="lv-LV"/>
        </w:rPr>
        <w:tab/>
      </w:r>
      <w:r w:rsidRPr="00152761">
        <w:rPr>
          <w:sz w:val="24"/>
          <w:lang w:val="lv-LV"/>
        </w:rPr>
        <w:t>Tiesas 2008. gada 21. oktobra spriedumi,</w:t>
      </w:r>
      <w:r w:rsidRPr="00152761">
        <w:rPr>
          <w:i/>
          <w:iCs/>
          <w:sz w:val="24"/>
          <w:lang w:val="lv-LV"/>
        </w:rPr>
        <w:t xml:space="preserve"> </w:t>
      </w:r>
      <w:r w:rsidRPr="00152761">
        <w:rPr>
          <w:i/>
          <w:iCs/>
          <w:sz w:val="24"/>
          <w:lang w:val="lv-LV"/>
        </w:rPr>
        <w:t>Marra</w:t>
      </w:r>
      <w:r w:rsidRPr="00152761">
        <w:rPr>
          <w:i/>
          <w:iCs/>
          <w:sz w:val="24"/>
          <w:lang w:val="lv-LV"/>
        </w:rPr>
        <w:t>/</w:t>
      </w:r>
      <w:r w:rsidRPr="00152761">
        <w:rPr>
          <w:i/>
          <w:iCs/>
          <w:sz w:val="24"/>
          <w:lang w:val="lv-LV"/>
        </w:rPr>
        <w:t>De</w:t>
      </w:r>
      <w:r w:rsidRPr="00152761">
        <w:rPr>
          <w:i/>
          <w:iCs/>
          <w:sz w:val="24"/>
          <w:lang w:val="lv-LV"/>
        </w:rPr>
        <w:t xml:space="preserve"> Gregorio</w:t>
      </w:r>
      <w:r w:rsidRPr="00152761">
        <w:rPr>
          <w:sz w:val="24"/>
          <w:lang w:val="lv-LV"/>
        </w:rPr>
        <w:t xml:space="preserve"> un </w:t>
      </w:r>
      <w:r w:rsidRPr="00152761">
        <w:rPr>
          <w:i/>
          <w:iCs/>
          <w:sz w:val="24"/>
          <w:lang w:val="lv-LV"/>
        </w:rPr>
        <w:t>Clemente</w:t>
      </w:r>
      <w:r w:rsidRPr="00152761">
        <w:rPr>
          <w:sz w:val="24"/>
          <w:lang w:val="lv-LV"/>
        </w:rPr>
        <w:t xml:space="preserve">, C-200/07 un C-201/07, ECLI:EU:C:2008:579; Tiesas 2010. gada 19. marta spriedums, </w:t>
      </w:r>
      <w:r w:rsidRPr="00152761">
        <w:rPr>
          <w:i/>
          <w:iCs/>
          <w:sz w:val="24"/>
          <w:lang w:val="lv-LV"/>
        </w:rPr>
        <w:t>Gollnisch</w:t>
      </w:r>
      <w:r w:rsidRPr="00152761">
        <w:rPr>
          <w:sz w:val="24"/>
          <w:lang w:val="lv-LV"/>
        </w:rPr>
        <w:t xml:space="preserve">/Parlaments, T-42/06, ECLI:EU:T:2010:102; Tiesas 2011. gada 6. septembra spriedums, </w:t>
      </w:r>
      <w:r w:rsidRPr="00152761">
        <w:rPr>
          <w:i/>
          <w:iCs/>
          <w:sz w:val="24"/>
          <w:lang w:val="lv-LV"/>
        </w:rPr>
        <w:t>Patriciello</w:t>
      </w:r>
      <w:r w:rsidRPr="00152761">
        <w:rPr>
          <w:sz w:val="24"/>
          <w:lang w:val="lv-LV"/>
        </w:rPr>
        <w:t xml:space="preserve">, C-163/10, ECLI: EU:C:2011:543; Tiesas 2013. gada 17. janvāra spriedumi, </w:t>
      </w:r>
      <w:r w:rsidRPr="00152761">
        <w:rPr>
          <w:i/>
          <w:iCs/>
          <w:sz w:val="24"/>
          <w:lang w:val="lv-LV"/>
        </w:rPr>
        <w:t>Gollnisch</w:t>
      </w:r>
      <w:r w:rsidRPr="00152761">
        <w:rPr>
          <w:sz w:val="24"/>
          <w:lang w:val="lv-LV"/>
        </w:rPr>
        <w:t xml:space="preserve">/Parlaments, T-346/11 un T-347/11, ECLI:EU:T:2013:23; Tiesas 2019. gada 19. decembra spriedums, </w:t>
      </w:r>
      <w:r w:rsidRPr="00152761">
        <w:rPr>
          <w:i/>
          <w:iCs/>
          <w:sz w:val="24"/>
          <w:lang w:val="lv-LV"/>
        </w:rPr>
        <w:t>Junqueras</w:t>
      </w:r>
      <w:r w:rsidRPr="00152761">
        <w:rPr>
          <w:i/>
          <w:iCs/>
          <w:sz w:val="24"/>
          <w:lang w:val="lv-LV"/>
        </w:rPr>
        <w:t xml:space="preserve"> Vies</w:t>
      </w:r>
      <w:r w:rsidRPr="00152761">
        <w:rPr>
          <w:sz w:val="24"/>
          <w:lang w:val="lv-LV"/>
        </w:rPr>
        <w:t>, C-502/19, ECLI:EU:C:2019:1115.</w:t>
      </w:r>
    </w:p>
  </w:footnote>
  <w:footnote w:id="3">
    <w:p w:rsidR="00D22133" w:rsidRPr="00152761" w:rsidP="00152761" w14:paraId="2E1C899F" w14:textId="3EED887A">
      <w:pPr>
        <w:pStyle w:val="FootnoteText"/>
        <w:ind w:left="567" w:hanging="567"/>
        <w:rPr>
          <w:sz w:val="24"/>
          <w:lang w:val="lv-LV"/>
        </w:rPr>
      </w:pPr>
      <w:r w:rsidRPr="00152761">
        <w:rPr>
          <w:rStyle w:val="FootnoteReference"/>
          <w:sz w:val="24"/>
          <w:lang w:val="lv-LV"/>
        </w:rPr>
        <w:footnoteRef/>
      </w:r>
      <w:r w:rsidRPr="00152761" w:rsidR="00152761">
        <w:rPr>
          <w:sz w:val="24"/>
          <w:lang w:val="lv-LV"/>
        </w:rPr>
        <w:t xml:space="preserve"> </w:t>
      </w:r>
      <w:r w:rsidRPr="00152761" w:rsidR="00152761">
        <w:rPr>
          <w:sz w:val="24"/>
          <w:lang w:val="lv-LV"/>
        </w:rPr>
        <w:tab/>
      </w:r>
      <w:r w:rsidRPr="00152761">
        <w:rPr>
          <w:sz w:val="24"/>
          <w:lang w:val="lv-LV"/>
        </w:rPr>
        <w:t xml:space="preserve">Vispārējās tiesas 2019. gada 30. aprīļa spriedums, </w:t>
      </w:r>
      <w:r w:rsidRPr="00152761">
        <w:rPr>
          <w:i/>
          <w:sz w:val="24"/>
          <w:lang w:val="lv-LV"/>
        </w:rPr>
        <w:t>Briois</w:t>
      </w:r>
      <w:r w:rsidRPr="00152761">
        <w:rPr>
          <w:sz w:val="24"/>
          <w:lang w:val="lv-LV"/>
        </w:rPr>
        <w:t>/Parlaments,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52761" w14:paraId="5B29A07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52761" w14:paraId="2F4EB61F"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52761" w14:paraId="7A52977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39949893">
    <w:abstractNumId w:val="9"/>
  </w:num>
  <w:num w:numId="2" w16cid:durableId="892160381">
    <w:abstractNumId w:val="9"/>
  </w:num>
  <w:num w:numId="3" w16cid:durableId="1178303378">
    <w:abstractNumId w:val="7"/>
  </w:num>
  <w:num w:numId="4" w16cid:durableId="186910329">
    <w:abstractNumId w:val="7"/>
  </w:num>
  <w:num w:numId="5" w16cid:durableId="1591040105">
    <w:abstractNumId w:val="6"/>
  </w:num>
  <w:num w:numId="6" w16cid:durableId="1064454249">
    <w:abstractNumId w:val="6"/>
  </w:num>
  <w:num w:numId="7" w16cid:durableId="1589800944">
    <w:abstractNumId w:val="5"/>
  </w:num>
  <w:num w:numId="8" w16cid:durableId="944650686">
    <w:abstractNumId w:val="5"/>
  </w:num>
  <w:num w:numId="9" w16cid:durableId="1568492060">
    <w:abstractNumId w:val="4"/>
  </w:num>
  <w:num w:numId="10" w16cid:durableId="1367756975">
    <w:abstractNumId w:val="4"/>
  </w:num>
  <w:num w:numId="11" w16cid:durableId="2085489445">
    <w:abstractNumId w:val="8"/>
  </w:num>
  <w:num w:numId="12" w16cid:durableId="744035229">
    <w:abstractNumId w:val="8"/>
  </w:num>
  <w:num w:numId="13" w16cid:durableId="1819879654">
    <w:abstractNumId w:val="3"/>
  </w:num>
  <w:num w:numId="14" w16cid:durableId="570432086">
    <w:abstractNumId w:val="3"/>
  </w:num>
  <w:num w:numId="15" w16cid:durableId="408649153">
    <w:abstractNumId w:val="2"/>
  </w:num>
  <w:num w:numId="16" w16cid:durableId="1444837590">
    <w:abstractNumId w:val="2"/>
  </w:num>
  <w:num w:numId="17" w16cid:durableId="1951743222">
    <w:abstractNumId w:val="1"/>
  </w:num>
  <w:num w:numId="18" w16cid:durableId="1978680147">
    <w:abstractNumId w:val="1"/>
  </w:num>
  <w:num w:numId="19" w16cid:durableId="562255317">
    <w:abstractNumId w:val="0"/>
  </w:num>
  <w:num w:numId="20" w16cid:durableId="518741873">
    <w:abstractNumId w:val="0"/>
  </w:num>
  <w:num w:numId="21" w16cid:durableId="1028065860">
    <w:abstractNumId w:val="9"/>
  </w:num>
  <w:num w:numId="22" w16cid:durableId="436563970">
    <w:abstractNumId w:val="7"/>
  </w:num>
  <w:num w:numId="23" w16cid:durableId="1226180736">
    <w:abstractNumId w:val="6"/>
  </w:num>
  <w:num w:numId="24" w16cid:durableId="641348058">
    <w:abstractNumId w:val="5"/>
  </w:num>
  <w:num w:numId="25" w16cid:durableId="1008094862">
    <w:abstractNumId w:val="4"/>
  </w:num>
  <w:num w:numId="26" w16cid:durableId="626085807">
    <w:abstractNumId w:val="8"/>
  </w:num>
  <w:num w:numId="27" w16cid:durableId="1138455614">
    <w:abstractNumId w:val="3"/>
  </w:num>
  <w:num w:numId="28" w16cid:durableId="929655453">
    <w:abstractNumId w:val="2"/>
  </w:num>
  <w:num w:numId="29" w16cid:durableId="1265378813">
    <w:abstractNumId w:val="1"/>
  </w:num>
  <w:num w:numId="30" w16cid:durableId="1335574422">
    <w:abstractNumId w:val="0"/>
  </w:num>
  <w:num w:numId="31" w16cid:durableId="971013881">
    <w:abstractNumId w:val="9"/>
  </w:num>
  <w:num w:numId="32" w16cid:durableId="1598712636">
    <w:abstractNumId w:val="7"/>
  </w:num>
  <w:num w:numId="33" w16cid:durableId="1288928623">
    <w:abstractNumId w:val="6"/>
  </w:num>
  <w:num w:numId="34" w16cid:durableId="245651616">
    <w:abstractNumId w:val="5"/>
  </w:num>
  <w:num w:numId="35" w16cid:durableId="798574781">
    <w:abstractNumId w:val="4"/>
  </w:num>
  <w:num w:numId="36" w16cid:durableId="752166002">
    <w:abstractNumId w:val="8"/>
  </w:num>
  <w:num w:numId="37" w16cid:durableId="1417046221">
    <w:abstractNumId w:val="3"/>
  </w:num>
  <w:num w:numId="38" w16cid:durableId="259879743">
    <w:abstractNumId w:val="2"/>
  </w:num>
  <w:num w:numId="39" w16cid:durableId="898125616">
    <w:abstractNumId w:val="1"/>
  </w:num>
  <w:num w:numId="40" w16cid:durableId="1269583866">
    <w:abstractNumId w:val="0"/>
  </w:num>
  <w:num w:numId="41" w16cid:durableId="1918976757">
    <w:abstractNumId w:val="10"/>
  </w:num>
  <w:num w:numId="42" w16cid:durableId="2080907422">
    <w:abstractNumId w:val="10"/>
  </w:num>
  <w:num w:numId="43" w16cid:durableId="1962682124">
    <w:abstractNumId w:val="10"/>
  </w:num>
  <w:num w:numId="44" w16cid:durableId="6979757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D7C"/>
    <w:rsid w:val="00002272"/>
    <w:rsid w:val="000564A4"/>
    <w:rsid w:val="00064002"/>
    <w:rsid w:val="000677B9"/>
    <w:rsid w:val="000831BA"/>
    <w:rsid w:val="000A42CC"/>
    <w:rsid w:val="000E7DD9"/>
    <w:rsid w:val="0010095E"/>
    <w:rsid w:val="00125B37"/>
    <w:rsid w:val="00152761"/>
    <w:rsid w:val="00187494"/>
    <w:rsid w:val="001F32AE"/>
    <w:rsid w:val="002767FF"/>
    <w:rsid w:val="002B18FE"/>
    <w:rsid w:val="002B5493"/>
    <w:rsid w:val="002C25EE"/>
    <w:rsid w:val="00343214"/>
    <w:rsid w:val="00361C00"/>
    <w:rsid w:val="00395FA1"/>
    <w:rsid w:val="003E15D4"/>
    <w:rsid w:val="00411CCE"/>
    <w:rsid w:val="0041666E"/>
    <w:rsid w:val="00421060"/>
    <w:rsid w:val="00471C19"/>
    <w:rsid w:val="004867E3"/>
    <w:rsid w:val="00490380"/>
    <w:rsid w:val="00494A28"/>
    <w:rsid w:val="004C0004"/>
    <w:rsid w:val="004C5D52"/>
    <w:rsid w:val="0050519A"/>
    <w:rsid w:val="005072A1"/>
    <w:rsid w:val="00514517"/>
    <w:rsid w:val="00545827"/>
    <w:rsid w:val="00560270"/>
    <w:rsid w:val="005C2568"/>
    <w:rsid w:val="005F1B17"/>
    <w:rsid w:val="006037C0"/>
    <w:rsid w:val="006436A2"/>
    <w:rsid w:val="006631B6"/>
    <w:rsid w:val="00680577"/>
    <w:rsid w:val="006F74FA"/>
    <w:rsid w:val="00731ADD"/>
    <w:rsid w:val="00734777"/>
    <w:rsid w:val="00747932"/>
    <w:rsid w:val="00751A4A"/>
    <w:rsid w:val="00756632"/>
    <w:rsid w:val="00762C74"/>
    <w:rsid w:val="00785B2E"/>
    <w:rsid w:val="00786EC0"/>
    <w:rsid w:val="007D1690"/>
    <w:rsid w:val="007E22AD"/>
    <w:rsid w:val="007F41AC"/>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22133"/>
    <w:rsid w:val="00D56C11"/>
    <w:rsid w:val="00D834A0"/>
    <w:rsid w:val="00D872DF"/>
    <w:rsid w:val="00D91E21"/>
    <w:rsid w:val="00DA7FCD"/>
    <w:rsid w:val="00E272B0"/>
    <w:rsid w:val="00E365E1"/>
    <w:rsid w:val="00E820A4"/>
    <w:rsid w:val="00EB006A"/>
    <w:rsid w:val="00EB4772"/>
    <w:rsid w:val="00ED169E"/>
    <w:rsid w:val="00ED4235"/>
    <w:rsid w:val="00F04346"/>
    <w:rsid w:val="00F075DC"/>
    <w:rsid w:val="00F149E9"/>
    <w:rsid w:val="00F27D7C"/>
    <w:rsid w:val="00F5134D"/>
    <w:rsid w:val="00F74202"/>
    <w:rsid w:val="00F87713"/>
    <w:rsid w:val="00FB4360"/>
    <w:rsid w:val="00FD0C70"/>
    <w:rsid w:val="00FF3DBF"/>
  </w:rsids>
  <w:docVars>
    <w:docVar w:name="dvdocse" w:val="A10-0155/2026"/>
    <w:docVar w:name="dvlangue" w:val="LV"/>
    <w:docVar w:name="dvnumam" w:val="0"/>
    <w:docVar w:name="dvpe" w:val="782.200"/>
    <w:docVar w:name="dvrapporteur" w:val="Referents: "/>
    <w:docVar w:name="dvtitre" w:val="Eiropas Parlamenta 2026. gada XX. XXX  rezolūcija par pieprasījumu atcelt Nikola Minchev imunitāti(2025/2100(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96FCACC"/>
  <w15:chartTrackingRefBased/>
  <w15:docId w15:val="{5DBCA3FE-E5C2-42E3-8E8A-370469C31D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D22133"/>
    <w:rPr>
      <w:b/>
    </w:rPr>
  </w:style>
  <w:style w:type="paragraph" w:customStyle="1" w:styleId="NormalHanging12a">
    <w:name w:val="NormalHanging12a"/>
    <w:basedOn w:val="Normal"/>
    <w:rsid w:val="00D22133"/>
    <w:pPr>
      <w:spacing w:after="240"/>
      <w:ind w:left="567" w:hanging="567"/>
    </w:pPr>
  </w:style>
  <w:style w:type="paragraph" w:customStyle="1" w:styleId="EPComma">
    <w:name w:val="EPComma"/>
    <w:basedOn w:val="Normal"/>
    <w:rsid w:val="00D22133"/>
    <w:pPr>
      <w:spacing w:before="480" w:after="240"/>
    </w:pPr>
  </w:style>
  <w:style w:type="paragraph" w:styleId="Revision">
    <w:name w:val="Revision"/>
    <w:hidden/>
    <w:uiPriority w:val="99"/>
    <w:semiHidden/>
    <w:rsid w:val="00490380"/>
    <w:rPr>
      <w:sz w:val="24"/>
      <w:lang w:val="lv-LV"/>
    </w:rPr>
  </w:style>
  <w:style w:type="character" w:styleId="CommentReference">
    <w:name w:val="annotation reference"/>
    <w:basedOn w:val="DefaultParagraphFont"/>
    <w:rsid w:val="00490380"/>
    <w:rPr>
      <w:sz w:val="16"/>
      <w:szCs w:val="16"/>
    </w:rPr>
  </w:style>
  <w:style w:type="paragraph" w:styleId="CommentText">
    <w:name w:val="annotation text"/>
    <w:basedOn w:val="Normal"/>
    <w:link w:val="CommentTextChar"/>
    <w:rsid w:val="00490380"/>
    <w:rPr>
      <w:sz w:val="20"/>
    </w:rPr>
  </w:style>
  <w:style w:type="character" w:customStyle="1" w:styleId="CommentTextChar">
    <w:name w:val="Comment Text Char"/>
    <w:basedOn w:val="DefaultParagraphFont"/>
    <w:link w:val="CommentText"/>
    <w:rsid w:val="00490380"/>
    <w:rPr>
      <w:lang w:val="lv-LV"/>
    </w:rPr>
  </w:style>
  <w:style w:type="paragraph" w:styleId="CommentSubject">
    <w:name w:val="annotation subject"/>
    <w:basedOn w:val="CommentText"/>
    <w:next w:val="CommentText"/>
    <w:link w:val="CommentSubjectChar"/>
    <w:rsid w:val="00490380"/>
    <w:rPr>
      <w:b/>
      <w:bCs/>
    </w:rPr>
  </w:style>
  <w:style w:type="character" w:customStyle="1" w:styleId="CommentSubjectChar">
    <w:name w:val="Comment Subject Char"/>
    <w:basedOn w:val="CommentTextChar"/>
    <w:link w:val="CommentSubject"/>
    <w:rsid w:val="00490380"/>
    <w:rPr>
      <w:b/>
      <w:bCs/>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941</Words>
  <Characters>6082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2026-06-16T12:03:00Z</dcterms:created>
  <dcterms:modified xsi:type="dcterms:W3CDTF">2026-06-16T12:03:00Z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A10-0155/2026</vt:lpwstr>
  </property>
  <property fmtid="{D5CDD505-2E9C-101B-9397-08002B2CF9AE}" pid="4" name="&lt;Type&gt;">
    <vt:lpwstr>RR</vt:lpwstr>
  </property>
</Properties>
</file>