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9ADC18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54C47" w:rsidP="0010095E" w14:paraId="0FABB68B" w14:textId="77777777">
            <w:pPr>
              <w:pStyle w:val="EPName"/>
            </w:pPr>
            <w:r w:rsidRPr="00754C47">
              <w:t>Parlament Europejski</w:t>
            </w:r>
          </w:p>
          <w:p w:rsidR="00751A4A" w:rsidRPr="00754C47" w:rsidP="005F1B17" w14:paraId="49869A3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4C47">
              <w:t>2024</w:t>
            </w:r>
            <w:r w:rsidRPr="00754C47" w:rsidR="00817416">
              <w:t>-202</w:t>
            </w:r>
            <w:r w:rsidRPr="00754C4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54C47" w:rsidP="0010095E" w14:paraId="4BD6C76F" w14:textId="77777777">
            <w:pPr>
              <w:pStyle w:val="EPLogo"/>
            </w:pPr>
            <w:r w:rsidRPr="00754C4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54C47" w:rsidP="004C5D52" w14:paraId="69E6D1A0" w14:textId="77777777">
      <w:pPr>
        <w:pStyle w:val="LineTop"/>
      </w:pPr>
    </w:p>
    <w:p w:rsidR="00680577" w:rsidRPr="00754C47" w:rsidP="00680577" w14:paraId="5704E90D" w14:textId="77777777">
      <w:pPr>
        <w:pStyle w:val="EPBodyTA1"/>
      </w:pPr>
      <w:r w:rsidRPr="00754C47">
        <w:t>TEKSTY PRZYJĘTE</w:t>
      </w:r>
    </w:p>
    <w:p w:rsidR="00D058B8" w:rsidRPr="00754C47" w:rsidP="00D058B8" w14:paraId="726D7036" w14:textId="77777777">
      <w:pPr>
        <w:pStyle w:val="LineBottom"/>
      </w:pPr>
    </w:p>
    <w:p w:rsidR="008E3C2A" w:rsidRPr="00754C47" w:rsidP="008E3C2A" w14:paraId="6B76B54F" w14:textId="57B48060">
      <w:pPr>
        <w:pStyle w:val="ATHeading1"/>
      </w:pPr>
      <w:bookmarkStart w:id="0" w:name="TANumber"/>
      <w:r w:rsidRPr="00754C47">
        <w:t>P10_TA(2026)0</w:t>
      </w:r>
      <w:r w:rsidR="001851E4">
        <w:t>195</w:t>
      </w:r>
      <w:bookmarkEnd w:id="0"/>
    </w:p>
    <w:p w:rsidR="008E3C2A" w:rsidRPr="00754C47" w:rsidP="008E3C2A" w14:paraId="441694E8" w14:textId="77777777">
      <w:pPr>
        <w:pStyle w:val="ATHeading2"/>
      </w:pPr>
      <w:bookmarkStart w:id="1" w:name="title"/>
      <w:r w:rsidRPr="00754C47">
        <w:t xml:space="preserve">Wniosek o uchylenie immunitetu Nikoli </w:t>
      </w:r>
      <w:r w:rsidRPr="00754C47">
        <w:t>Mincheva</w:t>
      </w:r>
      <w:bookmarkEnd w:id="1"/>
    </w:p>
    <w:p w:rsidR="008E3C2A" w:rsidRPr="00754C47" w:rsidP="008E3C2A" w14:paraId="315B4FD7" w14:textId="77777777">
      <w:pPr>
        <w:rPr>
          <w:i/>
          <w:vanish/>
        </w:rPr>
      </w:pPr>
      <w:r>
        <w:rPr>
          <w:i/>
        </w:rPr>
        <w:fldChar w:fldCharType="begin"/>
      </w:r>
      <w:r w:rsidRPr="00754C47">
        <w:rPr>
          <w:i/>
        </w:rPr>
        <w:instrText xml:space="preserve"> TC"(</w:instrText>
      </w:r>
      <w:bookmarkStart w:id="2" w:name="DocNumber"/>
      <w:r w:rsidRPr="00754C47">
        <w:rPr>
          <w:i/>
        </w:rPr>
        <w:instrText>A10-0155/2026</w:instrText>
      </w:r>
      <w:bookmarkEnd w:id="2"/>
      <w:r w:rsidRPr="00754C47">
        <w:rPr>
          <w:i/>
        </w:rPr>
        <w:instrText xml:space="preserve"> - Sprawozdawca: Ilhan Kyuchyuk)"\l3 \n&gt; \* MERGEFORMAT </w:instrText>
      </w:r>
      <w:r>
        <w:rPr>
          <w:i/>
        </w:rPr>
        <w:fldChar w:fldCharType="end"/>
      </w:r>
    </w:p>
    <w:p w:rsidR="008E3C2A" w:rsidRPr="00754C47" w:rsidP="008E3C2A" w14:paraId="1712B07E" w14:textId="77777777">
      <w:pPr>
        <w:rPr>
          <w:vanish/>
        </w:rPr>
      </w:pPr>
      <w:bookmarkStart w:id="3" w:name="Commission"/>
      <w:r w:rsidRPr="00754C47">
        <w:rPr>
          <w:vanish/>
        </w:rPr>
        <w:t>Komisja Prawna</w:t>
      </w:r>
      <w:bookmarkEnd w:id="3"/>
    </w:p>
    <w:p w:rsidR="008E3C2A" w:rsidRPr="00754C47" w:rsidP="008E3C2A" w14:paraId="43098CE4" w14:textId="77777777">
      <w:pPr>
        <w:rPr>
          <w:vanish/>
        </w:rPr>
      </w:pPr>
      <w:bookmarkStart w:id="4" w:name="PE"/>
      <w:r w:rsidRPr="00754C47">
        <w:rPr>
          <w:vanish/>
        </w:rPr>
        <w:t>PE782.200</w:t>
      </w:r>
      <w:bookmarkEnd w:id="4"/>
    </w:p>
    <w:p w:rsidR="008E3C2A" w:rsidRPr="00754C47" w:rsidP="008E3C2A" w14:paraId="606EECBB" w14:textId="227FFE5E">
      <w:pPr>
        <w:pStyle w:val="ATHeading3"/>
      </w:pPr>
      <w:bookmarkStart w:id="5" w:name="Sujet"/>
      <w:r w:rsidRPr="00754C47">
        <w:t xml:space="preserve">Decyzja Parlamentu Europejskiego z dnia </w:t>
      </w:r>
      <w:r w:rsidR="004C144A">
        <w:t>16 czerwca</w:t>
      </w:r>
      <w:r w:rsidRPr="00754C47">
        <w:t xml:space="preserve"> 2026 r. w sprawie wniosku o uchylenie immunitetu Nikoli </w:t>
      </w:r>
      <w:r w:rsidRPr="00754C47">
        <w:t>Mincheva</w:t>
      </w:r>
      <w:bookmarkEnd w:id="5"/>
      <w:r w:rsidRPr="00754C47">
        <w:t xml:space="preserve"> </w:t>
      </w:r>
      <w:bookmarkStart w:id="6" w:name="References"/>
      <w:r w:rsidRPr="00754C47">
        <w:t>(2025/2100(IMM))</w:t>
      </w:r>
      <w:bookmarkEnd w:id="6"/>
    </w:p>
    <w:p w:rsidR="00DF0686" w:rsidRPr="00754C47" w:rsidP="00DF0686" w14:paraId="4861F17E" w14:textId="77777777">
      <w:pPr>
        <w:pStyle w:val="EPComma"/>
      </w:pPr>
      <w:bookmarkStart w:id="7" w:name="TextBodyBegin"/>
      <w:bookmarkEnd w:id="7"/>
      <w:r w:rsidRPr="00754C47">
        <w:rPr>
          <w:i/>
          <w:iCs/>
        </w:rPr>
        <w:t>Parlament Europejski</w:t>
      </w:r>
      <w:r w:rsidRPr="00754C47">
        <w:t>,</w:t>
      </w:r>
    </w:p>
    <w:p w:rsidR="00DF0686" w:rsidRPr="00754C47" w:rsidP="00DF0686" w14:paraId="707A4816" w14:textId="0FD85B92">
      <w:pPr>
        <w:pStyle w:val="NormalHanging12a"/>
      </w:pPr>
      <w:r w:rsidRPr="00754C47">
        <w:t>–</w:t>
      </w:r>
      <w:r w:rsidRPr="00754C47">
        <w:tab/>
      </w:r>
      <w:bookmarkStart w:id="8" w:name="_Hlk231477072"/>
      <w:r w:rsidRPr="00754C47">
        <w:t xml:space="preserve">uwzględniając wniosek o uchylenie immunitetu Nikoli </w:t>
      </w:r>
      <w:r w:rsidRPr="00754C47">
        <w:t>Mincheva</w:t>
      </w:r>
      <w:r w:rsidRPr="00754C47">
        <w:t xml:space="preserve">, otrzymany pismem z </w:t>
      </w:r>
      <w:r w:rsidR="003F0843">
        <w:t xml:space="preserve">dnia </w:t>
      </w:r>
      <w:r w:rsidRPr="00754C47">
        <w:t xml:space="preserve">6 maja 2025 r. od belgijskiego ministerstwa federalnego spraw zagranicznych, handlu zagranicznego i współpracy na rzecz rozwoju, przekazującym wniosek belgijskiej prokuratury federalnej z </w:t>
      </w:r>
      <w:r w:rsidR="003F0843">
        <w:t xml:space="preserve">dnia </w:t>
      </w:r>
      <w:r w:rsidRPr="00754C47">
        <w:t xml:space="preserve">16 kwietnia 2025 r. w związku z postępowaniem karnym, które ma zostać wszczęte przeciwko niemu, ogłoszony w Parlamencie </w:t>
      </w:r>
      <w:r w:rsidR="003F0843">
        <w:t xml:space="preserve">dnia </w:t>
      </w:r>
      <w:r w:rsidRPr="00754C47">
        <w:t>21 maja 2025 r.,</w:t>
      </w:r>
    </w:p>
    <w:p w:rsidR="00DF0686" w:rsidRPr="00754C47" w:rsidP="00DF0686" w14:paraId="1E2C619D" w14:textId="29F60DC8">
      <w:pPr>
        <w:pStyle w:val="NormalHanging12a"/>
        <w:rPr>
          <w:bCs/>
        </w:rPr>
      </w:pPr>
      <w:r w:rsidRPr="00754C47">
        <w:t>–</w:t>
      </w:r>
      <w:r w:rsidRPr="00754C47">
        <w:tab/>
      </w:r>
      <w:bookmarkStart w:id="9" w:name="_Hlk225077637"/>
      <w:r w:rsidRPr="00754C47">
        <w:t xml:space="preserve">uwzględniając dodatkowe informacje przekazane przez prokuratora federalnego i sędziego śledczego podczas wymiany poglądów z </w:t>
      </w:r>
      <w:r w:rsidR="003F0843">
        <w:t xml:space="preserve">dnia </w:t>
      </w:r>
      <w:r w:rsidRPr="00754C47">
        <w:t xml:space="preserve">15 lipca 2025 r. oraz odpowiedź udzieloną </w:t>
      </w:r>
      <w:r w:rsidR="003F0843">
        <w:t>dnia</w:t>
      </w:r>
      <w:r w:rsidR="000474F8">
        <w:t xml:space="preserve"> </w:t>
      </w:r>
      <w:r w:rsidRPr="00754C47">
        <w:t>18 września 2025 r. w następstwie kolejnego pisemnego wniosku o udzielenie informacji</w:t>
      </w:r>
      <w:r w:rsidR="000474F8">
        <w:t>;</w:t>
      </w:r>
      <w:r w:rsidRPr="00754C47">
        <w:t xml:space="preserve"> uwzględniając fakt, że wniosek o uchylenie immunitetu posła </w:t>
      </w:r>
      <w:bookmarkStart w:id="10" w:name="_Hlk225077824"/>
      <w:r w:rsidRPr="00754C47">
        <w:t>powinien spełniać określone standardy</w:t>
      </w:r>
      <w:bookmarkEnd w:id="10"/>
      <w:r w:rsidRPr="00754C47">
        <w:t>, a mianowicie powinien być sformułowany jasno, w tym w odniesieniu do ram prawnych, na których się opiera, oraz powinien zawierać jasne i wystarczające elementy i informacje, aby Parlament był w stanie rozpatrzyć wniosek w celu podjęcia decyzji i to możliwie szybko, mając również na uwadze względną złożoność sprawy,</w:t>
      </w:r>
      <w:bookmarkEnd w:id="9"/>
    </w:p>
    <w:p w:rsidR="00DF0686" w:rsidRPr="00754C47" w:rsidP="00DF0686" w14:paraId="27A993FC" w14:textId="34591471">
      <w:pPr>
        <w:pStyle w:val="NormalHanging12a"/>
      </w:pPr>
      <w:r w:rsidRPr="00754C47">
        <w:t>–</w:t>
      </w:r>
      <w:r w:rsidRPr="00754C47">
        <w:tab/>
        <w:t xml:space="preserve">po wysłuchaniu </w:t>
      </w:r>
      <w:r w:rsidR="000474F8">
        <w:t xml:space="preserve">wyjaśnień </w:t>
      </w:r>
      <w:r w:rsidRPr="00754C47">
        <w:t xml:space="preserve">Nikoli </w:t>
      </w:r>
      <w:r w:rsidRPr="00754C47">
        <w:t>Mincheva</w:t>
      </w:r>
      <w:r w:rsidRPr="00754C47">
        <w:t xml:space="preserve"> </w:t>
      </w:r>
      <w:r w:rsidR="000474F8">
        <w:t>w dniu</w:t>
      </w:r>
      <w:r w:rsidR="003F0843">
        <w:t xml:space="preserve"> </w:t>
      </w:r>
      <w:r w:rsidRPr="00754C47">
        <w:t>3 grudnia 2025 r., zgodnie z art. 9 ust. 6 Regulaminu,</w:t>
      </w:r>
    </w:p>
    <w:p w:rsidR="00DF0686" w:rsidRPr="00754C47" w:rsidP="00DF0686" w14:paraId="2F9EFD1F" w14:textId="5DC36B94">
      <w:pPr>
        <w:pStyle w:val="NormalHanging12a"/>
      </w:pPr>
      <w:r w:rsidRPr="00754C47">
        <w:t>–</w:t>
      </w:r>
      <w:r w:rsidRPr="00754C47">
        <w:tab/>
        <w:t>uwzględniając art. 8 i 9 Protokołu nr 7 w sprawie przywilejów i immunitetów Unii Europejskiej, jak również art. 6 ust. 2 aktu dotyczącego wybor</w:t>
      </w:r>
      <w:r w:rsidR="003F0843">
        <w:t>u</w:t>
      </w:r>
      <w:r w:rsidRPr="00754C47">
        <w:t xml:space="preserve"> </w:t>
      </w:r>
      <w:r w:rsidR="003F0843">
        <w:t>członków</w:t>
      </w:r>
      <w:r w:rsidRPr="00754C47">
        <w:t xml:space="preserve"> Parlamentu Europejskiego w powszechnych wyborach bezpośrednich</w:t>
      </w:r>
      <w:r w:rsidRPr="003F0843" w:rsidR="003F0843">
        <w:t xml:space="preserve"> </w:t>
      </w:r>
      <w:r w:rsidRPr="00754C47" w:rsidR="003F0843">
        <w:t xml:space="preserve">z </w:t>
      </w:r>
      <w:r w:rsidR="003F0843">
        <w:t xml:space="preserve">dnia </w:t>
      </w:r>
      <w:r w:rsidRPr="00754C47" w:rsidR="003F0843">
        <w:t>20 września 1976 r.</w:t>
      </w:r>
      <w:r w:rsidRPr="00754C47">
        <w:t>,</w:t>
      </w:r>
    </w:p>
    <w:p w:rsidR="00DF0686" w:rsidRPr="00754C47" w:rsidP="00DF0686" w14:paraId="0161482F" w14:textId="1A2B85E1">
      <w:pPr>
        <w:pStyle w:val="NormalHanging12a"/>
      </w:pPr>
      <w:r w:rsidRPr="00754C47">
        <w:t>–</w:t>
      </w:r>
      <w:r w:rsidRPr="00754C47">
        <w:tab/>
        <w:t xml:space="preserve">uwzględniając wyroki wydane przez Trybunał Sprawiedliwości Unii Europejskiej </w:t>
      </w:r>
      <w:r w:rsidR="003F0843">
        <w:t xml:space="preserve">w dniach </w:t>
      </w:r>
      <w:r w:rsidRPr="00754C47">
        <w:t xml:space="preserve">21 października 2008 r., 19 marca 2010 r., 6 września 2011 r., 17 stycznia 2013 </w:t>
      </w:r>
      <w:r w:rsidRPr="00754C47">
        <w:t>r. i 19 grudnia 2019 r.</w:t>
      </w:r>
      <w:r>
        <w:rPr>
          <w:vertAlign w:val="superscript"/>
        </w:rPr>
        <w:footnoteReference w:id="2"/>
      </w:r>
      <w:r w:rsidRPr="00754C47">
        <w:t>,</w:t>
      </w:r>
    </w:p>
    <w:p w:rsidR="00DF0686" w:rsidRPr="00754C47" w:rsidP="00DF0686" w14:paraId="0C1AF637" w14:textId="77777777">
      <w:pPr>
        <w:pStyle w:val="NormalHanging12a"/>
      </w:pPr>
      <w:r w:rsidRPr="00754C47">
        <w:t>–</w:t>
      </w:r>
      <w:r w:rsidRPr="00754C47">
        <w:tab/>
        <w:t>uwzględniając art. 5 ust. 2, art. 6 ust. 1 oraz art. 9 Regulaminu,</w:t>
      </w:r>
    </w:p>
    <w:p w:rsidR="00DF0686" w:rsidRPr="00754C47" w:rsidP="00DF0686" w14:paraId="016445DF" w14:textId="77777777">
      <w:pPr>
        <w:pStyle w:val="NormalHanging12a"/>
      </w:pPr>
      <w:r w:rsidRPr="00754C47">
        <w:t>–</w:t>
      </w:r>
      <w:r w:rsidRPr="00754C47">
        <w:tab/>
        <w:t>uwzględniając sprawozdanie Komisji Prawnej (A10-0155/2026),</w:t>
      </w:r>
    </w:p>
    <w:p w:rsidR="00DF0686" w:rsidRPr="00754C47" w:rsidP="00DF0686" w14:paraId="7ED9293A" w14:textId="2D030627">
      <w:pPr>
        <w:pStyle w:val="NormalHanging12a"/>
      </w:pPr>
      <w:r w:rsidRPr="00754C47">
        <w:t>A.</w:t>
      </w:r>
      <w:r w:rsidRPr="00754C47">
        <w:tab/>
        <w:t xml:space="preserve">mając na uwadze, że </w:t>
      </w:r>
      <w:bookmarkStart w:id="11" w:name="_Hlk210982066"/>
      <w:r w:rsidR="001463E4">
        <w:t xml:space="preserve">dnia 6 maja 2025 r. </w:t>
      </w:r>
      <w:r w:rsidRPr="003B1655" w:rsidR="001463E4">
        <w:t>ministerstw</w:t>
      </w:r>
      <w:r w:rsidR="001463E4">
        <w:t>o</w:t>
      </w:r>
      <w:r w:rsidRPr="003B1655" w:rsidR="001463E4">
        <w:t xml:space="preserve"> federalne spraw zagranicznych, handlu zagranicznego i współpracy na rzecz rozwoju</w:t>
      </w:r>
      <w:r w:rsidR="001463E4">
        <w:t xml:space="preserve"> przekazało</w:t>
      </w:r>
      <w:r w:rsidRPr="003B1655" w:rsidR="001463E4">
        <w:t xml:space="preserve"> wniosek </w:t>
      </w:r>
      <w:r w:rsidR="001463E4">
        <w:t xml:space="preserve">prokuratora federalnego z </w:t>
      </w:r>
      <w:r w:rsidR="003F0843">
        <w:t xml:space="preserve">dnia </w:t>
      </w:r>
      <w:r w:rsidRPr="00754C47">
        <w:t>16 kwietnia 2025 r.</w:t>
      </w:r>
      <w:bookmarkEnd w:id="11"/>
      <w:r w:rsidRPr="00754C47">
        <w:t xml:space="preserve"> o uchylenie immunitetu Nikoli </w:t>
      </w:r>
      <w:r w:rsidRPr="00754C47">
        <w:t>Mincheva</w:t>
      </w:r>
      <w:r w:rsidRPr="00754C47">
        <w:t>, posła do Parlamentu Europejskiego wybranego w Bułgarii, w związku z postępowaniem karnym, które ma zostać przeciwko niemu wszczęte;</w:t>
      </w:r>
    </w:p>
    <w:p w:rsidR="00DF0686" w:rsidRPr="00754C47" w:rsidP="00DF0686" w14:paraId="6C0F9AE1" w14:textId="3DA5B9FE">
      <w:pPr>
        <w:pStyle w:val="NormalHanging12a"/>
      </w:pPr>
      <w:r w:rsidRPr="00754C47">
        <w:t>B.</w:t>
      </w:r>
      <w:r w:rsidRPr="00754C47">
        <w:tab/>
      </w:r>
      <w:bookmarkStart w:id="12" w:name="_Hlk229403782"/>
      <w:bookmarkStart w:id="13" w:name="_Hlk228968475"/>
      <w:bookmarkStart w:id="14" w:name="_Hlk223949179"/>
      <w:r w:rsidRPr="00754C47">
        <w:t xml:space="preserve">mając na uwadze, że szeroko zakrojone </w:t>
      </w:r>
      <w:r w:rsidR="001463E4">
        <w:t>postępowanie przygotowawcze</w:t>
      </w:r>
      <w:r w:rsidRPr="00754C47" w:rsidR="001463E4">
        <w:t xml:space="preserve"> </w:t>
      </w:r>
      <w:r w:rsidRPr="00754C47">
        <w:t xml:space="preserve">dotyczące spółki </w:t>
      </w:r>
      <w:r w:rsidRPr="00754C47">
        <w:t>Huawei</w:t>
      </w:r>
      <w:r w:rsidRPr="00754C47">
        <w:t xml:space="preserve"> dostarczyło, jak się wydaje, poważne dowody na istnienie organizacji przestępczej, której celem miało być wywieranie wpływu na decyzje instytucji </w:t>
      </w:r>
      <w:r w:rsidR="001463E4">
        <w:t>Unii</w:t>
      </w:r>
      <w:r w:rsidRPr="00754C47" w:rsidR="001463E4">
        <w:t xml:space="preserve"> </w:t>
      </w:r>
      <w:r w:rsidRPr="00754C47">
        <w:t>poprzez korumpowanie posłów do Parlamentu Europejskiego;</w:t>
      </w:r>
      <w:bookmarkEnd w:id="12"/>
      <w:r w:rsidRPr="00754C47">
        <w:t xml:space="preserve"> mając na uwadze, że </w:t>
      </w:r>
      <w:r w:rsidR="001463E4">
        <w:t>to postępowanie przygotowawcze</w:t>
      </w:r>
      <w:r w:rsidRPr="00754C47">
        <w:t xml:space="preserve"> wskazuje na szereg czynów korupcyjnych, które miały być popełniane regularnie w latach 2021–2024; mając na uwadze, że mechanizm korupcyjny miał przybierać różne formy, </w:t>
      </w:r>
      <w:bookmarkStart w:id="15" w:name="_Hlk229403810"/>
      <w:r w:rsidRPr="00754C47">
        <w:t xml:space="preserve">w tym zapraszanie posłów do Parlamentu Europejskiego na wydarzenia wspierane przez </w:t>
      </w:r>
      <w:r w:rsidRPr="00754C47">
        <w:t>Huawei</w:t>
      </w:r>
      <w:r w:rsidRPr="00754C47">
        <w:t xml:space="preserve"> w zamian, jak się zarzuca, za zajmowanie stanowisk politycznych korzystnych dla tej spółki, czy też prezenty o nadmiernej wartości, takie jak koszty wyżywienia i podróży lub regularne zaproszenia na mecze piłki nożnej niezwiązane z działalnością Parlamentu Europejskiego</w:t>
      </w:r>
      <w:bookmarkEnd w:id="13"/>
      <w:bookmarkEnd w:id="15"/>
      <w:r w:rsidRPr="00754C47">
        <w:t>;</w:t>
      </w:r>
      <w:bookmarkEnd w:id="14"/>
    </w:p>
    <w:p w:rsidR="00DF0686" w:rsidRPr="00754C47" w:rsidP="00DF0686" w14:paraId="2DB5A0A7" w14:textId="52EB4E1D">
      <w:pPr>
        <w:pStyle w:val="NormalHanging12a"/>
      </w:pPr>
      <w:r w:rsidRPr="00754C47">
        <w:t>C.</w:t>
      </w:r>
      <w:r w:rsidRPr="00754C47">
        <w:tab/>
        <w:t xml:space="preserve">mając na uwadze, że zgodnie z wnioskiem o uchylenie immunitetu </w:t>
      </w:r>
      <w:r w:rsidR="001463E4">
        <w:t xml:space="preserve">dnia </w:t>
      </w:r>
      <w:r w:rsidRPr="00754C47">
        <w:t xml:space="preserve">24 października 2024 r. Nikola </w:t>
      </w:r>
      <w:r w:rsidRPr="00754C47">
        <w:t>Minchev</w:t>
      </w:r>
      <w:r w:rsidRPr="00754C47">
        <w:t xml:space="preserve"> – wraz ze swoim akredytowanym asystentem parlamentarnym, dwoma przedstawicielami spółki </w:t>
      </w:r>
      <w:r w:rsidRPr="00754C47">
        <w:t>Huawei</w:t>
      </w:r>
      <w:r w:rsidRPr="00754C47">
        <w:t xml:space="preserve"> i jeszcze jedną osobą – był obecny na meczu piłki nożnej na stadionie w Brukseli; mając na uwadze, że zgodnie z wnioskiem byli oni obecni w loży, która wedle ustaleń była wynajmowana przez </w:t>
      </w:r>
      <w:r w:rsidRPr="00754C47">
        <w:t>Huawei</w:t>
      </w:r>
      <w:r w:rsidRPr="00754C47">
        <w:t xml:space="preserve"> za cenę 45 000 EUR za sezon za pośrednictwem przedsiębiorstwa</w:t>
      </w:r>
      <w:r w:rsidR="002947CA">
        <w:t>, które miało pośredniczyć</w:t>
      </w:r>
      <w:r w:rsidRPr="00754C47">
        <w:t xml:space="preserve"> w celu ułatwienia kontaktów z niektórymi posłami do Parlamentu Europejskiego; mając na uwadze, że wydaje się, iż Nikola </w:t>
      </w:r>
      <w:r w:rsidRPr="00754C47">
        <w:t>Minchev</w:t>
      </w:r>
      <w:r w:rsidRPr="00754C47">
        <w:t xml:space="preserve"> nie zadeklarował Parlamentowi Europejskiemu pokrytych kosztów związanych z obecnością na meczu piłki nożnej, których dokładna kwota nie była znana organowi wnioskującemu o uchylenie immunitetu; mając na uwadze, że zgodnie z dodatkowymi informacjami przekazanymi przez prokuratora federalnego </w:t>
      </w:r>
      <w:r w:rsidR="002947CA">
        <w:t xml:space="preserve">w dniu </w:t>
      </w:r>
      <w:r w:rsidRPr="00754C47">
        <w:t xml:space="preserve">16 lipca 2024 r. Nikola </w:t>
      </w:r>
      <w:r w:rsidRPr="00754C47">
        <w:t>Minchev</w:t>
      </w:r>
      <w:r w:rsidRPr="00754C47">
        <w:t xml:space="preserve"> wziął również udział w kolacji z dyrektorem </w:t>
      </w:r>
      <w:r w:rsidRPr="00754C47">
        <w:t>Huawei</w:t>
      </w:r>
      <w:r w:rsidRPr="00754C47">
        <w:t xml:space="preserve">, którą zorganizował jeden z dwóch przedstawicieli </w:t>
      </w:r>
      <w:r w:rsidRPr="00754C47">
        <w:t>Huawei</w:t>
      </w:r>
      <w:r w:rsidRPr="00754C47">
        <w:t>;</w:t>
      </w:r>
    </w:p>
    <w:p w:rsidR="00DF0686" w:rsidRPr="00754C47" w:rsidP="00DF0686" w14:paraId="2BE0E456" w14:textId="28207E69">
      <w:pPr>
        <w:pStyle w:val="NormalHanging12a"/>
      </w:pPr>
      <w:r w:rsidRPr="00754C47">
        <w:t>D.</w:t>
      </w:r>
      <w:r w:rsidRPr="00754C47">
        <w:tab/>
        <w:t xml:space="preserve">mając na uwadze, że dopiero z dodatkowych informacji przekazanych przez prokuratora federalnego w odpowiedzi na pisemny wniosek o dalsze informacje wynikło, że działania zarzucane Nikoli </w:t>
      </w:r>
      <w:r w:rsidRPr="00754C47">
        <w:t>Minczevowi</w:t>
      </w:r>
      <w:r w:rsidRPr="00754C47">
        <w:t xml:space="preserve"> mogły stanowić bierne przekupstwo w sferze publicznej, które stanowi przestępstwo na podstawie art. 246 ust. 1 belgijskiego </w:t>
      </w:r>
      <w:r w:rsidRPr="00754C47">
        <w:t>kodeksu karnego;</w:t>
      </w:r>
    </w:p>
    <w:p w:rsidR="00DF0686" w:rsidRPr="00754C47" w:rsidP="00DF0686" w14:paraId="6DA47D86" w14:textId="019E4DC0">
      <w:pPr>
        <w:pStyle w:val="NormalHanging12a"/>
      </w:pPr>
      <w:r w:rsidRPr="00754C47">
        <w:t>E.</w:t>
      </w:r>
      <w:r w:rsidRPr="00754C47">
        <w:tab/>
        <w:t xml:space="preserve">mając na uwadze, że Nikola </w:t>
      </w:r>
      <w:r w:rsidRPr="00754C47">
        <w:t>Minchev</w:t>
      </w:r>
      <w:r w:rsidRPr="00754C47">
        <w:t xml:space="preserve"> został wybrany do Parlamentu Europejskiego w wyborach europejskich w czerwcu 2024 r.</w:t>
      </w:r>
      <w:r w:rsidR="002947CA">
        <w:t>, a zatem</w:t>
      </w:r>
      <w:r w:rsidRPr="00754C47">
        <w:t xml:space="preserve"> w czasie popełniania zarzucanego czynu był posłem do Parlamentu Europejskiego;</w:t>
      </w:r>
    </w:p>
    <w:p w:rsidR="00DF0686" w:rsidRPr="00754C47" w:rsidP="00DF0686" w14:paraId="5A70660E" w14:textId="39D53A82">
      <w:pPr>
        <w:pStyle w:val="NormalHanging12a"/>
      </w:pPr>
      <w:r w:rsidRPr="00754C47">
        <w:t>F.</w:t>
      </w:r>
      <w:r w:rsidRPr="00754C47">
        <w:tab/>
      </w:r>
      <w:bookmarkStart w:id="16" w:name="_Hlk232507187"/>
      <w:r w:rsidRPr="00754C47">
        <w:t xml:space="preserve">mając na uwadze, że Parlamentu nie można uznawać za sąd, a </w:t>
      </w:r>
      <w:r w:rsidR="00114716">
        <w:t xml:space="preserve">– </w:t>
      </w:r>
      <w:r w:rsidRPr="00754C47" w:rsidR="00114716">
        <w:t xml:space="preserve">w kontekście procedury uchylenia immunitetu </w:t>
      </w:r>
      <w:r w:rsidR="00114716">
        <w:t xml:space="preserve">– </w:t>
      </w:r>
      <w:r w:rsidRPr="00754C47">
        <w:t xml:space="preserve">posła </w:t>
      </w:r>
      <w:r w:rsidR="00114716">
        <w:t>nie można uznawać</w:t>
      </w:r>
      <w:r w:rsidRPr="00754C47">
        <w:t xml:space="preserve"> za „oskarżonego”</w:t>
      </w:r>
      <w:bookmarkEnd w:id="16"/>
      <w:r>
        <w:rPr>
          <w:vertAlign w:val="superscript"/>
        </w:rPr>
        <w:footnoteReference w:id="3"/>
      </w:r>
      <w:r w:rsidRPr="00754C47">
        <w:t>;</w:t>
      </w:r>
    </w:p>
    <w:p w:rsidR="00DF0686" w:rsidRPr="00754C47" w:rsidP="00DF0686" w14:paraId="250801FA" w14:textId="5D792F6F">
      <w:pPr>
        <w:pStyle w:val="NormalHanging12a"/>
      </w:pPr>
      <w:r w:rsidRPr="00754C47">
        <w:t>G.</w:t>
      </w:r>
      <w:r w:rsidRPr="00754C47">
        <w:tab/>
        <w:t xml:space="preserve">mając na uwadze, że immunitet parlamentarny, o którym mowa w </w:t>
      </w:r>
      <w:r w:rsidR="00114716">
        <w:t>P</w:t>
      </w:r>
      <w:r w:rsidRPr="00754C47">
        <w:t xml:space="preserve">rotokole nr 7 w sprawie przywilejów i immunitetów Unii Europejskiej, ma chronić Parlament i posłów do niego przed postępowaniami sądowymi w związku z działaniami podejmowanymi w ramach wykonywania obowiązków parlamentarnych i </w:t>
      </w:r>
      <w:r w:rsidR="00114716">
        <w:t>niemożliwymi</w:t>
      </w:r>
      <w:r w:rsidRPr="00754C47" w:rsidR="00114716">
        <w:t xml:space="preserve"> </w:t>
      </w:r>
      <w:r w:rsidRPr="00754C47">
        <w:t>do oddzielenia od tych obowiązków;</w:t>
      </w:r>
    </w:p>
    <w:p w:rsidR="00DF0686" w:rsidRPr="00754C47" w:rsidP="00DF0686" w14:paraId="3F4093F6" w14:textId="0D1D935D">
      <w:pPr>
        <w:pStyle w:val="NormalHanging12a"/>
      </w:pPr>
      <w:r w:rsidRPr="00754C47">
        <w:t>H.</w:t>
      </w:r>
      <w:r w:rsidRPr="00754C47">
        <w:tab/>
        <w:t xml:space="preserve">mając na uwadze, że zgodnie z art. 5 ust. 2 Regulaminu immunitet parlamentarny nie jest osobistym przywilejem posła, lecz gwarancją niezależności Parlamentu Europejskiego jako całości oraz jego </w:t>
      </w:r>
      <w:r w:rsidR="00114716">
        <w:t>członków</w:t>
      </w:r>
      <w:r w:rsidRPr="00754C47">
        <w:t>;</w:t>
      </w:r>
    </w:p>
    <w:p w:rsidR="00DF0686" w:rsidRPr="00754C47" w:rsidP="00DF0686" w14:paraId="2B790A6D" w14:textId="177F32A7">
      <w:pPr>
        <w:pStyle w:val="NormalHanging12a"/>
      </w:pPr>
      <w:r w:rsidRPr="00754C47">
        <w:t>I.</w:t>
      </w:r>
      <w:r w:rsidRPr="00754C47">
        <w:tab/>
        <w:t xml:space="preserve">mając na uwadze, że art. 8 Protokołu nr 7 w sprawie przywilejów i immunitetów Unii Europejskiej przewiduje, że wobec </w:t>
      </w:r>
      <w:r w:rsidR="0017222A">
        <w:t>członków</w:t>
      </w:r>
      <w:r w:rsidRPr="00754C47">
        <w:t xml:space="preserve"> Parlamentu Europejskiego nie można prowadzić dochodzenia, postępowania sądowego ani też ich zatrzymywać z powodu ich opinii lub stanowiska zajętego przez nich w głosowaniu w czasie wykonywania przez nich obowiązków służbowych; mając na uwadze, że zarzucany czyn nie dotyczy opinii wyrażonych ani stanowiska zajętego w głosowaniu w ramach wykonywania przez Nikolę </w:t>
      </w:r>
      <w:r w:rsidRPr="00754C47">
        <w:t>Mincheva</w:t>
      </w:r>
      <w:r w:rsidRPr="00754C47">
        <w:t xml:space="preserve"> obowiązków </w:t>
      </w:r>
      <w:r w:rsidR="0017222A">
        <w:t>członka</w:t>
      </w:r>
      <w:r w:rsidRPr="00754C47">
        <w:t xml:space="preserve"> Parlamentu Europejskiego w rozumieniu art. 8 </w:t>
      </w:r>
      <w:r w:rsidR="0017222A">
        <w:t>tego p</w:t>
      </w:r>
      <w:r w:rsidRPr="00754C47">
        <w:t>rotokołu;</w:t>
      </w:r>
    </w:p>
    <w:p w:rsidR="00DF0686" w:rsidRPr="00754C47" w:rsidP="00DF0686" w14:paraId="5D91CB11" w14:textId="3D642BFF">
      <w:pPr>
        <w:pStyle w:val="NormalHanging12a"/>
      </w:pPr>
      <w:r w:rsidRPr="00754C47">
        <w:t>J.</w:t>
      </w:r>
      <w:r w:rsidRPr="00754C47">
        <w:tab/>
        <w:t xml:space="preserve">mając na uwadze, że art. 9 </w:t>
      </w:r>
      <w:r w:rsidR="003F0843">
        <w:t>akapit pierwszy</w:t>
      </w:r>
      <w:r w:rsidRPr="00754C47">
        <w:t xml:space="preserve"> lit. b) Protokołu nr 7 w sprawie przywilejów i immunitetów Unii Europejskiej stanowi, iż </w:t>
      </w:r>
      <w:r w:rsidR="0017222A">
        <w:t>podczas sesji Parlamentu Europejskiego jego członkowie</w:t>
      </w:r>
      <w:r w:rsidRPr="00754C47">
        <w:t xml:space="preserve"> korzystają na terytorium państwa członkowskiego, innego niż ich państwo, z immunitetu chroniącego przed zatrzymaniem oraz immunitetu jurysdykcyjnego;</w:t>
      </w:r>
    </w:p>
    <w:p w:rsidR="00DF0686" w:rsidRPr="00754C47" w:rsidP="00DF0686" w14:paraId="3D28325A" w14:textId="4E598284">
      <w:pPr>
        <w:pStyle w:val="NormalHanging12a"/>
      </w:pPr>
      <w:r w:rsidRPr="00754C47">
        <w:t>K.</w:t>
      </w:r>
      <w:r w:rsidRPr="00754C47">
        <w:tab/>
        <w:t xml:space="preserve">mając na uwadze, że wszelkie decyzje dotyczące immunitetu Nikoli </w:t>
      </w:r>
      <w:r w:rsidRPr="00754C47">
        <w:t>Mincheva</w:t>
      </w:r>
      <w:r w:rsidRPr="00754C47">
        <w:t xml:space="preserve"> należy podjąć na podstawie wniosku o uchylenie immunitetu oraz na podstawie informacji i wyjaśnień przedstawionych w tej sprawie, w tym odpowiedzi udzielonych przez prokuratora federalnego, zarówno podczas wymiany poglądów, jak i w ramach dodatkowych informacji przekazanych na piśmie; mając na uwadze, że we wniosku o uchylenie immunitetu wyraźnie brakuje konkretnych informacji; mając na uwadze, że późniejsza ustna i pisemna wymiana informacji z prokuratorem federalnym nie rozwiała istotnych wątpliwości co do poszczególnych informacji zawartych we wniosku o uchylenie immunitetu Nikoli </w:t>
      </w:r>
      <w:r w:rsidRPr="00754C47">
        <w:t>Mincheva</w:t>
      </w:r>
      <w:r w:rsidRPr="00754C47">
        <w:t>;</w:t>
      </w:r>
    </w:p>
    <w:p w:rsidR="00DF0686" w:rsidRPr="00754C47" w:rsidP="00DF0686" w14:paraId="4A20851B" w14:textId="77777777">
      <w:pPr>
        <w:pStyle w:val="NormalHanging12a"/>
      </w:pPr>
      <w:r w:rsidRPr="00754C47">
        <w:t>L.</w:t>
      </w:r>
      <w:r w:rsidRPr="00754C47">
        <w:tab/>
        <w:t xml:space="preserve">mając na uwadze, że w związku z powyższym suma przedstawionych informacji nie pozwoliła Parlamentowi na to, aby z pełnym przekonaniem podjąć opartą na wystarczających informacjach decyzję uchylającą immunitet Nikoli </w:t>
      </w:r>
      <w:r w:rsidRPr="00754C47">
        <w:t>Mincheva</w:t>
      </w:r>
      <w:r w:rsidRPr="00754C47">
        <w:t xml:space="preserve">; mając na uwadze, że istotne wątpliwości co do różnych elementów tej sprawy mogłyby </w:t>
      </w:r>
      <w:r w:rsidRPr="00754C47">
        <w:t xml:space="preserve">ponadto świadczyć o zaistnieniu </w:t>
      </w:r>
      <w:r w:rsidRPr="00754C47">
        <w:rPr>
          <w:i/>
          <w:iCs/>
        </w:rPr>
        <w:t>fumus</w:t>
      </w:r>
      <w:r w:rsidRPr="00754C47">
        <w:rPr>
          <w:i/>
          <w:iCs/>
        </w:rPr>
        <w:t xml:space="preserve"> </w:t>
      </w:r>
      <w:r w:rsidRPr="00754C47">
        <w:rPr>
          <w:i/>
          <w:iCs/>
        </w:rPr>
        <w:t>persecutionis</w:t>
      </w:r>
      <w:r w:rsidRPr="00754C47">
        <w:t>;</w:t>
      </w:r>
    </w:p>
    <w:p w:rsidR="00DF0686" w:rsidRPr="00754C47" w:rsidP="00DF0686" w14:paraId="5C9F318D" w14:textId="5AF0E6CE">
      <w:pPr>
        <w:pStyle w:val="NormalHanging12a"/>
      </w:pPr>
      <w:r w:rsidRPr="00754C47">
        <w:t>1.</w:t>
      </w:r>
      <w:r w:rsidRPr="00754C47">
        <w:tab/>
      </w:r>
      <w:r w:rsidR="003F0843">
        <w:t>podejmuje decyzję o odmowie uchylenia</w:t>
      </w:r>
      <w:r w:rsidRPr="00754C47">
        <w:t xml:space="preserve"> immunitetu Nikoli </w:t>
      </w:r>
      <w:r w:rsidRPr="00754C47">
        <w:t>Mincheva</w:t>
      </w:r>
      <w:r w:rsidRPr="00754C47">
        <w:t>;</w:t>
      </w:r>
    </w:p>
    <w:p w:rsidR="00754C47" w:rsidRPr="00754C47" w:rsidP="00754C47" w14:paraId="623CD8C5" w14:textId="5519CC30">
      <w:pPr>
        <w:pStyle w:val="NormalHanging12a"/>
      </w:pPr>
      <w:r w:rsidRPr="00754C47">
        <w:t>2.</w:t>
      </w:r>
      <w:r w:rsidRPr="00754C47">
        <w:tab/>
        <w:t xml:space="preserve">zobowiązuje swoją przewodniczącą do </w:t>
      </w:r>
      <w:r w:rsidR="003F0843">
        <w:t>natychmiastowego</w:t>
      </w:r>
      <w:r w:rsidRPr="00754C47" w:rsidR="003F0843">
        <w:t xml:space="preserve"> </w:t>
      </w:r>
      <w:r w:rsidRPr="00754C47">
        <w:t xml:space="preserve">przekazania niniejszej decyzji i sprawozdania właściwej komisji </w:t>
      </w:r>
      <w:r w:rsidR="006C6860">
        <w:t xml:space="preserve">właściwemu </w:t>
      </w:r>
      <w:r w:rsidR="006C6860">
        <w:t>organowiu</w:t>
      </w:r>
      <w:r w:rsidRPr="00754C47">
        <w:t xml:space="preserve"> Królestwa Belgii i Nikoli </w:t>
      </w:r>
      <w:r w:rsidRPr="00754C47">
        <w:t>Minchevowi</w:t>
      </w:r>
      <w:r w:rsidRPr="00754C47">
        <w:t>.</w:t>
      </w:r>
      <w:bookmarkEnd w:id="8"/>
    </w:p>
    <w:p w:rsidR="00E365E1" w:rsidRPr="00754C47" w:rsidP="008E3C2A" w14:paraId="1BCCA797" w14:textId="28F12DB7"/>
    <w:sectPr w:rsidSect="00754C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4C47" w14:paraId="27BF051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4C47" w14:paraId="62755ABA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4C47" w14:paraId="494EE4C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E3C2A" w:rsidRPr="00754C47" w14:paraId="5DD4CDF8" w14:textId="77777777">
      <w:r w:rsidRPr="00754C47">
        <w:separator/>
      </w:r>
    </w:p>
  </w:footnote>
  <w:footnote w:type="continuationSeparator" w:id="1">
    <w:p w:rsidR="008E3C2A" w:rsidRPr="00754C47" w14:paraId="25ED8F76" w14:textId="77777777">
      <w:r w:rsidRPr="00754C47">
        <w:continuationSeparator/>
      </w:r>
    </w:p>
  </w:footnote>
  <w:footnote w:id="2">
    <w:p w:rsidR="00DF0686" w:rsidRPr="00754C47" w:rsidP="00754C47" w14:paraId="7A87AF0D" w14:textId="10399661">
      <w:pPr>
        <w:pStyle w:val="FootnoteText"/>
        <w:ind w:left="567" w:hanging="567"/>
        <w:rPr>
          <w:sz w:val="24"/>
          <w:lang w:val="pl-PL"/>
        </w:rPr>
      </w:pPr>
      <w:r w:rsidRPr="00754C47">
        <w:rPr>
          <w:rStyle w:val="FootnoteReference"/>
          <w:sz w:val="24"/>
          <w:lang w:val="pl-PL"/>
        </w:rPr>
        <w:footnoteRef/>
      </w:r>
      <w:r w:rsidRPr="00754C47" w:rsidR="00754C47">
        <w:rPr>
          <w:sz w:val="24"/>
          <w:lang w:val="pl-PL"/>
        </w:rPr>
        <w:t xml:space="preserve"> </w:t>
      </w:r>
      <w:r w:rsidRPr="00754C47" w:rsidR="00754C47">
        <w:rPr>
          <w:sz w:val="24"/>
          <w:lang w:val="pl-PL"/>
        </w:rPr>
        <w:tab/>
      </w:r>
      <w:r w:rsidRPr="00754C47">
        <w:rPr>
          <w:sz w:val="24"/>
          <w:lang w:val="pl-PL"/>
        </w:rPr>
        <w:t xml:space="preserve">Wyrok Trybunału Sprawiedliwości z </w:t>
      </w:r>
      <w:r w:rsidR="003F0843">
        <w:rPr>
          <w:sz w:val="24"/>
          <w:lang w:val="pl-PL"/>
        </w:rPr>
        <w:t xml:space="preserve">dnia </w:t>
      </w:r>
      <w:r w:rsidRPr="00754C47">
        <w:rPr>
          <w:sz w:val="24"/>
          <w:lang w:val="pl-PL"/>
        </w:rPr>
        <w:t xml:space="preserve">21 października 2008 r., </w:t>
      </w:r>
      <w:r w:rsidRPr="00754C47">
        <w:rPr>
          <w:i/>
          <w:iCs/>
          <w:sz w:val="24"/>
          <w:lang w:val="pl-PL"/>
        </w:rPr>
        <w:t>Marra</w:t>
      </w:r>
      <w:r w:rsidRPr="00754C47">
        <w:rPr>
          <w:i/>
          <w:iCs/>
          <w:sz w:val="24"/>
          <w:lang w:val="pl-PL"/>
        </w:rPr>
        <w:t xml:space="preserve">/De </w:t>
      </w:r>
      <w:r w:rsidRPr="00754C47">
        <w:rPr>
          <w:i/>
          <w:iCs/>
          <w:sz w:val="24"/>
          <w:lang w:val="pl-PL"/>
        </w:rPr>
        <w:t>Gregorio</w:t>
      </w:r>
      <w:r w:rsidRPr="00754C47">
        <w:rPr>
          <w:i/>
          <w:iCs/>
          <w:sz w:val="24"/>
          <w:lang w:val="pl-PL"/>
        </w:rPr>
        <w:t xml:space="preserve"> i </w:t>
      </w:r>
      <w:r w:rsidRPr="00754C47">
        <w:rPr>
          <w:i/>
          <w:iCs/>
          <w:sz w:val="24"/>
          <w:lang w:val="pl-PL"/>
        </w:rPr>
        <w:t>Clemente</w:t>
      </w:r>
      <w:r w:rsidRPr="00754C47">
        <w:rPr>
          <w:sz w:val="24"/>
          <w:lang w:val="pl-PL"/>
        </w:rPr>
        <w:t xml:space="preserve">, C-200/07 i C-201/07, ECLI:EU:C:2008:579; wyrok Sądu z </w:t>
      </w:r>
      <w:r w:rsidR="003F0843">
        <w:rPr>
          <w:sz w:val="24"/>
          <w:lang w:val="pl-PL"/>
        </w:rPr>
        <w:t xml:space="preserve">dnia </w:t>
      </w:r>
      <w:r w:rsidRPr="00754C47">
        <w:rPr>
          <w:sz w:val="24"/>
          <w:lang w:val="pl-PL"/>
        </w:rPr>
        <w:t xml:space="preserve">19 marca 2010 r., </w:t>
      </w:r>
      <w:r w:rsidRPr="00754C47">
        <w:rPr>
          <w:i/>
          <w:sz w:val="24"/>
          <w:lang w:val="pl-PL"/>
        </w:rPr>
        <w:t>Gollnisch</w:t>
      </w:r>
      <w:r w:rsidRPr="00754C47">
        <w:rPr>
          <w:i/>
          <w:sz w:val="24"/>
          <w:lang w:val="pl-PL"/>
        </w:rPr>
        <w:t>/Parlament</w:t>
      </w:r>
      <w:r w:rsidRPr="00754C47">
        <w:rPr>
          <w:sz w:val="24"/>
          <w:lang w:val="pl-PL"/>
        </w:rPr>
        <w:t xml:space="preserve">, T-42/06, ECLI:EU:T:2010:102; wyrok Trybunału Sprawiedliwości z </w:t>
      </w:r>
      <w:r w:rsidR="003F0843">
        <w:rPr>
          <w:sz w:val="24"/>
          <w:lang w:val="pl-PL"/>
        </w:rPr>
        <w:t xml:space="preserve">dnia </w:t>
      </w:r>
      <w:r w:rsidRPr="00754C47">
        <w:rPr>
          <w:sz w:val="24"/>
          <w:lang w:val="pl-PL"/>
        </w:rPr>
        <w:t xml:space="preserve">6 września 2011 r., </w:t>
      </w:r>
      <w:r w:rsidRPr="00754C47">
        <w:rPr>
          <w:i/>
          <w:iCs/>
          <w:sz w:val="24"/>
          <w:lang w:val="pl-PL"/>
        </w:rPr>
        <w:t>Patriciello</w:t>
      </w:r>
      <w:r w:rsidRPr="00754C47">
        <w:rPr>
          <w:sz w:val="24"/>
          <w:lang w:val="pl-PL"/>
        </w:rPr>
        <w:t xml:space="preserve">, C-163/10, ECLI: EU:C:2011:543; wyrok Sądu z </w:t>
      </w:r>
      <w:r w:rsidR="003F0843">
        <w:rPr>
          <w:sz w:val="24"/>
          <w:lang w:val="pl-PL"/>
        </w:rPr>
        <w:t xml:space="preserve">dnia </w:t>
      </w:r>
      <w:r w:rsidRPr="00754C47">
        <w:rPr>
          <w:sz w:val="24"/>
          <w:lang w:val="pl-PL"/>
        </w:rPr>
        <w:t xml:space="preserve">17 stycznia 2013 r., </w:t>
      </w:r>
      <w:r w:rsidRPr="00754C47">
        <w:rPr>
          <w:i/>
          <w:sz w:val="24"/>
          <w:lang w:val="pl-PL"/>
        </w:rPr>
        <w:t>Gollnisch</w:t>
      </w:r>
      <w:r w:rsidRPr="00754C47">
        <w:rPr>
          <w:sz w:val="24"/>
          <w:lang w:val="pl-PL"/>
        </w:rPr>
        <w:t>/</w:t>
      </w:r>
      <w:r w:rsidRPr="00754C47">
        <w:rPr>
          <w:i/>
          <w:sz w:val="24"/>
          <w:lang w:val="pl-PL"/>
        </w:rPr>
        <w:t>Parlament,</w:t>
      </w:r>
      <w:r w:rsidRPr="00754C47">
        <w:rPr>
          <w:sz w:val="24"/>
          <w:lang w:val="pl-PL"/>
        </w:rPr>
        <w:t xml:space="preserve"> T-346/11 i T-347/11, ECLI:EU:T:2013:23; wyrok Trybunału Sprawiedliwości z </w:t>
      </w:r>
      <w:r w:rsidR="003F0843">
        <w:rPr>
          <w:sz w:val="24"/>
          <w:lang w:val="pl-PL"/>
        </w:rPr>
        <w:t xml:space="preserve">dnia </w:t>
      </w:r>
      <w:r w:rsidRPr="00754C47">
        <w:rPr>
          <w:sz w:val="24"/>
          <w:lang w:val="pl-PL"/>
        </w:rPr>
        <w:t xml:space="preserve">19 grudnia 2019 r., </w:t>
      </w:r>
      <w:r w:rsidRPr="00754C47">
        <w:rPr>
          <w:i/>
          <w:iCs/>
          <w:sz w:val="24"/>
          <w:lang w:val="pl-PL"/>
        </w:rPr>
        <w:t>Junqueras</w:t>
      </w:r>
      <w:r w:rsidRPr="00754C47">
        <w:rPr>
          <w:i/>
          <w:iCs/>
          <w:sz w:val="24"/>
          <w:lang w:val="pl-PL"/>
        </w:rPr>
        <w:t xml:space="preserve"> </w:t>
      </w:r>
      <w:r w:rsidRPr="00754C47">
        <w:rPr>
          <w:i/>
          <w:iCs/>
          <w:sz w:val="24"/>
          <w:lang w:val="pl-PL"/>
        </w:rPr>
        <w:t>Vies</w:t>
      </w:r>
      <w:r w:rsidRPr="00754C47">
        <w:rPr>
          <w:sz w:val="24"/>
          <w:lang w:val="pl-PL"/>
        </w:rPr>
        <w:t>, C-502/19, ECLI:EU:C:2019:1115.</w:t>
      </w:r>
    </w:p>
  </w:footnote>
  <w:footnote w:id="3">
    <w:p w:rsidR="00DF0686" w:rsidRPr="00754C47" w:rsidP="00754C47" w14:paraId="42538121" w14:textId="7F119F0C">
      <w:pPr>
        <w:pStyle w:val="FootnoteText"/>
        <w:ind w:left="567" w:hanging="567"/>
        <w:rPr>
          <w:sz w:val="24"/>
          <w:lang w:val="pl-PL"/>
        </w:rPr>
      </w:pPr>
      <w:r w:rsidRPr="00754C47">
        <w:rPr>
          <w:rStyle w:val="FootnoteReference"/>
          <w:sz w:val="24"/>
          <w:lang w:val="pl-PL"/>
        </w:rPr>
        <w:footnoteRef/>
      </w:r>
      <w:r w:rsidRPr="00754C47" w:rsidR="00754C47">
        <w:rPr>
          <w:sz w:val="24"/>
          <w:lang w:val="pl-PL"/>
        </w:rPr>
        <w:t xml:space="preserve"> </w:t>
      </w:r>
      <w:r w:rsidRPr="00754C47" w:rsidR="00754C47">
        <w:rPr>
          <w:sz w:val="24"/>
          <w:lang w:val="pl-PL"/>
        </w:rPr>
        <w:tab/>
      </w:r>
      <w:r w:rsidRPr="00754C47">
        <w:rPr>
          <w:sz w:val="24"/>
          <w:lang w:val="pl-PL"/>
        </w:rPr>
        <w:t xml:space="preserve">Wyrok Sądu z </w:t>
      </w:r>
      <w:r w:rsidR="003F0843">
        <w:rPr>
          <w:sz w:val="24"/>
          <w:lang w:val="pl-PL"/>
        </w:rPr>
        <w:t xml:space="preserve">dnia </w:t>
      </w:r>
      <w:r w:rsidRPr="00754C47">
        <w:rPr>
          <w:sz w:val="24"/>
          <w:lang w:val="pl-PL"/>
        </w:rPr>
        <w:t xml:space="preserve">30 kwietnia 2019 r., </w:t>
      </w:r>
      <w:r w:rsidRPr="00754C47">
        <w:rPr>
          <w:i/>
          <w:iCs/>
          <w:sz w:val="24"/>
          <w:lang w:val="pl-PL"/>
        </w:rPr>
        <w:t>Briois</w:t>
      </w:r>
      <w:r w:rsidRPr="00754C47">
        <w:rPr>
          <w:i/>
          <w:iCs/>
          <w:sz w:val="24"/>
          <w:lang w:val="pl-PL"/>
        </w:rPr>
        <w:t>/Parlament</w:t>
      </w:r>
      <w:r w:rsidRPr="00754C47">
        <w:rPr>
          <w:sz w:val="24"/>
          <w:lang w:val="pl-PL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4C47" w14:paraId="7640628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4C47" w14:paraId="0CC4EC0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4C47" w14:paraId="1C6667A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70294303">
    <w:abstractNumId w:val="9"/>
  </w:num>
  <w:num w:numId="2" w16cid:durableId="839659224">
    <w:abstractNumId w:val="9"/>
  </w:num>
  <w:num w:numId="3" w16cid:durableId="1978610810">
    <w:abstractNumId w:val="7"/>
  </w:num>
  <w:num w:numId="4" w16cid:durableId="840389045">
    <w:abstractNumId w:val="7"/>
  </w:num>
  <w:num w:numId="5" w16cid:durableId="1666086009">
    <w:abstractNumId w:val="6"/>
  </w:num>
  <w:num w:numId="6" w16cid:durableId="429160477">
    <w:abstractNumId w:val="6"/>
  </w:num>
  <w:num w:numId="7" w16cid:durableId="611864885">
    <w:abstractNumId w:val="5"/>
  </w:num>
  <w:num w:numId="8" w16cid:durableId="574513480">
    <w:abstractNumId w:val="5"/>
  </w:num>
  <w:num w:numId="9" w16cid:durableId="647520072">
    <w:abstractNumId w:val="4"/>
  </w:num>
  <w:num w:numId="10" w16cid:durableId="388454545">
    <w:abstractNumId w:val="4"/>
  </w:num>
  <w:num w:numId="11" w16cid:durableId="57747695">
    <w:abstractNumId w:val="8"/>
  </w:num>
  <w:num w:numId="12" w16cid:durableId="789786785">
    <w:abstractNumId w:val="8"/>
  </w:num>
  <w:num w:numId="13" w16cid:durableId="1631126170">
    <w:abstractNumId w:val="3"/>
  </w:num>
  <w:num w:numId="14" w16cid:durableId="1240287389">
    <w:abstractNumId w:val="3"/>
  </w:num>
  <w:num w:numId="15" w16cid:durableId="2070181747">
    <w:abstractNumId w:val="2"/>
  </w:num>
  <w:num w:numId="16" w16cid:durableId="2121754805">
    <w:abstractNumId w:val="2"/>
  </w:num>
  <w:num w:numId="17" w16cid:durableId="1738895255">
    <w:abstractNumId w:val="1"/>
  </w:num>
  <w:num w:numId="18" w16cid:durableId="2115203382">
    <w:abstractNumId w:val="1"/>
  </w:num>
  <w:num w:numId="19" w16cid:durableId="1002898447">
    <w:abstractNumId w:val="0"/>
  </w:num>
  <w:num w:numId="20" w16cid:durableId="1371951520">
    <w:abstractNumId w:val="0"/>
  </w:num>
  <w:num w:numId="21" w16cid:durableId="667708954">
    <w:abstractNumId w:val="9"/>
  </w:num>
  <w:num w:numId="22" w16cid:durableId="1092899861">
    <w:abstractNumId w:val="7"/>
  </w:num>
  <w:num w:numId="23" w16cid:durableId="1996833499">
    <w:abstractNumId w:val="6"/>
  </w:num>
  <w:num w:numId="24" w16cid:durableId="943729466">
    <w:abstractNumId w:val="5"/>
  </w:num>
  <w:num w:numId="25" w16cid:durableId="1056244512">
    <w:abstractNumId w:val="4"/>
  </w:num>
  <w:num w:numId="26" w16cid:durableId="266810615">
    <w:abstractNumId w:val="8"/>
  </w:num>
  <w:num w:numId="27" w16cid:durableId="140924235">
    <w:abstractNumId w:val="3"/>
  </w:num>
  <w:num w:numId="28" w16cid:durableId="318730600">
    <w:abstractNumId w:val="2"/>
  </w:num>
  <w:num w:numId="29" w16cid:durableId="408573968">
    <w:abstractNumId w:val="1"/>
  </w:num>
  <w:num w:numId="30" w16cid:durableId="502668362">
    <w:abstractNumId w:val="0"/>
  </w:num>
  <w:num w:numId="31" w16cid:durableId="697632074">
    <w:abstractNumId w:val="9"/>
  </w:num>
  <w:num w:numId="32" w16cid:durableId="203492113">
    <w:abstractNumId w:val="7"/>
  </w:num>
  <w:num w:numId="33" w16cid:durableId="1123231709">
    <w:abstractNumId w:val="6"/>
  </w:num>
  <w:num w:numId="34" w16cid:durableId="1834754405">
    <w:abstractNumId w:val="5"/>
  </w:num>
  <w:num w:numId="35" w16cid:durableId="142353617">
    <w:abstractNumId w:val="4"/>
  </w:num>
  <w:num w:numId="36" w16cid:durableId="1051417079">
    <w:abstractNumId w:val="8"/>
  </w:num>
  <w:num w:numId="37" w16cid:durableId="635334600">
    <w:abstractNumId w:val="3"/>
  </w:num>
  <w:num w:numId="38" w16cid:durableId="228999988">
    <w:abstractNumId w:val="2"/>
  </w:num>
  <w:num w:numId="39" w16cid:durableId="557934834">
    <w:abstractNumId w:val="1"/>
  </w:num>
  <w:num w:numId="40" w16cid:durableId="1853060352">
    <w:abstractNumId w:val="0"/>
  </w:num>
  <w:num w:numId="41" w16cid:durableId="241449026">
    <w:abstractNumId w:val="10"/>
  </w:num>
  <w:num w:numId="42" w16cid:durableId="29110861">
    <w:abstractNumId w:val="10"/>
  </w:num>
  <w:num w:numId="43" w16cid:durableId="2065176079">
    <w:abstractNumId w:val="10"/>
  </w:num>
  <w:num w:numId="44" w16cid:durableId="4973551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C2A"/>
    <w:rsid w:val="00002272"/>
    <w:rsid w:val="000474F8"/>
    <w:rsid w:val="00064002"/>
    <w:rsid w:val="000677B9"/>
    <w:rsid w:val="000831BA"/>
    <w:rsid w:val="000A42CC"/>
    <w:rsid w:val="000E7DD9"/>
    <w:rsid w:val="0010095E"/>
    <w:rsid w:val="00114716"/>
    <w:rsid w:val="00125B37"/>
    <w:rsid w:val="001463E4"/>
    <w:rsid w:val="0017222A"/>
    <w:rsid w:val="001851E4"/>
    <w:rsid w:val="00187494"/>
    <w:rsid w:val="001F32AE"/>
    <w:rsid w:val="002767FF"/>
    <w:rsid w:val="002947CA"/>
    <w:rsid w:val="002B18FE"/>
    <w:rsid w:val="002B5493"/>
    <w:rsid w:val="00343214"/>
    <w:rsid w:val="00361C00"/>
    <w:rsid w:val="00395FA1"/>
    <w:rsid w:val="003B1655"/>
    <w:rsid w:val="003E15D4"/>
    <w:rsid w:val="003F0843"/>
    <w:rsid w:val="00411CCE"/>
    <w:rsid w:val="0041666E"/>
    <w:rsid w:val="00421060"/>
    <w:rsid w:val="00471C19"/>
    <w:rsid w:val="004867E3"/>
    <w:rsid w:val="00494A28"/>
    <w:rsid w:val="004C0004"/>
    <w:rsid w:val="004C144A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6860"/>
    <w:rsid w:val="006F74FA"/>
    <w:rsid w:val="00731ADD"/>
    <w:rsid w:val="00734777"/>
    <w:rsid w:val="00747932"/>
    <w:rsid w:val="00751A4A"/>
    <w:rsid w:val="00754C47"/>
    <w:rsid w:val="00756632"/>
    <w:rsid w:val="00762C74"/>
    <w:rsid w:val="00786EC0"/>
    <w:rsid w:val="007D1690"/>
    <w:rsid w:val="007E22AD"/>
    <w:rsid w:val="00817416"/>
    <w:rsid w:val="00842779"/>
    <w:rsid w:val="008429D9"/>
    <w:rsid w:val="00865F67"/>
    <w:rsid w:val="00881A7B"/>
    <w:rsid w:val="008840E5"/>
    <w:rsid w:val="00887B3E"/>
    <w:rsid w:val="008C2AC6"/>
    <w:rsid w:val="008E3C2A"/>
    <w:rsid w:val="00930C23"/>
    <w:rsid w:val="0093193B"/>
    <w:rsid w:val="009509D8"/>
    <w:rsid w:val="00950B64"/>
    <w:rsid w:val="00951EA3"/>
    <w:rsid w:val="00981893"/>
    <w:rsid w:val="009E303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068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5/2026"/>
    <w:docVar w:name="dvlangue" w:val="PL"/>
    <w:docVar w:name="dvnumam" w:val="0"/>
    <w:docVar w:name="dvpe" w:val="782.200"/>
    <w:docVar w:name="dvrapporteur" w:val="Sprawozdawca: "/>
    <w:docVar w:name="dvtitre" w:val="Decyzja Parlamentu Europejskiego z dnia  2026 r. w sprawie wniosku o uchylenie immunitetu Nikoli Mincheva(2025/2100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566A54E"/>
  <w15:chartTrackingRefBased/>
  <w15:docId w15:val="{4187D782-991F-4AF0-B312-53CCF5E26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F0686"/>
    <w:pPr>
      <w:spacing w:after="240"/>
      <w:ind w:left="567" w:hanging="567"/>
    </w:pPr>
  </w:style>
  <w:style w:type="paragraph" w:customStyle="1" w:styleId="EPComma">
    <w:name w:val="EPComma"/>
    <w:basedOn w:val="Normal"/>
    <w:rsid w:val="00DF0686"/>
    <w:pPr>
      <w:spacing w:before="480" w:after="240"/>
    </w:pPr>
  </w:style>
  <w:style w:type="paragraph" w:styleId="Revision">
    <w:name w:val="Revision"/>
    <w:hidden/>
    <w:uiPriority w:val="99"/>
    <w:semiHidden/>
    <w:rsid w:val="003F0843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1090</Words>
  <Characters>6848</Characters>
  <Application>Microsoft Office Word</Application>
  <DocSecurity>0</DocSecurity>
  <Lines>57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2026-06-16T11:42:00Z</dcterms:created>
  <dcterms:modified xsi:type="dcterms:W3CDTF">2026-06-16T11:42:00Z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A10-0155/2026</vt:lpwstr>
  </property>
  <property fmtid="{D5CDD505-2E9C-101B-9397-08002B2CF9AE}" pid="4" name="&lt;Type&gt;">
    <vt:lpwstr>RR</vt:lpwstr>
  </property>
</Properties>
</file>