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6D63FF" w14:textId="77777777" w:rsidTr="0010095E">
        <w:tblPrEx>
          <w:tblW w:w="9072" w:type="dxa"/>
          <w:tblLook w:val="01E0"/>
        </w:tblPrEx>
        <w:trPr>
          <w:trHeight w:hRule="exact" w:val="1418"/>
        </w:trPr>
        <w:tc>
          <w:tcPr>
            <w:tcW w:w="6804" w:type="dxa"/>
            <w:shd w:val="clear" w:color="auto" w:fill="auto"/>
            <w:vAlign w:val="center"/>
          </w:tcPr>
          <w:p w:rsidR="00751A4A" w:rsidRPr="004E770B" w:rsidP="0010095E" w14:paraId="142B3AC7" w14:textId="77777777">
            <w:pPr>
              <w:pStyle w:val="EPName"/>
            </w:pPr>
            <w:r w:rsidRPr="004E770B">
              <w:t>Europaparlamentet</w:t>
            </w:r>
          </w:p>
          <w:p w:rsidR="00751A4A" w:rsidRPr="004E770B" w:rsidP="005F1B17" w14:paraId="597AAAA6" w14:textId="77777777">
            <w:pPr>
              <w:pStyle w:val="EPTerm"/>
              <w:rPr>
                <w:rStyle w:val="HideTWBExt"/>
                <w:noProof w:val="0"/>
                <w:vanish w:val="0"/>
                <w:color w:val="auto"/>
              </w:rPr>
            </w:pPr>
            <w:r w:rsidRPr="004E770B">
              <w:t>2024</w:t>
            </w:r>
            <w:r w:rsidRPr="004E770B" w:rsidR="00817416">
              <w:t>-202</w:t>
            </w:r>
            <w:r w:rsidRPr="004E770B">
              <w:t>9</w:t>
            </w:r>
          </w:p>
        </w:tc>
        <w:tc>
          <w:tcPr>
            <w:tcW w:w="2268" w:type="dxa"/>
            <w:shd w:val="clear" w:color="auto" w:fill="auto"/>
          </w:tcPr>
          <w:p w:rsidR="00751A4A" w:rsidRPr="004E770B" w:rsidP="0010095E" w14:paraId="51F191A6" w14:textId="77777777">
            <w:pPr>
              <w:pStyle w:val="EPLogo"/>
            </w:pPr>
            <w:r w:rsidRPr="004E77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E770B" w:rsidP="004C5D52" w14:paraId="6EA20D8B" w14:textId="77777777">
      <w:pPr>
        <w:pStyle w:val="LineTop"/>
      </w:pPr>
    </w:p>
    <w:p w:rsidR="00680577" w:rsidRPr="004E770B" w:rsidP="00680577" w14:paraId="59EE7A84" w14:textId="77777777">
      <w:pPr>
        <w:pStyle w:val="EPBodyTA1"/>
      </w:pPr>
      <w:r w:rsidRPr="004E770B">
        <w:t>ANTAGNA TEXTER</w:t>
      </w:r>
    </w:p>
    <w:p w:rsidR="00D058B8" w:rsidRPr="004E770B" w:rsidP="00D058B8" w14:paraId="2CDEFEE2" w14:textId="77777777">
      <w:pPr>
        <w:pStyle w:val="LineBottom"/>
      </w:pPr>
    </w:p>
    <w:p w:rsidR="00295081" w:rsidRPr="004E770B" w:rsidP="00295081" w14:paraId="01E4F148" w14:textId="6AEF137B">
      <w:pPr>
        <w:pStyle w:val="ATHeading1"/>
      </w:pPr>
      <w:bookmarkStart w:id="0" w:name="TANumber"/>
      <w:r w:rsidRPr="004E770B">
        <w:t>P10_TA(2026)0</w:t>
      </w:r>
      <w:bookmarkEnd w:id="0"/>
      <w:r w:rsidR="00F32951">
        <w:t>195</w:t>
      </w:r>
    </w:p>
    <w:p w:rsidR="00295081" w:rsidRPr="004E770B" w:rsidP="00295081" w14:paraId="47090E14" w14:textId="1CD5500A">
      <w:pPr>
        <w:pStyle w:val="ATHeading2"/>
      </w:pPr>
      <w:bookmarkStart w:id="1" w:name="title"/>
      <w:r>
        <w:t>B</w:t>
      </w:r>
      <w:r w:rsidRPr="001A0D98">
        <w:t>egäran om upphävande av Nikola Minchevs immunitet</w:t>
      </w:r>
      <w:bookmarkEnd w:id="1"/>
    </w:p>
    <w:p w:rsidR="00295081" w:rsidRPr="004E770B" w:rsidP="00295081" w14:paraId="416DF494" w14:textId="77777777">
      <w:pPr>
        <w:rPr>
          <w:i/>
          <w:vanish/>
        </w:rPr>
      </w:pPr>
      <w:r>
        <w:rPr>
          <w:i/>
        </w:rPr>
        <w:fldChar w:fldCharType="begin"/>
      </w:r>
      <w:r w:rsidRPr="004E770B">
        <w:rPr>
          <w:i/>
        </w:rPr>
        <w:instrText xml:space="preserve"> TC"(</w:instrText>
      </w:r>
      <w:bookmarkStart w:id="2" w:name="DocNumber"/>
      <w:r w:rsidRPr="004E770B">
        <w:rPr>
          <w:i/>
        </w:rPr>
        <w:instrText>A10-0155/2026</w:instrText>
      </w:r>
      <w:bookmarkEnd w:id="2"/>
      <w:r w:rsidRPr="004E770B">
        <w:rPr>
          <w:i/>
        </w:rPr>
        <w:instrText xml:space="preserve"> - Föredragande: Ilhan Kyuchyuk)"\l3 \n&gt; \* MERGEFORMAT </w:instrText>
      </w:r>
      <w:r>
        <w:rPr>
          <w:i/>
        </w:rPr>
        <w:fldChar w:fldCharType="end"/>
      </w:r>
    </w:p>
    <w:p w:rsidR="00295081" w:rsidRPr="004E770B" w:rsidP="00295081" w14:paraId="324C9E0B" w14:textId="77777777">
      <w:pPr>
        <w:rPr>
          <w:vanish/>
        </w:rPr>
      </w:pPr>
      <w:bookmarkStart w:id="3" w:name="Commission"/>
      <w:r w:rsidRPr="004E770B">
        <w:rPr>
          <w:vanish/>
        </w:rPr>
        <w:t>Utskottet för rättsliga frågor</w:t>
      </w:r>
      <w:bookmarkEnd w:id="3"/>
    </w:p>
    <w:p w:rsidR="00295081" w:rsidRPr="004E770B" w:rsidP="00295081" w14:paraId="4057E264" w14:textId="77777777">
      <w:pPr>
        <w:rPr>
          <w:vanish/>
        </w:rPr>
      </w:pPr>
      <w:bookmarkStart w:id="4" w:name="PE"/>
      <w:r w:rsidRPr="004E770B">
        <w:rPr>
          <w:vanish/>
        </w:rPr>
        <w:t>PE782.200</w:t>
      </w:r>
      <w:bookmarkEnd w:id="4"/>
    </w:p>
    <w:p w:rsidR="00295081" w:rsidRPr="004E770B" w:rsidP="00295081" w14:paraId="0694DA5E" w14:textId="6653AB6E">
      <w:pPr>
        <w:pStyle w:val="ATHeading3"/>
      </w:pPr>
      <w:bookmarkStart w:id="5" w:name="Sujet"/>
      <w:r w:rsidRPr="004E770B">
        <w:t xml:space="preserve">Europaparlamentets beslut </w:t>
      </w:r>
      <w:r w:rsidRPr="0070573D">
        <w:t xml:space="preserve">av </w:t>
      </w:r>
      <w:r w:rsidRPr="00EA04F4">
        <w:t xml:space="preserve">den </w:t>
      </w:r>
      <w:r w:rsidRPr="00EA04F4" w:rsidR="00654919">
        <w:t>16</w:t>
      </w:r>
      <w:r w:rsidRPr="00EA04F4">
        <w:t xml:space="preserve"> </w:t>
      </w:r>
      <w:r w:rsidRPr="00EA04F4" w:rsidR="00654919">
        <w:t>juni</w:t>
      </w:r>
      <w:r w:rsidRPr="0070573D">
        <w:t xml:space="preserve"> 2026 om begäran</w:t>
      </w:r>
      <w:r w:rsidRPr="004E770B">
        <w:t xml:space="preserve"> om upphävande av Nikola Minchevs immunitet</w:t>
      </w:r>
      <w:bookmarkEnd w:id="5"/>
      <w:r w:rsidRPr="004E770B">
        <w:t xml:space="preserve"> </w:t>
      </w:r>
      <w:bookmarkStart w:id="6" w:name="References"/>
      <w:r w:rsidRPr="004E770B">
        <w:t>(2025/2100(IMM))</w:t>
      </w:r>
      <w:bookmarkEnd w:id="6"/>
    </w:p>
    <w:p w:rsidR="00C70118" w:rsidRPr="004E770B" w:rsidP="00C70118" w14:paraId="29AF08D9" w14:textId="77777777">
      <w:pPr>
        <w:pStyle w:val="EPComma"/>
      </w:pPr>
      <w:bookmarkStart w:id="7" w:name="TextBodyBegin"/>
      <w:bookmarkEnd w:id="7"/>
      <w:r w:rsidRPr="004E770B">
        <w:rPr>
          <w:i/>
          <w:iCs/>
        </w:rPr>
        <w:t>Europaparlamentet fattar detta beslut</w:t>
      </w:r>
    </w:p>
    <w:p w:rsidR="00C70118" w:rsidRPr="004E770B" w:rsidP="00C70118" w14:paraId="3AF3446D" w14:textId="499239BD">
      <w:pPr>
        <w:pStyle w:val="NormalHanging12a"/>
      </w:pPr>
      <w:r w:rsidRPr="004E770B">
        <w:t>–</w:t>
      </w:r>
      <w:r w:rsidRPr="004E770B">
        <w:tab/>
      </w:r>
      <w:bookmarkStart w:id="8" w:name="_Hlk231477072"/>
      <w:r w:rsidRPr="004E770B">
        <w:t>med beaktande av den begäran om upphävande av Nikola Minchevs immunitet som mottogs genom en skrivelse av den 6 maj 2025 från det belgiska federala ministeriet för utrikesfrågor, utrikeshandel och utvecklingssamarbete, med en begäran av den 16 april 2025 från den belgiska federala åklagarmyndigheten med anledning av ett brottmålsförfarande mot Nikola Minchev, och som tillkännagavs i kammaren den 21 maj 2025,</w:t>
      </w:r>
    </w:p>
    <w:p w:rsidR="00C70118" w:rsidRPr="004E770B" w:rsidP="00C70118" w14:paraId="2194CA0A" w14:textId="540522BB">
      <w:pPr>
        <w:pStyle w:val="NormalHanging12a"/>
        <w:rPr>
          <w:bCs/>
        </w:rPr>
      </w:pPr>
      <w:r w:rsidRPr="004E770B">
        <w:t>–</w:t>
      </w:r>
      <w:r w:rsidRPr="004E770B">
        <w:tab/>
      </w:r>
      <w:bookmarkStart w:id="9" w:name="_Hlk225077637"/>
      <w:r w:rsidRPr="004E770B">
        <w:t xml:space="preserve">med beaktande av den ytterligare information som lämnades av den federala åklagaren och undersökningsdomaren </w:t>
      </w:r>
      <w:r w:rsidR="0040484E">
        <w:t>under</w:t>
      </w:r>
      <w:r w:rsidRPr="004E770B">
        <w:t xml:space="preserve"> en diskussion den 15 juli 2025, och det svar som lämnades den 18 september 2025 </w:t>
      </w:r>
      <w:r w:rsidRPr="001A0D98" w:rsidR="001A0D98">
        <w:t xml:space="preserve">av den federala åklagaren </w:t>
      </w:r>
      <w:r w:rsidRPr="004E770B">
        <w:t xml:space="preserve">efter en ytterligare skriftlig begäran om information; och av att en begäran om upphävande av en ledamots immunitet </w:t>
      </w:r>
      <w:bookmarkStart w:id="10" w:name="_Hlk225077824"/>
      <w:r w:rsidRPr="004E770B">
        <w:t>måste uppfylla vissa</w:t>
      </w:r>
      <w:bookmarkEnd w:id="10"/>
      <w:r w:rsidRPr="004E770B">
        <w:t xml:space="preserve"> normer, nämligen att den måste vara tydligt formulerad, även med avseende på den rättsliga ram som begäran grundar sig på, och att den måste innehålla tydliga och tillräckliga uppgifter för att parlamentet ska kunna behandla begäran i syfte komma fram till en slutsats och slutföra behandlingen så snart som möjligt, även med beaktande av ärendets relativa komplexitet,</w:t>
      </w:r>
      <w:bookmarkEnd w:id="9"/>
    </w:p>
    <w:p w:rsidR="00C70118" w:rsidRPr="004E770B" w:rsidP="00C70118" w14:paraId="64179D33" w14:textId="42911F2D">
      <w:pPr>
        <w:pStyle w:val="NormalHanging12a"/>
      </w:pPr>
      <w:r w:rsidRPr="004E770B">
        <w:t>–</w:t>
      </w:r>
      <w:r w:rsidRPr="004E770B">
        <w:tab/>
        <w:t>efter att ha hört Nikola Minchev den 3 december 2025</w:t>
      </w:r>
      <w:r w:rsidR="001A0D98">
        <w:t>,</w:t>
      </w:r>
      <w:r w:rsidRPr="004E770B">
        <w:t xml:space="preserve"> i enlighet med artikel 9.6 i arbetsordningen,</w:t>
      </w:r>
    </w:p>
    <w:p w:rsidR="00C70118" w:rsidRPr="004E770B" w:rsidP="00C70118" w14:paraId="78F696E0" w14:textId="77777777">
      <w:pPr>
        <w:pStyle w:val="NormalHanging12a"/>
      </w:pPr>
      <w:r w:rsidRPr="004E770B">
        <w:t>–</w:t>
      </w:r>
      <w:r w:rsidRPr="004E770B">
        <w:tab/>
        <w:t>med beaktande av artiklarna 8 och 9 i protokoll nr 7 om Europeiska unionens immunitet och privilegier och artikel 6.2 i akten av den 20 september 1976 om allmänna direkta val av ledamöter av Europaparlamentet,</w:t>
      </w:r>
    </w:p>
    <w:p w:rsidR="00C70118" w:rsidRPr="004E770B" w:rsidP="00C70118" w14:paraId="2706F80D" w14:textId="77777777">
      <w:pPr>
        <w:pStyle w:val="NormalHanging12a"/>
      </w:pPr>
      <w:r w:rsidRPr="004E770B">
        <w:t>–</w:t>
      </w:r>
      <w:r w:rsidRPr="004E770B">
        <w:tab/>
        <w:t xml:space="preserve">med beaktande av Europeiska unionens domstols domar av den 21 oktober 2008, </w:t>
      </w:r>
      <w:r w:rsidRPr="004E770B">
        <w:t>19 mars 2010, 6 september 2011, 17 januari 2013 och 19 december 2019</w:t>
      </w:r>
      <w:r>
        <w:rPr>
          <w:vertAlign w:val="superscript"/>
        </w:rPr>
        <w:footnoteReference w:id="2"/>
      </w:r>
      <w:r w:rsidRPr="004E770B">
        <w:t>,</w:t>
      </w:r>
    </w:p>
    <w:p w:rsidR="00C70118" w:rsidRPr="004E770B" w:rsidP="00C70118" w14:paraId="5166DB1F" w14:textId="77777777">
      <w:pPr>
        <w:pStyle w:val="NormalHanging12a"/>
      </w:pPr>
      <w:r w:rsidRPr="004E770B">
        <w:t>–</w:t>
      </w:r>
      <w:r w:rsidRPr="004E770B">
        <w:tab/>
        <w:t>med beaktande av artiklarna 5.2, 6.1 och 9 i arbetsordningen,</w:t>
      </w:r>
    </w:p>
    <w:p w:rsidR="00C70118" w:rsidRPr="004E770B" w:rsidP="00C70118" w14:paraId="71F10A47" w14:textId="77777777">
      <w:pPr>
        <w:pStyle w:val="NormalHanging12a"/>
      </w:pPr>
      <w:r w:rsidRPr="004E770B">
        <w:t>–</w:t>
      </w:r>
      <w:r w:rsidRPr="004E770B">
        <w:tab/>
        <w:t>med beaktande av betänkandet från utskottet för rättsliga frågor (A10-0155/2026), och av följande skäl:</w:t>
      </w:r>
    </w:p>
    <w:p w:rsidR="00C70118" w:rsidRPr="004E770B" w:rsidP="00C70118" w14:paraId="472433B6" w14:textId="6199C71A">
      <w:pPr>
        <w:pStyle w:val="NormalHanging12a"/>
      </w:pPr>
      <w:r w:rsidRPr="004E770B">
        <w:t>A.</w:t>
      </w:r>
      <w:r w:rsidRPr="004E770B">
        <w:tab/>
      </w:r>
      <w:r w:rsidRPr="001A0D98" w:rsidR="001A0D98">
        <w:t xml:space="preserve">Den 6 maj 2025 översände det federala ministeriet för utrikesfrågor, utrikeshandel och utvecklingssamarbete en begäran från </w:t>
      </w:r>
      <w:r w:rsidR="00F9777C">
        <w:t>den</w:t>
      </w:r>
      <w:r w:rsidRPr="001A0D98" w:rsidR="001A0D98">
        <w:t xml:space="preserve"> federala åklagare</w:t>
      </w:r>
      <w:r w:rsidR="00F9777C">
        <w:t>n</w:t>
      </w:r>
      <w:r w:rsidRPr="001A0D98" w:rsidR="001A0D98">
        <w:t xml:space="preserve"> datera</w:t>
      </w:r>
      <w:r w:rsidR="00F9777C">
        <w:t>d</w:t>
      </w:r>
      <w:r w:rsidRPr="001A0D98" w:rsidR="001A0D98">
        <w:t xml:space="preserve"> den 16 april 2025,</w:t>
      </w:r>
      <w:r w:rsidRPr="004E770B">
        <w:t xml:space="preserve"> om upphävande av immuniteten för Nikola Minchev, ledamot av Europaparlamentet vald i Bulgarien, med anledning av ett brottmålsförfarande som ska inledas mot honom.</w:t>
      </w:r>
    </w:p>
    <w:p w:rsidR="00C70118" w:rsidRPr="004E770B" w:rsidP="00C70118" w14:paraId="52E0B8F0" w14:textId="3CB195D9">
      <w:pPr>
        <w:pStyle w:val="NormalHanging12a"/>
        <w:keepNext/>
        <w:keepLines/>
        <w:widowControl/>
      </w:pPr>
      <w:r w:rsidRPr="004E770B">
        <w:t>B.</w:t>
      </w:r>
      <w:r w:rsidRPr="004E770B">
        <w:tab/>
      </w:r>
      <w:bookmarkStart w:id="11" w:name="_Hlk229403782"/>
      <w:bookmarkStart w:id="12" w:name="_Hlk228968475"/>
      <w:bookmarkStart w:id="13" w:name="_Hlk223949179"/>
      <w:r w:rsidRPr="004E770B">
        <w:t xml:space="preserve">En omfattande utredning av företaget Huawei påstås ha lett till tunga belägg för förekomsten av en kriminell organisation vars syfte ska ha varit att påverka </w:t>
      </w:r>
      <w:r w:rsidR="00C84663">
        <w:t>unions</w:t>
      </w:r>
      <w:r w:rsidRPr="004E770B">
        <w:t>institutioners beslutsfattande genom korruption av ledamöter av Europaparlamentet</w:t>
      </w:r>
      <w:bookmarkEnd w:id="11"/>
      <w:r w:rsidRPr="004E770B">
        <w:t xml:space="preserve">. Denna utredning verkar ha avslöjat flera påstådda korruptionshandlingar som förmodas ha begåtts regelbundet från 2021 till 2024. Korruptionsupplägget påstås ha tagit sig olika uttryck, </w:t>
      </w:r>
      <w:bookmarkStart w:id="14" w:name="_Hlk229403810"/>
      <w:r w:rsidR="00034C43">
        <w:t>inbegripet</w:t>
      </w:r>
      <w:r w:rsidRPr="004E770B">
        <w:t xml:space="preserve"> att ledamöter av Europaparlamentet bjudits in till evenemang som sponsrats av Huawei, enligt uppgift i utbyte mot politiska ställningstaganden till förmån för detta företag, och genom överdådiga gåvor såsom måltids- och reseutgifter eller regelbundna inbjudningar till fotbollsmatcher utanför Europaparlamentets ram</w:t>
      </w:r>
      <w:bookmarkEnd w:id="12"/>
      <w:bookmarkEnd w:id="14"/>
      <w:r w:rsidRPr="004E770B">
        <w:t>.</w:t>
      </w:r>
      <w:bookmarkEnd w:id="13"/>
    </w:p>
    <w:p w:rsidR="00C70118" w:rsidRPr="004E770B" w:rsidP="00C70118" w14:paraId="1223B7A4" w14:textId="03CE68D2">
      <w:pPr>
        <w:pStyle w:val="NormalHanging12a"/>
      </w:pPr>
      <w:r w:rsidRPr="004E770B">
        <w:t>C.</w:t>
      </w:r>
      <w:r w:rsidRPr="004E770B">
        <w:tab/>
        <w:t xml:space="preserve">Enligt begäran om upphävande av immuniteten gick Nikola Minchev den 24 oktober 2024 på en fotbollsmatch på en arena i Bryssel tillsammans med sin ackrediterade parlamentsassistent, två företrädare för Huawei och ytterligare en person. Enligt begäran satt de i en loge hyrd av Huawei till en kostnad av 45 000 euro per säsong, enligt uppgift genom ett förmedlande företag </w:t>
      </w:r>
      <w:r w:rsidR="00B87B7D">
        <w:t xml:space="preserve">enligt uppgift </w:t>
      </w:r>
      <w:r w:rsidRPr="004E770B">
        <w:t xml:space="preserve">i syfte att underlätta kontakten med vissa ledamöter av Europaparlamentet. Ersättningen av kostnaden för att närvara vid fotbollsmatchen – vars exakta belopp var okänt för den myndighet som begär upphävandet av immuniteten – verkar inte ha redovisats för Europaparlamentet av Nikola Minchev. Enligt ytterligare information från den </w:t>
      </w:r>
      <w:r w:rsidR="00C84663">
        <w:t>f</w:t>
      </w:r>
      <w:r w:rsidRPr="004E770B">
        <w:t>ederala åklagaren deltog Nikola Minchev den 16 juli 2024 också i en middag, tillsammans med en person i ledande befattning på Huawei, som hade anordnats av en av de två företrädarna för Huawei.</w:t>
      </w:r>
    </w:p>
    <w:p w:rsidR="00C70118" w:rsidRPr="004E770B" w:rsidP="00C70118" w14:paraId="7F48C9FE" w14:textId="16CEC93C">
      <w:pPr>
        <w:pStyle w:val="NormalHanging12a"/>
      </w:pPr>
      <w:r w:rsidRPr="004E770B">
        <w:t>D.</w:t>
      </w:r>
      <w:r w:rsidRPr="004E770B">
        <w:tab/>
        <w:t xml:space="preserve">Det var inte förrän den federala åklagaren </w:t>
      </w:r>
      <w:r w:rsidR="00C84663">
        <w:t xml:space="preserve">hade </w:t>
      </w:r>
      <w:r w:rsidR="00B87B7D">
        <w:t>tillhandahållit</w:t>
      </w:r>
      <w:r w:rsidR="00C84663">
        <w:t xml:space="preserve"> ytterligare information </w:t>
      </w:r>
      <w:r w:rsidRPr="004E770B">
        <w:t xml:space="preserve">som svar på </w:t>
      </w:r>
      <w:r w:rsidR="00953EED">
        <w:t>en</w:t>
      </w:r>
      <w:r w:rsidRPr="004E770B" w:rsidR="00953EED">
        <w:t xml:space="preserve"> </w:t>
      </w:r>
      <w:r w:rsidRPr="004E770B">
        <w:t>skriftlig begäran om ytterligare information som det uppgavs att Nikola Minchevs påstådda handlingar kan ha utgjort tagande av muta, ett brott enligt artikel 246.1 i den belgiska strafflagen.</w:t>
      </w:r>
    </w:p>
    <w:p w:rsidR="00C70118" w:rsidRPr="004E770B" w:rsidP="00C70118" w14:paraId="267A170D" w14:textId="779B82D2">
      <w:pPr>
        <w:pStyle w:val="NormalHanging12a"/>
      </w:pPr>
      <w:r w:rsidRPr="004E770B">
        <w:t>E.</w:t>
      </w:r>
      <w:r w:rsidRPr="004E770B">
        <w:tab/>
        <w:t xml:space="preserve">Nikola Minchev valdes in i Europaparlamentet i EU-valet i juni 2024 och var </w:t>
      </w:r>
      <w:r w:rsidR="00953EED">
        <w:t xml:space="preserve">därför </w:t>
      </w:r>
      <w:r w:rsidRPr="004E770B">
        <w:t>ledamot av Europaparlamentet vid tidpunkten för det påstådda brottet.</w:t>
      </w:r>
    </w:p>
    <w:p w:rsidR="00C70118" w:rsidRPr="004E770B" w:rsidP="00C70118" w14:paraId="34D31847" w14:textId="6A92F653">
      <w:pPr>
        <w:pStyle w:val="NormalHanging12a"/>
      </w:pPr>
      <w:r w:rsidRPr="004E770B">
        <w:t>F.</w:t>
      </w:r>
      <w:r w:rsidRPr="004E770B">
        <w:tab/>
      </w:r>
      <w:r w:rsidRPr="00EA04F4" w:rsidR="00676301">
        <w:t xml:space="preserve">Då </w:t>
      </w:r>
      <w:r w:rsidRPr="00EA04F4" w:rsidR="00BD5ADC">
        <w:t>p</w:t>
      </w:r>
      <w:r w:rsidRPr="00EA04F4">
        <w:t xml:space="preserve">arlamentet inte </w:t>
      </w:r>
      <w:r w:rsidRPr="00EA04F4" w:rsidR="00676301">
        <w:t xml:space="preserve">kan </w:t>
      </w:r>
      <w:r w:rsidRPr="00EA04F4">
        <w:t xml:space="preserve">likställas med en domstol, </w:t>
      </w:r>
      <w:r w:rsidRPr="00EA04F4" w:rsidR="00BD5ADC">
        <w:t>och</w:t>
      </w:r>
      <w:r w:rsidRPr="00EA04F4">
        <w:t xml:space="preserve"> parlamentsledamoten, inom</w:t>
      </w:r>
      <w:r w:rsidRPr="004E770B">
        <w:t xml:space="preserve"> ramen för ett förfarande för att upphäva immunitet, inte </w:t>
      </w:r>
      <w:r w:rsidR="00676301">
        <w:t xml:space="preserve">kan </w:t>
      </w:r>
      <w:r w:rsidRPr="004E770B">
        <w:t>betraktas som ”anklagad”</w:t>
      </w:r>
      <w:r>
        <w:rPr>
          <w:vertAlign w:val="superscript"/>
        </w:rPr>
        <w:footnoteReference w:id="3"/>
      </w:r>
      <w:r w:rsidRPr="004E770B">
        <w:t>.</w:t>
      </w:r>
    </w:p>
    <w:p w:rsidR="00C70118" w:rsidRPr="004E770B" w:rsidP="00C70118" w14:paraId="21572B5E" w14:textId="77777777">
      <w:pPr>
        <w:pStyle w:val="NormalHanging12a"/>
      </w:pPr>
      <w:r w:rsidRPr="004E770B">
        <w:t>G.</w:t>
      </w:r>
      <w:r w:rsidRPr="004E770B">
        <w:tab/>
      </w:r>
      <w:r w:rsidRPr="00BD5ADC">
        <w:t>Syftet</w:t>
      </w:r>
      <w:r w:rsidRPr="004E770B">
        <w:t xml:space="preserve"> med den parlamentariska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rsidR="00C70118" w:rsidRPr="004E770B" w:rsidP="00C70118" w14:paraId="28278B3E" w14:textId="77777777">
      <w:pPr>
        <w:pStyle w:val="NormalHanging12a"/>
      </w:pPr>
      <w:r w:rsidRPr="004E770B">
        <w:t>H.</w:t>
      </w:r>
      <w:r w:rsidRPr="004E770B">
        <w:tab/>
      </w:r>
      <w:r w:rsidRPr="002209A2">
        <w:t>En</w:t>
      </w:r>
      <w:r w:rsidRPr="004E770B">
        <w:t>ligt artikel 5.2 i arbetsordningen är parlamentarisk immunitet inte en ledamots personliga privilegium, utan en garanti för hela Europaparlamentets och dess ledamöters oberoende.</w:t>
      </w:r>
    </w:p>
    <w:p w:rsidR="00C70118" w:rsidRPr="004E770B" w:rsidP="00C70118" w14:paraId="1015980D" w14:textId="77777777">
      <w:pPr>
        <w:pStyle w:val="NormalHanging12a"/>
        <w:keepNext/>
        <w:keepLines/>
        <w:widowControl/>
      </w:pPr>
      <w:r w:rsidRPr="004E770B">
        <w:t>I.</w:t>
      </w:r>
      <w:r w:rsidRPr="004E770B">
        <w:tab/>
        <w:t>Enligt artikel 8 i protokoll nr 7 om Europeiska unionens immunitet och privilegier får Europaparlamentets ledamöter inte förhöras, kvarhållas eller lagföras på grund av yttranden de gjort eller röster de avlagt under utövandet av sitt ämbete. Det påstådda brottet rör varken ett yttrande som Nikola Minchev gjort eller en röst som han avlagt under utövandet av sitt ämbete i den mening som avses i artikel 8 i det protokollet.</w:t>
      </w:r>
    </w:p>
    <w:p w:rsidR="00C70118" w:rsidRPr="004E770B" w:rsidP="00C70118" w14:paraId="2776EBFD" w14:textId="6192E639">
      <w:pPr>
        <w:pStyle w:val="NormalHanging12a"/>
      </w:pPr>
      <w:r w:rsidRPr="004E770B">
        <w:t>J.</w:t>
      </w:r>
      <w:r w:rsidRPr="004E770B">
        <w:tab/>
      </w:r>
      <w:r w:rsidRPr="0070573D" w:rsidR="0070573D">
        <w:t>I artikel 9 första stycket b i protokoll nr 7 om Europeiska unionens immunitet och privilegier anges att under Europaparlamentets sessioner ska dess ledamöter åtnjuta, vad avser alla andra medlemsstaters territorium, immunitet vad gäller alla former av kvarhållande och lagföring</w:t>
      </w:r>
      <w:r w:rsidRPr="004E770B">
        <w:t>.</w:t>
      </w:r>
    </w:p>
    <w:p w:rsidR="00C70118" w:rsidRPr="004E770B" w:rsidP="00C70118" w14:paraId="18480468" w14:textId="49AA0D9C">
      <w:pPr>
        <w:pStyle w:val="NormalHanging12a"/>
      </w:pPr>
      <w:r w:rsidRPr="004E770B">
        <w:t>K.</w:t>
      </w:r>
      <w:r w:rsidRPr="004E770B">
        <w:tab/>
        <w:t>Varje slutsats om Nikola Minchevs immunitet måste dras på grundval av begäran om upphävande av immuniteten och på grundval av den information och de förklaringar som lämnats i ärendet, inbegripet svaren från den federala åklagaren, både under diskussionen och i den ytterligare information som lämnats skriftligen. Det finns en uppenbar brist på konkretion i begäran om upphävande av immuniteten. De efterföljande muntliga och skriftliga utbytena med den federala åklagaren har inte skingrat den betydande osäkerheten kring de olika omständigheterna i begäran om upphävande av Nikola Minchevs immunitet.</w:t>
      </w:r>
    </w:p>
    <w:p w:rsidR="00C70118" w:rsidRPr="004E770B" w:rsidP="00C70118" w14:paraId="1DDDC5CD" w14:textId="77777777">
      <w:pPr>
        <w:pStyle w:val="NormalHanging12a"/>
      </w:pPr>
      <w:r w:rsidRPr="004E770B">
        <w:t>L.</w:t>
      </w:r>
      <w:r w:rsidRPr="004E770B">
        <w:tab/>
        <w:t xml:space="preserve">Mot bakgrund av ovanstående har parlamentet på grundval av den samlade information som lagts fram inte med säkerhet kunnat fatta ett tillräckligt välgrundat beslut om att upphäva Nikola Minchevs immunitet. Den betydande osäkerheten kring de olika omständigheterna i ärendet skulle vidare kunna tyda på att det rör sig om ett fall av </w:t>
      </w:r>
      <w:r w:rsidRPr="004E770B">
        <w:rPr>
          <w:i/>
        </w:rPr>
        <w:t>fumus persecutionis</w:t>
      </w:r>
      <w:r w:rsidRPr="004E770B">
        <w:t>.</w:t>
      </w:r>
    </w:p>
    <w:p w:rsidR="00C70118" w:rsidRPr="004E770B" w:rsidP="00C70118" w14:paraId="5FFA0FE7" w14:textId="77777777">
      <w:pPr>
        <w:pStyle w:val="NormalHanging12a"/>
      </w:pPr>
      <w:r w:rsidRPr="004E770B">
        <w:t>1.</w:t>
      </w:r>
      <w:r w:rsidRPr="004E770B">
        <w:tab/>
        <w:t>Europaparlamentet beslutar att inte upphäva Nikola Minchevs immunitet.</w:t>
      </w:r>
    </w:p>
    <w:p w:rsidR="004E770B" w:rsidRPr="004E770B" w:rsidP="004E770B" w14:paraId="1741073C" w14:textId="1BD8E341">
      <w:pPr>
        <w:pStyle w:val="NormalHanging12a"/>
      </w:pPr>
      <w:r w:rsidRPr="004E770B">
        <w:t>2.</w:t>
      </w:r>
      <w:r w:rsidRPr="004E770B">
        <w:tab/>
        <w:t>Europaparlamentet uppdrar åt talmannen att omedelbart översända detta beslut och det ansvariga utskottets betänkande till de</w:t>
      </w:r>
      <w:r w:rsidR="00240A06">
        <w:t>n</w:t>
      </w:r>
      <w:r w:rsidRPr="004E770B">
        <w:t xml:space="preserve"> behöriga </w:t>
      </w:r>
      <w:r w:rsidRPr="004E770B" w:rsidR="00240A06">
        <w:t>myndighete</w:t>
      </w:r>
      <w:r w:rsidR="00240A06">
        <w:t>n</w:t>
      </w:r>
      <w:r w:rsidRPr="004E770B" w:rsidR="00240A06">
        <w:t xml:space="preserve"> </w:t>
      </w:r>
      <w:r w:rsidRPr="004E770B">
        <w:t>i Konungariket Belgien och till Nikola Minchev.</w:t>
      </w:r>
      <w:bookmarkEnd w:id="8"/>
    </w:p>
    <w:sectPr w:rsidSect="004E770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70B" w14:paraId="38C185D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70B" w14:paraId="6ABF17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70B" w14:paraId="4CC49AE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95081" w:rsidRPr="004E770B" w14:paraId="56101EC8" w14:textId="77777777">
      <w:r w:rsidRPr="004E770B">
        <w:separator/>
      </w:r>
    </w:p>
  </w:footnote>
  <w:footnote w:type="continuationSeparator" w:id="1">
    <w:p w:rsidR="00295081" w:rsidRPr="004E770B" w14:paraId="33FA6005" w14:textId="77777777">
      <w:r w:rsidRPr="004E770B">
        <w:continuationSeparator/>
      </w:r>
    </w:p>
  </w:footnote>
  <w:footnote w:id="2">
    <w:p w:rsidR="00C70118" w:rsidRPr="004E770B" w:rsidP="004E770B" w14:paraId="266147A6" w14:textId="6EC1AD05">
      <w:pPr>
        <w:pStyle w:val="FootnoteText"/>
        <w:ind w:left="567" w:hanging="567"/>
        <w:rPr>
          <w:sz w:val="24"/>
          <w:lang w:val="sv-SE"/>
        </w:rPr>
      </w:pPr>
      <w:r w:rsidRPr="004E770B">
        <w:rPr>
          <w:rStyle w:val="FootnoteReference"/>
          <w:sz w:val="24"/>
          <w:lang w:val="sv-SE"/>
        </w:rPr>
        <w:footnoteRef/>
      </w:r>
      <w:r w:rsidRPr="004E770B" w:rsidR="004E770B">
        <w:rPr>
          <w:sz w:val="24"/>
          <w:lang w:val="sv-SE"/>
        </w:rPr>
        <w:t xml:space="preserve"> </w:t>
      </w:r>
      <w:r w:rsidRPr="004E770B" w:rsidR="004E770B">
        <w:rPr>
          <w:sz w:val="24"/>
          <w:lang w:val="sv-SE"/>
        </w:rPr>
        <w:tab/>
      </w:r>
      <w:r w:rsidRPr="004E770B">
        <w:rPr>
          <w:sz w:val="24"/>
          <w:lang w:val="sv-SE"/>
        </w:rPr>
        <w:t>Domstolens dom av den 21 oktober 2008, Marra/De Gregorio och Clemente, C-200/07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Junqueras Vies, C-502/19, ECLI:EU:C:2019:1115.</w:t>
      </w:r>
    </w:p>
  </w:footnote>
  <w:footnote w:id="3">
    <w:p w:rsidR="00C70118" w:rsidRPr="004E770B" w:rsidP="004E770B" w14:paraId="7D066E70" w14:textId="7FC92163">
      <w:pPr>
        <w:pStyle w:val="FootnoteText"/>
        <w:ind w:left="567" w:hanging="567"/>
        <w:rPr>
          <w:sz w:val="24"/>
          <w:lang w:val="sv-SE"/>
        </w:rPr>
      </w:pPr>
      <w:r w:rsidRPr="004E770B">
        <w:rPr>
          <w:rStyle w:val="FootnoteReference"/>
          <w:sz w:val="24"/>
          <w:lang w:val="sv-SE"/>
        </w:rPr>
        <w:footnoteRef/>
      </w:r>
      <w:r w:rsidRPr="004E770B" w:rsidR="004E770B">
        <w:rPr>
          <w:sz w:val="24"/>
          <w:lang w:val="sv-SE"/>
        </w:rPr>
        <w:t xml:space="preserve"> </w:t>
      </w:r>
      <w:r w:rsidRPr="004E770B" w:rsidR="004E770B">
        <w:rPr>
          <w:sz w:val="24"/>
          <w:lang w:val="sv-SE"/>
        </w:rPr>
        <w:tab/>
      </w:r>
      <w:r w:rsidRPr="004E770B">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70B" w14:paraId="6BEE903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70B" w14:paraId="675C55B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E770B" w14:paraId="3B81AEE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6893696">
    <w:abstractNumId w:val="9"/>
  </w:num>
  <w:num w:numId="2" w16cid:durableId="1055196734">
    <w:abstractNumId w:val="9"/>
  </w:num>
  <w:num w:numId="3" w16cid:durableId="1332179644">
    <w:abstractNumId w:val="7"/>
  </w:num>
  <w:num w:numId="4" w16cid:durableId="385834085">
    <w:abstractNumId w:val="7"/>
  </w:num>
  <w:num w:numId="5" w16cid:durableId="1690401636">
    <w:abstractNumId w:val="6"/>
  </w:num>
  <w:num w:numId="6" w16cid:durableId="382750594">
    <w:abstractNumId w:val="6"/>
  </w:num>
  <w:num w:numId="7" w16cid:durableId="670330628">
    <w:abstractNumId w:val="5"/>
  </w:num>
  <w:num w:numId="8" w16cid:durableId="1810396378">
    <w:abstractNumId w:val="5"/>
  </w:num>
  <w:num w:numId="9" w16cid:durableId="1163013760">
    <w:abstractNumId w:val="4"/>
  </w:num>
  <w:num w:numId="10" w16cid:durableId="1396784367">
    <w:abstractNumId w:val="4"/>
  </w:num>
  <w:num w:numId="11" w16cid:durableId="1821264640">
    <w:abstractNumId w:val="8"/>
  </w:num>
  <w:num w:numId="12" w16cid:durableId="1946687528">
    <w:abstractNumId w:val="8"/>
  </w:num>
  <w:num w:numId="13" w16cid:durableId="1928492627">
    <w:abstractNumId w:val="3"/>
  </w:num>
  <w:num w:numId="14" w16cid:durableId="1852140150">
    <w:abstractNumId w:val="3"/>
  </w:num>
  <w:num w:numId="15" w16cid:durableId="699863568">
    <w:abstractNumId w:val="2"/>
  </w:num>
  <w:num w:numId="16" w16cid:durableId="1272083047">
    <w:abstractNumId w:val="2"/>
  </w:num>
  <w:num w:numId="17" w16cid:durableId="177546694">
    <w:abstractNumId w:val="1"/>
  </w:num>
  <w:num w:numId="18" w16cid:durableId="770441709">
    <w:abstractNumId w:val="1"/>
  </w:num>
  <w:num w:numId="19" w16cid:durableId="583150949">
    <w:abstractNumId w:val="0"/>
  </w:num>
  <w:num w:numId="20" w16cid:durableId="1648197275">
    <w:abstractNumId w:val="0"/>
  </w:num>
  <w:num w:numId="21" w16cid:durableId="1346788015">
    <w:abstractNumId w:val="9"/>
  </w:num>
  <w:num w:numId="22" w16cid:durableId="1947536228">
    <w:abstractNumId w:val="7"/>
  </w:num>
  <w:num w:numId="23" w16cid:durableId="1858035455">
    <w:abstractNumId w:val="6"/>
  </w:num>
  <w:num w:numId="24" w16cid:durableId="801459604">
    <w:abstractNumId w:val="5"/>
  </w:num>
  <w:num w:numId="25" w16cid:durableId="808204427">
    <w:abstractNumId w:val="4"/>
  </w:num>
  <w:num w:numId="26" w16cid:durableId="1828209636">
    <w:abstractNumId w:val="8"/>
  </w:num>
  <w:num w:numId="27" w16cid:durableId="407121855">
    <w:abstractNumId w:val="3"/>
  </w:num>
  <w:num w:numId="28" w16cid:durableId="1498887104">
    <w:abstractNumId w:val="2"/>
  </w:num>
  <w:num w:numId="29" w16cid:durableId="1395662286">
    <w:abstractNumId w:val="1"/>
  </w:num>
  <w:num w:numId="30" w16cid:durableId="520706911">
    <w:abstractNumId w:val="0"/>
  </w:num>
  <w:num w:numId="31" w16cid:durableId="1174807515">
    <w:abstractNumId w:val="9"/>
  </w:num>
  <w:num w:numId="32" w16cid:durableId="467167945">
    <w:abstractNumId w:val="7"/>
  </w:num>
  <w:num w:numId="33" w16cid:durableId="1340737765">
    <w:abstractNumId w:val="6"/>
  </w:num>
  <w:num w:numId="34" w16cid:durableId="1334530325">
    <w:abstractNumId w:val="5"/>
  </w:num>
  <w:num w:numId="35" w16cid:durableId="1663388631">
    <w:abstractNumId w:val="4"/>
  </w:num>
  <w:num w:numId="36" w16cid:durableId="2074499523">
    <w:abstractNumId w:val="8"/>
  </w:num>
  <w:num w:numId="37" w16cid:durableId="1377730348">
    <w:abstractNumId w:val="3"/>
  </w:num>
  <w:num w:numId="38" w16cid:durableId="576287334">
    <w:abstractNumId w:val="2"/>
  </w:num>
  <w:num w:numId="39" w16cid:durableId="1572081941">
    <w:abstractNumId w:val="1"/>
  </w:num>
  <w:num w:numId="40" w16cid:durableId="1396783482">
    <w:abstractNumId w:val="0"/>
  </w:num>
  <w:num w:numId="41" w16cid:durableId="645471704">
    <w:abstractNumId w:val="10"/>
  </w:num>
  <w:num w:numId="42" w16cid:durableId="623775554">
    <w:abstractNumId w:val="10"/>
  </w:num>
  <w:num w:numId="43" w16cid:durableId="1291740734">
    <w:abstractNumId w:val="10"/>
  </w:num>
  <w:num w:numId="44" w16cid:durableId="20963981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81"/>
    <w:rsid w:val="00002272"/>
    <w:rsid w:val="00034C43"/>
    <w:rsid w:val="00064002"/>
    <w:rsid w:val="000677B9"/>
    <w:rsid w:val="000831BA"/>
    <w:rsid w:val="000A42CC"/>
    <w:rsid w:val="000E7DD9"/>
    <w:rsid w:val="0010095E"/>
    <w:rsid w:val="00125B37"/>
    <w:rsid w:val="00187494"/>
    <w:rsid w:val="001A0D98"/>
    <w:rsid w:val="001F32AE"/>
    <w:rsid w:val="002209A2"/>
    <w:rsid w:val="00240A06"/>
    <w:rsid w:val="002767FF"/>
    <w:rsid w:val="00295081"/>
    <w:rsid w:val="002B18FE"/>
    <w:rsid w:val="002B5493"/>
    <w:rsid w:val="003217B8"/>
    <w:rsid w:val="00343214"/>
    <w:rsid w:val="00361C00"/>
    <w:rsid w:val="0039186E"/>
    <w:rsid w:val="00395FA1"/>
    <w:rsid w:val="003A757D"/>
    <w:rsid w:val="003E15D4"/>
    <w:rsid w:val="0040484E"/>
    <w:rsid w:val="00411CCE"/>
    <w:rsid w:val="0041666E"/>
    <w:rsid w:val="00421060"/>
    <w:rsid w:val="00471C19"/>
    <w:rsid w:val="004867E3"/>
    <w:rsid w:val="00494A28"/>
    <w:rsid w:val="004B1FC5"/>
    <w:rsid w:val="004C0004"/>
    <w:rsid w:val="004C5D52"/>
    <w:rsid w:val="004E770B"/>
    <w:rsid w:val="0050519A"/>
    <w:rsid w:val="005072A1"/>
    <w:rsid w:val="00514517"/>
    <w:rsid w:val="0051731E"/>
    <w:rsid w:val="00545827"/>
    <w:rsid w:val="00560270"/>
    <w:rsid w:val="00563C82"/>
    <w:rsid w:val="005C2568"/>
    <w:rsid w:val="005F1B17"/>
    <w:rsid w:val="006037C0"/>
    <w:rsid w:val="00654919"/>
    <w:rsid w:val="006631B6"/>
    <w:rsid w:val="00676301"/>
    <w:rsid w:val="00680577"/>
    <w:rsid w:val="006F74FA"/>
    <w:rsid w:val="0070573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EED"/>
    <w:rsid w:val="00981893"/>
    <w:rsid w:val="00A1687D"/>
    <w:rsid w:val="00A43E52"/>
    <w:rsid w:val="00A4678D"/>
    <w:rsid w:val="00A778C7"/>
    <w:rsid w:val="00AB441E"/>
    <w:rsid w:val="00AB6293"/>
    <w:rsid w:val="00AE0928"/>
    <w:rsid w:val="00AF3B82"/>
    <w:rsid w:val="00B12E95"/>
    <w:rsid w:val="00B22876"/>
    <w:rsid w:val="00B558F0"/>
    <w:rsid w:val="00B87B7D"/>
    <w:rsid w:val="00BD48FE"/>
    <w:rsid w:val="00BD5ADC"/>
    <w:rsid w:val="00BD7BD8"/>
    <w:rsid w:val="00BE6ADC"/>
    <w:rsid w:val="00C05BFE"/>
    <w:rsid w:val="00C23CD4"/>
    <w:rsid w:val="00C61C0C"/>
    <w:rsid w:val="00C70118"/>
    <w:rsid w:val="00C84663"/>
    <w:rsid w:val="00C941CB"/>
    <w:rsid w:val="00CC1523"/>
    <w:rsid w:val="00CC2357"/>
    <w:rsid w:val="00CF071A"/>
    <w:rsid w:val="00D058B8"/>
    <w:rsid w:val="00D52B1E"/>
    <w:rsid w:val="00D56C11"/>
    <w:rsid w:val="00D834A0"/>
    <w:rsid w:val="00D872DF"/>
    <w:rsid w:val="00D91E21"/>
    <w:rsid w:val="00DA7FCD"/>
    <w:rsid w:val="00E365E1"/>
    <w:rsid w:val="00E820A4"/>
    <w:rsid w:val="00EA04F4"/>
    <w:rsid w:val="00EB006A"/>
    <w:rsid w:val="00EB4772"/>
    <w:rsid w:val="00ED169E"/>
    <w:rsid w:val="00ED4235"/>
    <w:rsid w:val="00F04346"/>
    <w:rsid w:val="00F075DC"/>
    <w:rsid w:val="00F149E9"/>
    <w:rsid w:val="00F32951"/>
    <w:rsid w:val="00F5134D"/>
    <w:rsid w:val="00F74202"/>
    <w:rsid w:val="00F87713"/>
    <w:rsid w:val="00F9777C"/>
    <w:rsid w:val="00FB4360"/>
    <w:rsid w:val="00FD0C70"/>
  </w:rsids>
  <w:docVars>
    <w:docVar w:name="dvdocse" w:val="A10-0155/2026"/>
    <w:docVar w:name="dvlangue" w:val="SV"/>
    <w:docVar w:name="dvnumam" w:val="0"/>
    <w:docVar w:name="dvpe" w:val="782.200"/>
    <w:docVar w:name="dvrapporteur" w:val="Föredragande: "/>
    <w:docVar w:name="dvtitre" w:val="Europaparlamentets beslut av den xx xx 2026 om begäran om upphävande av Nikola Minchevs immunitet(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63DFCAB"/>
  <w15:chartTrackingRefBased/>
  <w15:docId w15:val="{CE08E5A9-E48B-42DA-8A03-D8B5D755C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70118"/>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C70118"/>
    <w:pPr>
      <w:spacing w:after="240"/>
      <w:ind w:left="567" w:hanging="567"/>
    </w:pPr>
  </w:style>
  <w:style w:type="paragraph" w:styleId="Header">
    <w:name w:val="header"/>
    <w:basedOn w:val="Normal"/>
    <w:link w:val="HeaderChar"/>
    <w:rsid w:val="00C70118"/>
    <w:pPr>
      <w:tabs>
        <w:tab w:val="center" w:pos="4513"/>
        <w:tab w:val="right" w:pos="9026"/>
      </w:tabs>
    </w:pPr>
  </w:style>
  <w:style w:type="character" w:customStyle="1" w:styleId="HeaderChar">
    <w:name w:val="Header Char"/>
    <w:basedOn w:val="DefaultParagraphFont"/>
    <w:link w:val="Header"/>
    <w:rsid w:val="00C70118"/>
    <w:rPr>
      <w:sz w:val="24"/>
      <w:lang w:val="sv-SE"/>
    </w:rPr>
  </w:style>
  <w:style w:type="paragraph" w:customStyle="1" w:styleId="EPFooter">
    <w:name w:val="EPFooter"/>
    <w:basedOn w:val="Normal"/>
    <w:rsid w:val="00C70118"/>
    <w:pPr>
      <w:tabs>
        <w:tab w:val="center" w:pos="4535"/>
        <w:tab w:val="right" w:pos="9071"/>
      </w:tabs>
      <w:spacing w:before="240" w:after="240"/>
    </w:pPr>
    <w:rPr>
      <w:color w:val="010000"/>
      <w:sz w:val="22"/>
    </w:rPr>
  </w:style>
  <w:style w:type="paragraph" w:customStyle="1" w:styleId="EPComma">
    <w:name w:val="EPComma"/>
    <w:basedOn w:val="Normal"/>
    <w:rsid w:val="00C70118"/>
    <w:pPr>
      <w:spacing w:before="480" w:after="240"/>
    </w:pPr>
  </w:style>
  <w:style w:type="paragraph" w:styleId="Revision">
    <w:name w:val="Revision"/>
    <w:hidden/>
    <w:uiPriority w:val="99"/>
    <w:semiHidden/>
    <w:rsid w:val="00654919"/>
    <w:rPr>
      <w:sz w:val="24"/>
      <w:lang w:val="sv-SE"/>
    </w:rPr>
  </w:style>
  <w:style w:type="character" w:styleId="CommentReference">
    <w:name w:val="annotation reference"/>
    <w:basedOn w:val="DefaultParagraphFont"/>
    <w:rsid w:val="00953EED"/>
    <w:rPr>
      <w:sz w:val="16"/>
      <w:szCs w:val="16"/>
    </w:rPr>
  </w:style>
  <w:style w:type="paragraph" w:styleId="CommentText">
    <w:name w:val="annotation text"/>
    <w:basedOn w:val="Normal"/>
    <w:link w:val="CommentTextChar"/>
    <w:rsid w:val="00953EED"/>
    <w:rPr>
      <w:sz w:val="20"/>
    </w:rPr>
  </w:style>
  <w:style w:type="character" w:customStyle="1" w:styleId="CommentTextChar">
    <w:name w:val="Comment Text Char"/>
    <w:basedOn w:val="DefaultParagraphFont"/>
    <w:link w:val="CommentText"/>
    <w:rsid w:val="00953EED"/>
    <w:rPr>
      <w:lang w:val="sv-SE"/>
    </w:rPr>
  </w:style>
  <w:style w:type="paragraph" w:styleId="CommentSubject">
    <w:name w:val="annotation subject"/>
    <w:basedOn w:val="CommentText"/>
    <w:next w:val="CommentText"/>
    <w:link w:val="CommentSubjectChar"/>
    <w:rsid w:val="00953EED"/>
    <w:rPr>
      <w:b/>
      <w:bCs/>
    </w:rPr>
  </w:style>
  <w:style w:type="character" w:customStyle="1" w:styleId="CommentSubjectChar">
    <w:name w:val="Comment Subject Char"/>
    <w:basedOn w:val="CommentTextChar"/>
    <w:link w:val="CommentSubject"/>
    <w:rsid w:val="00953EE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1049</Words>
  <Characters>6217</Characters>
  <Application>Microsoft Office Word</Application>
  <DocSecurity>0</DocSecurity>
  <Lines>239</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2026-06-16T10:56:00Z</dcterms:created>
  <dcterms:modified xsi:type="dcterms:W3CDTF">2026-06-16T10:56:00Z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A10-0155/2026</vt:lpwstr>
  </property>
  <property fmtid="{D5CDD505-2E9C-101B-9397-08002B2CF9AE}" pid="4" name="&lt;Type&gt;">
    <vt:lpwstr>RR</vt:lpwstr>
  </property>
</Properties>
</file>