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0782687F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F59B9" w:rsidP="0010095E" w14:paraId="13C6C808" w14:textId="77777777">
            <w:pPr>
              <w:pStyle w:val="EPName"/>
            </w:pPr>
            <w:r w:rsidRPr="000F59B9">
              <w:t>Parlament Ewropew</w:t>
            </w:r>
          </w:p>
          <w:p w:rsidR="00751A4A" w:rsidRPr="000F59B9" w:rsidP="005F1B17" w14:paraId="4BF49367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F59B9">
              <w:t>2024</w:t>
            </w:r>
            <w:r w:rsidRPr="000F59B9" w:rsidR="00817416">
              <w:t>-202</w:t>
            </w:r>
            <w:r w:rsidRPr="000F59B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0F59B9" w:rsidP="0010095E" w14:paraId="00C7AE9D" w14:textId="77777777">
            <w:pPr>
              <w:pStyle w:val="EPLogo"/>
            </w:pPr>
            <w:r w:rsidRPr="000F59B9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F59B9" w:rsidP="004C5D52" w14:paraId="30EF911A" w14:textId="77777777">
      <w:pPr>
        <w:pStyle w:val="LineTop"/>
      </w:pPr>
    </w:p>
    <w:p w:rsidR="00680577" w:rsidRPr="000F59B9" w:rsidP="00680577" w14:paraId="719E63ED" w14:textId="77777777">
      <w:pPr>
        <w:pStyle w:val="EPBodyTA1"/>
      </w:pPr>
      <w:r w:rsidRPr="000F59B9">
        <w:t>TESTI ADOTTATI</w:t>
      </w:r>
    </w:p>
    <w:p w:rsidR="00D058B8" w:rsidRPr="000F59B9" w:rsidP="00D058B8" w14:paraId="646C7C9C" w14:textId="77777777">
      <w:pPr>
        <w:pStyle w:val="LineBottom"/>
      </w:pPr>
    </w:p>
    <w:p w:rsidR="00763603" w:rsidRPr="000F59B9" w:rsidP="00763603" w14:paraId="30F5587F" w14:textId="0D746715">
      <w:pPr>
        <w:pStyle w:val="ATHeading1"/>
      </w:pPr>
      <w:bookmarkStart w:id="0" w:name="TANumber"/>
      <w:r w:rsidRPr="000F59B9">
        <w:t>P10_TA(2026)0</w:t>
      </w:r>
      <w:r w:rsidR="004C0C03">
        <w:t>196</w:t>
      </w:r>
      <w:bookmarkEnd w:id="0"/>
    </w:p>
    <w:p w:rsidR="00763603" w:rsidRPr="000F59B9" w:rsidP="00763603" w14:paraId="4F50C239" w14:textId="77777777">
      <w:pPr>
        <w:pStyle w:val="ATHeading2"/>
      </w:pPr>
      <w:bookmarkStart w:id="1" w:name="title"/>
      <w:r w:rsidRPr="000F59B9">
        <w:t>L-aġġustament tad-dazji doganali u l-ftuħ ta’ kwoti tariffarji għall-importazzjonijiet ta’ ċerti oġġetti li joriġinaw mill-Istati Uniti tal-Amerka</w:t>
      </w:r>
      <w:bookmarkEnd w:id="1"/>
    </w:p>
    <w:p w:rsidR="00763603" w:rsidRPr="000F59B9" w:rsidP="00763603" w14:paraId="6837E67C" w14:textId="77777777">
      <w:pPr>
        <w:rPr>
          <w:i/>
          <w:vanish/>
        </w:rPr>
      </w:pPr>
      <w:r>
        <w:rPr>
          <w:i/>
        </w:rPr>
        <w:fldChar w:fldCharType="begin"/>
      </w:r>
      <w:r w:rsidRPr="000F59B9">
        <w:rPr>
          <w:i/>
        </w:rPr>
        <w:instrText xml:space="preserve"> TC"(</w:instrText>
      </w:r>
      <w:bookmarkStart w:id="2" w:name="DocNumber"/>
      <w:r w:rsidRPr="000F59B9">
        <w:rPr>
          <w:i/>
        </w:rPr>
        <w:instrText>A10-0069/2026</w:instrText>
      </w:r>
      <w:bookmarkEnd w:id="2"/>
      <w:r w:rsidRPr="000F59B9">
        <w:rPr>
          <w:i/>
        </w:rPr>
        <w:instrText xml:space="preserve"> - Rapporteur: Bernd Lange)"\l3 \n&gt; \* MERGEFORMAT </w:instrText>
      </w:r>
      <w:r>
        <w:rPr>
          <w:i/>
        </w:rPr>
        <w:fldChar w:fldCharType="end"/>
      </w:r>
    </w:p>
    <w:p w:rsidR="00763603" w:rsidRPr="000F59B9" w:rsidP="00763603" w14:paraId="439224D3" w14:textId="77777777">
      <w:pPr>
        <w:rPr>
          <w:vanish/>
        </w:rPr>
      </w:pPr>
      <w:bookmarkStart w:id="3" w:name="Commission"/>
      <w:r w:rsidRPr="000F59B9">
        <w:rPr>
          <w:vanish/>
        </w:rPr>
        <w:t>Kumitat għall-Kummerċ Internazzjonali</w:t>
      </w:r>
      <w:bookmarkEnd w:id="3"/>
    </w:p>
    <w:p w:rsidR="00763603" w:rsidRPr="000F59B9" w:rsidP="00763603" w14:paraId="589B7D34" w14:textId="77777777">
      <w:pPr>
        <w:rPr>
          <w:vanish/>
        </w:rPr>
      </w:pPr>
      <w:bookmarkStart w:id="4" w:name="PE"/>
      <w:r w:rsidRPr="000F59B9">
        <w:rPr>
          <w:vanish/>
        </w:rPr>
        <w:t>PE779.297</w:t>
      </w:r>
      <w:bookmarkEnd w:id="4"/>
    </w:p>
    <w:p w:rsidR="00FA62F2" w:rsidP="00FA62F2" w14:paraId="6DAFC96C" w14:textId="77777777">
      <w:pPr>
        <w:pStyle w:val="ATHeading3"/>
      </w:pPr>
      <w:bookmarkStart w:id="5" w:name="Sujet"/>
      <w:r w:rsidRPr="000F59B9">
        <w:t xml:space="preserve">Riżoluzzjoni leġiżlattiva tal-Parlament Ewropew </w:t>
      </w:r>
      <w:r w:rsidR="002C5202">
        <w:t>tas-16 ta’ Ġunju</w:t>
      </w:r>
      <w:r w:rsidRPr="000F59B9">
        <w:t xml:space="preserve"> 2026 dwar il-proposta għal regolament tal-Parlament Ewropew u tal-Kunsill dwar l-aġġustament tad-dazji doganali fuq l-importazzjoni ta’ ċerti oġġetti li joriġinaw mill-Istati Uniti tal-Amerka u l-ftuħ ta’ kwoti tariffarji għall-importazzjonijiet ta’ ċerti oġġetti li joriġinaw mill-Istati Uniti tal-Amerka</w:t>
      </w:r>
      <w:bookmarkEnd w:id="5"/>
      <w:r w:rsidRPr="000F59B9">
        <w:t xml:space="preserve"> </w:t>
      </w:r>
      <w:bookmarkStart w:id="6" w:name="References"/>
      <w:r w:rsidRPr="000F59B9">
        <w:t>(COM(2025)0471 – C10-0193/2025 – 2025/0261(COD))</w:t>
      </w:r>
      <w:bookmarkEnd w:id="6"/>
      <w:r>
        <w:t xml:space="preserve"> </w:t>
      </w:r>
    </w:p>
    <w:p w:rsidR="00B73212" w:rsidRPr="000F59B9" w:rsidP="00B73212" w14:paraId="283BBCA2" w14:textId="77777777">
      <w:pPr>
        <w:pStyle w:val="NormalBold"/>
      </w:pPr>
      <w:r w:rsidRPr="000F59B9">
        <w:t>(Proċedura leġiżlattiva ordinarja: l-ewwel qari)</w:t>
      </w:r>
    </w:p>
    <w:p w:rsidR="00B73212" w:rsidRPr="000F59B9" w:rsidP="00B73212" w14:paraId="16C064FA" w14:textId="77777777">
      <w:pPr>
        <w:pStyle w:val="EPComma"/>
      </w:pPr>
      <w:r w:rsidRPr="000F59B9">
        <w:rPr>
          <w:i/>
        </w:rPr>
        <w:t>Il-Parlament Ewropew</w:t>
      </w:r>
      <w:r w:rsidRPr="000F59B9">
        <w:t>,</w:t>
      </w:r>
    </w:p>
    <w:p w:rsidR="00B73212" w:rsidRPr="000F59B9" w:rsidP="00B73212" w14:paraId="6DEE814A" w14:textId="77777777">
      <w:pPr>
        <w:pStyle w:val="NormalHanging12a"/>
      </w:pPr>
      <w:r w:rsidRPr="000F59B9">
        <w:t>–</w:t>
      </w:r>
      <w:r w:rsidRPr="000F59B9">
        <w:tab/>
        <w:t>wara li kkunsidra l-proposta tal-Kummissjoni lill-Parlament Ewropew u lill-Kunsill (COM(2025)0471),</w:t>
      </w:r>
    </w:p>
    <w:p w:rsidR="00B73212" w:rsidRPr="000F59B9" w:rsidP="00B73212" w14:paraId="71E2F61B" w14:textId="77777777">
      <w:pPr>
        <w:pStyle w:val="NormalHanging12a"/>
      </w:pPr>
      <w:r w:rsidRPr="000F59B9">
        <w:t>–</w:t>
      </w:r>
      <w:r w:rsidRPr="000F59B9">
        <w:tab/>
        <w:t>wara li kkunsidra l-Artikolu 294(2) u l-Artikolu 207(2) tat-Trattat dwar il-Funzjonament tal-Unjoni Ewropea, skont liema artikoli l-Kummissjoni ppreżentat il-proposta lill-Parlament (C10</w:t>
      </w:r>
      <w:r w:rsidRPr="000F59B9">
        <w:noBreakHyphen/>
        <w:t>0193/2025),</w:t>
      </w:r>
    </w:p>
    <w:p w:rsidR="00B73212" w:rsidRPr="000F59B9" w:rsidP="00B73212" w14:paraId="2B085E53" w14:textId="77777777">
      <w:pPr>
        <w:pStyle w:val="NormalHanging12a"/>
      </w:pPr>
      <w:r w:rsidRPr="000F59B9">
        <w:t>–</w:t>
      </w:r>
      <w:r w:rsidRPr="000F59B9">
        <w:tab/>
        <w:t>wara li kkunsidra l-Artikolu 294(3) tat-Trattat dwar il-Funzjonament tal-Unjoni Ewropea,</w:t>
      </w:r>
    </w:p>
    <w:p w:rsidR="00B73212" w:rsidP="00B73212" w14:paraId="7B175B02" w14:textId="77777777">
      <w:pPr>
        <w:pStyle w:val="NormalHanging12a"/>
      </w:pPr>
      <w:r w:rsidRPr="000F59B9">
        <w:t>–</w:t>
      </w:r>
      <w:r w:rsidRPr="000F59B9">
        <w:tab/>
        <w:t>wara li kkunsidra l-valutazzjoni baġitarja maħruġa mill-Kumitat għall-Baġits,</w:t>
      </w:r>
    </w:p>
    <w:p w:rsidR="006F061B" w:rsidRPr="000F59B9" w:rsidP="00B73212" w14:paraId="6DDDEE27" w14:textId="64B76514">
      <w:pPr>
        <w:pStyle w:val="NormalHanging12a"/>
      </w:pPr>
      <w:r w:rsidRPr="000F59B9">
        <w:t>–</w:t>
      </w:r>
      <w:r>
        <w:tab/>
        <w:t xml:space="preserve">wara </w:t>
      </w:r>
      <w:r w:rsidRPr="005A291C">
        <w:t>li kkunsidra l-ftehim proviżorju approvat mill-kumitat responsabbli fis-sens tal-Artikolu 75(4) tar-Regoli ta’ Proċedura tiegħu, u l-impenn meħud mir-rappreżentant tal-Kunsill, permezz tal-ittra ta</w:t>
      </w:r>
      <w:r>
        <w:t>s-27 ta’ Mejju 2026</w:t>
      </w:r>
      <w:r w:rsidRPr="005A291C">
        <w:t>, li japprova l-pożizzjoni tal-Parlament Ewropew, skont l-Artikolu 294(4) tat-Trattat dwar il-Funzjonament tal-Unjoni Ewropea</w:t>
      </w:r>
      <w:r>
        <w:t>,</w:t>
      </w:r>
    </w:p>
    <w:p w:rsidR="00B73212" w:rsidRPr="000F59B9" w:rsidP="00B73212" w14:paraId="4A0B5928" w14:textId="5BF60B42">
      <w:pPr>
        <w:pStyle w:val="NormalHanging12a"/>
      </w:pPr>
      <w:r w:rsidRPr="000F59B9">
        <w:t>–</w:t>
      </w:r>
      <w:r w:rsidRPr="000F59B9">
        <w:tab/>
        <w:t xml:space="preserve">wara li </w:t>
      </w:r>
      <w:r w:rsidRPr="000F59B9">
        <w:t>kkunsidra</w:t>
      </w:r>
      <w:r w:rsidRPr="000F59B9">
        <w:t xml:space="preserve"> l-Artikol</w:t>
      </w:r>
      <w:r w:rsidR="006F061B">
        <w:t>i</w:t>
      </w:r>
      <w:r w:rsidRPr="000F59B9">
        <w:t> 60</w:t>
      </w:r>
      <w:r w:rsidR="006F061B">
        <w:t xml:space="preserve"> u 58</w:t>
      </w:r>
      <w:r w:rsidRPr="000F59B9">
        <w:t xml:space="preserve"> tar-Regoli ta’ Proċedura tiegħu,</w:t>
      </w:r>
    </w:p>
    <w:p w:rsidR="00B73212" w:rsidRPr="000F59B9" w:rsidP="00B73212" w14:paraId="30683012" w14:textId="77777777">
      <w:pPr>
        <w:pStyle w:val="NormalHanging12a"/>
      </w:pPr>
      <w:r w:rsidRPr="000F59B9">
        <w:t>–</w:t>
      </w:r>
      <w:r w:rsidRPr="000F59B9">
        <w:tab/>
        <w:t>wara li kkunsidra l-opinjoni tal-Kumitat għall-Agrikoltura u l-Iżvilupp Rurali,</w:t>
      </w:r>
    </w:p>
    <w:p w:rsidR="00B73212" w:rsidRPr="000F59B9" w:rsidP="00B73212" w14:paraId="2808E288" w14:textId="77777777">
      <w:pPr>
        <w:pStyle w:val="NormalHanging12a"/>
      </w:pPr>
      <w:r w:rsidRPr="000F59B9">
        <w:t>–</w:t>
      </w:r>
      <w:r w:rsidRPr="000F59B9">
        <w:tab/>
        <w:t>wara li kkunsidra r-rapport tal-Kumitat għall-Kummerċ Internazzjonali (A10-0069/2026),</w:t>
      </w:r>
    </w:p>
    <w:p w:rsidR="00B73212" w:rsidP="00B73212" w14:paraId="77E73386" w14:textId="2D15C720">
      <w:pPr>
        <w:pStyle w:val="NormalHanging12a"/>
      </w:pPr>
      <w:r w:rsidRPr="000F59B9">
        <w:t>1.</w:t>
      </w:r>
      <w:r w:rsidRPr="000F59B9">
        <w:tab/>
        <w:t>Jadotta l-pożizzjoni fl-ewwel qari li tidher hawn taħt</w:t>
      </w:r>
      <w:r>
        <w:rPr>
          <w:rStyle w:val="FootnoteReference"/>
        </w:rPr>
        <w:footnoteReference w:id="2"/>
      </w:r>
      <w:r w:rsidRPr="000F59B9">
        <w:t>;</w:t>
      </w:r>
    </w:p>
    <w:p w:rsidR="00E117D0" w:rsidP="00B73212" w14:paraId="7970084A" w14:textId="2657A5C3">
      <w:pPr>
        <w:pStyle w:val="NormalHanging12a"/>
      </w:pPr>
      <w:r>
        <w:t xml:space="preserve">2. </w:t>
      </w:r>
      <w:r>
        <w:tab/>
        <w:t xml:space="preserve">Japprova d-dikjarazzjoni konġunta tal-Parlament Ewropew u tal-Kummissjoni annessa ma’ din ir-riżoluzzjoni, li se tiġi ppubblikata fis-serje C ta’ </w:t>
      </w:r>
      <w:r w:rsidRPr="00AE2AA1">
        <w:rPr>
          <w:i/>
          <w:iCs/>
        </w:rPr>
        <w:t xml:space="preserve">Il-Ġurnal Uffiċjali tal-Unjoni </w:t>
      </w:r>
      <w:r w:rsidRPr="00AE2AA1">
        <w:rPr>
          <w:i/>
          <w:iCs/>
        </w:rPr>
        <w:t>Ewropew</w:t>
      </w:r>
      <w:r>
        <w:t>;</w:t>
      </w:r>
    </w:p>
    <w:p w:rsidR="00E117D0" w:rsidRPr="000F59B9" w:rsidP="00B73212" w14:paraId="18D83CA7" w14:textId="5A4C2012">
      <w:pPr>
        <w:pStyle w:val="NormalHanging12a"/>
      </w:pPr>
      <w:r>
        <w:t>3.</w:t>
      </w:r>
      <w:r>
        <w:tab/>
        <w:t xml:space="preserve">Jieħu nota tad-dikjarazzjoni tal-Kummissjoni annessa ma’ din ir-riżoluzzjoni, li se tiġi ppubblikata fis-serje C ta’ </w:t>
      </w:r>
      <w:r w:rsidRPr="005770AB">
        <w:rPr>
          <w:i/>
          <w:iCs/>
        </w:rPr>
        <w:t>Il-Ġurnal Uffiċjali tal-Unjoni Ewropew</w:t>
      </w:r>
      <w:r>
        <w:rPr>
          <w:i/>
          <w:iCs/>
        </w:rPr>
        <w:t>;</w:t>
      </w:r>
    </w:p>
    <w:p w:rsidR="00B73212" w:rsidRPr="000F59B9" w:rsidP="00B73212" w14:paraId="7BB09DC0" w14:textId="17EE1F64">
      <w:pPr>
        <w:pStyle w:val="NormalHanging12a"/>
      </w:pPr>
      <w:r>
        <w:t>4</w:t>
      </w:r>
      <w:r w:rsidRPr="000F59B9">
        <w:t>.</w:t>
      </w:r>
      <w:r w:rsidRPr="000F59B9">
        <w:tab/>
        <w:t>Jitlob lill-Kummissjoni terġa’ tirreferi l-kwistjoni lill-Parlament jekk tibdel il-proposta tagħha, temendaha b’mod sustanzjali jew ikollha l-ħsieb li temendaha b’mod sustanzjali;</w:t>
      </w:r>
    </w:p>
    <w:p w:rsidR="00E117D0" w:rsidP="00B73212" w14:paraId="41A0DB8A" w14:textId="25370098">
      <w:pPr>
        <w:pStyle w:val="NormalHanging12a"/>
      </w:pPr>
      <w:r>
        <w:t>5</w:t>
      </w:r>
      <w:r w:rsidRPr="000F59B9" w:rsidR="00B73212">
        <w:t>.</w:t>
      </w:r>
      <w:r w:rsidRPr="000F59B9" w:rsidR="00B73212">
        <w:tab/>
        <w:t>Jagħti istruzzjonijiet lill-President tiegħu biex tgħaddi l-pożizzjoni tal-Parlament lill-Kunsill u lill-Kummissjoni kif ukoll lill-parlamenti nazzjonali.</w:t>
      </w:r>
    </w:p>
    <w:p w:rsidR="00E117D0" w14:paraId="772B465E" w14:textId="7AA0D579">
      <w:pPr>
        <w:widowControl/>
      </w:pPr>
    </w:p>
    <w:p w:rsidR="007C24AB" w:rsidP="007C24AB" w14:paraId="7066B6DF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Sect="007C24AB">
          <w:pgSz w:w="11907" w:h="16839"/>
          <w:pgMar w:top="1134" w:right="1134" w:bottom="1134" w:left="1134" w:header="567" w:footer="567" w:gutter="0"/>
          <w:cols w:space="720"/>
          <w:docGrid w:linePitch="360"/>
        </w:sectPr>
      </w:pPr>
    </w:p>
    <w:p w:rsidR="007C24AB" w:rsidRPr="006C7FB7" w:rsidP="007C24AB" w14:paraId="53598507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C7FB7">
        <w:rPr>
          <w:rFonts w:eastAsia="Calibri"/>
          <w:b/>
          <w:bCs/>
          <w:color w:val="000000"/>
          <w:szCs w:val="24"/>
        </w:rPr>
        <w:t>P10_TC1-COD(2025)0261</w:t>
      </w:r>
    </w:p>
    <w:p w:rsidR="007C5499" w:rsidP="007C5499" w14:paraId="13DACDA8" w14:textId="77777777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7C24AB">
        <w:rPr>
          <w:b/>
          <w:bCs/>
        </w:rPr>
        <w:t>Pożizzjoni tal-Parlament Ewropew adottata fl-ewwel qari ta</w:t>
      </w:r>
      <w:r>
        <w:rPr>
          <w:b/>
          <w:bCs/>
        </w:rPr>
        <w:t>s</w:t>
      </w:r>
      <w:r w:rsidRPr="007C24AB">
        <w:rPr>
          <w:b/>
          <w:bCs/>
        </w:rPr>
        <w:t>-1</w:t>
      </w:r>
      <w:r>
        <w:rPr>
          <w:b/>
          <w:bCs/>
        </w:rPr>
        <w:t>6</w:t>
      </w:r>
      <w:r w:rsidRPr="007C24AB">
        <w:rPr>
          <w:b/>
          <w:bCs/>
        </w:rPr>
        <w:t xml:space="preserve"> ta</w:t>
      </w:r>
      <w:r>
        <w:rPr>
          <w:b/>
          <w:bCs/>
        </w:rPr>
        <w:t>’</w:t>
      </w:r>
      <w:r w:rsidRPr="007C24AB">
        <w:rPr>
          <w:b/>
          <w:bCs/>
        </w:rPr>
        <w:t xml:space="preserve"> </w:t>
      </w:r>
      <w:r>
        <w:rPr>
          <w:b/>
          <w:bCs/>
        </w:rPr>
        <w:t>Ġunju</w:t>
      </w:r>
      <w:r w:rsidRPr="007C24AB">
        <w:rPr>
          <w:b/>
          <w:bCs/>
        </w:rPr>
        <w:t xml:space="preserve"> 2026 bil-ħsieb tal-adozzjoni tar-Regolament (UE) 2026/... tal-Parlament Ewropew u tal-Kunsill </w:t>
      </w:r>
      <w:r w:rsidRPr="007C24AB">
        <w:rPr>
          <w:rFonts w:eastAsia="Calibri"/>
          <w:b/>
          <w:szCs w:val="22"/>
          <w:lang w:eastAsia="en-US"/>
        </w:rPr>
        <w:t>dwar l-aġġustament tad-dazji doganali fuq l-importazzjoni</w:t>
      </w:r>
      <w:r w:rsidR="008E2309">
        <w:rPr>
          <w:rFonts w:eastAsia="Calibri"/>
          <w:b/>
          <w:szCs w:val="22"/>
          <w:lang w:eastAsia="en-US"/>
        </w:rPr>
        <w:t>jiet</w:t>
      </w:r>
      <w:r w:rsidRPr="007C24AB">
        <w:rPr>
          <w:rFonts w:eastAsia="Calibri"/>
          <w:b/>
          <w:szCs w:val="22"/>
          <w:lang w:eastAsia="en-US"/>
        </w:rPr>
        <w:t xml:space="preserve"> ta' ċerti oġġetti li joriġinaw mill-Istati Uniti tal-Amerka u l-ftuħ ta' kwoti </w:t>
      </w:r>
      <w:r w:rsidRPr="007C24AB">
        <w:rPr>
          <w:rFonts w:eastAsia="Calibri"/>
          <w:b/>
          <w:szCs w:val="22"/>
          <w:lang w:eastAsia="en-US"/>
        </w:rPr>
        <w:t>tariffarji</w:t>
      </w:r>
      <w:r w:rsidRPr="007C24AB">
        <w:rPr>
          <w:rFonts w:eastAsia="Calibri"/>
          <w:b/>
          <w:szCs w:val="22"/>
          <w:lang w:eastAsia="en-US"/>
        </w:rPr>
        <w:t xml:space="preserve"> għall-importazzjoni</w:t>
      </w:r>
      <w:r w:rsidR="008E2309">
        <w:rPr>
          <w:rFonts w:eastAsia="Calibri"/>
          <w:b/>
          <w:szCs w:val="22"/>
          <w:lang w:eastAsia="en-US"/>
        </w:rPr>
        <w:t>jiet</w:t>
      </w:r>
      <w:r w:rsidRPr="007C24AB">
        <w:rPr>
          <w:rFonts w:eastAsia="Calibri"/>
          <w:b/>
          <w:szCs w:val="22"/>
          <w:lang w:eastAsia="en-US"/>
        </w:rPr>
        <w:t xml:space="preserve"> ta' ċerti oġġetti li joriġinaw mill-Istati Uniti tal-Amerka</w:t>
      </w:r>
    </w:p>
    <w:p w:rsidR="007C5499" w:rsidRPr="0029750F" w:rsidP="007C5499" w14:paraId="314E009E" w14:textId="5B7E5E03">
      <w:pPr>
        <w:pStyle w:val="Institutionquiagit"/>
        <w:spacing w:before="240" w:after="0" w:line="240" w:lineRule="auto"/>
        <w:rPr>
          <w:i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7C5499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26</w:t>
      </w:r>
      <w:r>
        <w:rPr>
          <w:i/>
        </w:rPr>
        <w:t>/</w:t>
      </w:r>
      <w:r>
        <w:rPr>
          <w:i/>
        </w:rPr>
        <w:t>1455</w:t>
      </w:r>
      <w:r w:rsidRPr="0050178C">
        <w:rPr>
          <w:i/>
        </w:rPr>
        <w:t>.)</w:t>
      </w:r>
    </w:p>
    <w:p w:rsidR="007C5499" w:rsidP="007C5499" w14:paraId="5A3EABB4" w14:textId="77777777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7C5499" w14:paraId="29638C1E" w14:textId="77777777">
      <w:pPr>
        <w:widowControl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br w:type="page"/>
      </w:r>
    </w:p>
    <w:p w:rsidR="007C24AB" w:rsidRPr="007C5499" w:rsidP="007C5499" w14:paraId="58E6FB61" w14:textId="4C105396">
      <w:pPr>
        <w:pStyle w:val="NormalHanging12a"/>
        <w:ind w:left="0" w:firstLine="0"/>
        <w:jc w:val="right"/>
      </w:pPr>
      <w:r w:rsidRPr="007C5499">
        <w:t>ANNESS TAR-RIŻOLUZZJONI LEĠIŻLATTIVA</w:t>
      </w:r>
    </w:p>
    <w:p w:rsidR="0076138F" w:rsidRPr="00916536" w:rsidP="0076138F" w14:paraId="456D6C10" w14:textId="5DB6D8A4">
      <w:pPr>
        <w:spacing w:after="120" w:line="360" w:lineRule="auto"/>
      </w:pPr>
      <w:r w:rsidRPr="00916536">
        <w:rPr>
          <w:b/>
          <w:bCs/>
          <w:i/>
          <w:iCs/>
        </w:rPr>
        <w:t>Dikjarazzjoni Konġunta mill-Parlament Ewropew u mill-Kummissjoni dwar il-mekkaniżmu ta' salvagwardja skont ir-Regolament (UE) 2026/</w:t>
      </w:r>
      <w:r w:rsidR="007C5499">
        <w:rPr>
          <w:b/>
          <w:bCs/>
          <w:i/>
          <w:iCs/>
        </w:rPr>
        <w:t>1455</w:t>
      </w:r>
      <w:r w:rsidRPr="00916536">
        <w:rPr>
          <w:b/>
          <w:bCs/>
          <w:i/>
          <w:iCs/>
        </w:rPr>
        <w:t xml:space="preserve"> dwar l-aġġustament tad-dazji doganali fuq l-importazzjonijiet ta' ċerti oġġetti li joriġinaw mill-Istati Uniti tal-Amerika u l-ftuħ ta' kwoti tariffarji għal importazzjonijiet ta' ċerti oġġetti li joriġinaw mill-Istati Uniti tal-Amerika</w:t>
      </w:r>
    </w:p>
    <w:p w:rsidR="007C24AB" w:rsidP="0076138F" w14:paraId="7CF71644" w14:textId="11D78133">
      <w:pPr>
        <w:pStyle w:val="NormalHanging12a"/>
        <w:spacing w:after="120" w:line="360" w:lineRule="auto"/>
        <w:ind w:left="0" w:firstLine="0"/>
      </w:pPr>
      <w:r w:rsidRPr="00916536">
        <w:t xml:space="preserve">Il-Kummissjoni tirrikonoxxi l-importanza li l-Parlament Ewropew jagħti lis-segwitu mill-qrib tal-implimentazzjoni ta' dan ir-Regolament fir-rigward tal-mekkaniżmu ta' salvagwardja li jippermetti s-sospensjoni tal-preferenzi mogħtija lill-Istati Uniti. Għal dak il-għan, jekk il-Parlament Ewropew jirrakkomanda li l-Kummissjoni tibda investigazzjoni ta' salvagwardja, il-Kummissjoni se tivvaluta bir-reqqa jekk iċ-ċirkostanzi jiġġustifikawx bidu </w:t>
      </w:r>
      <w:r w:rsidRPr="00916536">
        <w:rPr>
          <w:i/>
          <w:iCs/>
        </w:rPr>
        <w:t>ex officio</w:t>
      </w:r>
      <w:r w:rsidRPr="00916536">
        <w:t xml:space="preserve"> ta' investigazzjoni u se tinforma lill-Parlament Ewropew dwar l-eżitu tal-valutazzjoni tagħha.</w:t>
      </w:r>
    </w:p>
    <w:p w:rsidR="0076138F" w:rsidRPr="00A244CC" w:rsidP="0076138F" w14:paraId="56058DD3" w14:textId="57DD7CE2">
      <w:pPr>
        <w:spacing w:after="120" w:line="360" w:lineRule="auto"/>
        <w:rPr>
          <w:b/>
          <w:bCs/>
          <w:i/>
          <w:iCs/>
        </w:rPr>
      </w:pPr>
      <w:r w:rsidRPr="00A244CC">
        <w:rPr>
          <w:b/>
          <w:bCs/>
          <w:i/>
          <w:iCs/>
        </w:rPr>
        <w:t>Dikjarazzjoni mill-Kummissjoni dwar atti ta' implimentazzjoni skont ir-Regolament (UE) 2026/</w:t>
      </w:r>
      <w:r w:rsidR="007C5499">
        <w:rPr>
          <w:b/>
          <w:bCs/>
          <w:i/>
          <w:iCs/>
        </w:rPr>
        <w:t>1455</w:t>
      </w:r>
      <w:r w:rsidRPr="00A244CC">
        <w:rPr>
          <w:b/>
          <w:bCs/>
          <w:i/>
          <w:iCs/>
        </w:rPr>
        <w:t xml:space="preserve"> dwar l-aġġustament tad-dazji doganali fuq l-importazzjonijiet ta' ċerti oġġetti li joriġinaw mill-Istati Uniti tal-Amerika u l-ftuħ ta' kwoti tariffarji għal importazzjonijiet ta' ċerti oġġetti li joriġinaw mill-Istati Uniti tal-Amerika</w:t>
      </w:r>
    </w:p>
    <w:p w:rsidR="0076138F" w:rsidRPr="007C24AB" w:rsidP="0076138F" w14:paraId="433978BC" w14:textId="2E1EB76A">
      <w:pPr>
        <w:pStyle w:val="NormalHanging12a"/>
        <w:spacing w:after="120" w:line="360" w:lineRule="auto"/>
        <w:ind w:left="0" w:firstLine="0"/>
        <w:rPr>
          <w:b/>
          <w:bCs/>
        </w:rPr>
      </w:pPr>
      <w:r>
        <w:t>Il-Kummissjoni se żżomm lill-Parlament Ewropew infurmat regolarment u se tqis bis-sħiħ il-fehmiet tal-Parlament Ewropew qabel ma tipproponi att ta' implimentazzjoni skont dan ir-Regolament.</w:t>
      </w:r>
    </w:p>
    <w:sectPr w:rsidSect="000F5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7D3C5D1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19DBDE1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4C548EA0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63603" w:rsidRPr="000F59B9" w14:paraId="1532DE6E" w14:textId="77777777">
      <w:r w:rsidRPr="000F59B9">
        <w:separator/>
      </w:r>
    </w:p>
  </w:footnote>
  <w:footnote w:type="continuationSeparator" w:id="1">
    <w:p w:rsidR="00763603" w:rsidRPr="000F59B9" w14:paraId="20DB0097" w14:textId="77777777">
      <w:r w:rsidRPr="000F59B9">
        <w:continuationSeparator/>
      </w:r>
    </w:p>
  </w:footnote>
  <w:footnote w:id="2">
    <w:p w:rsidR="006F061B" w:rsidRPr="00AE2AA1" w14:paraId="3784EC58" w14:textId="52F85023">
      <w:pPr>
        <w:pStyle w:val="FootnoteText"/>
        <w:rPr>
          <w:sz w:val="24"/>
          <w:szCs w:val="24"/>
          <w:lang w:val="mt-MT"/>
        </w:rPr>
      </w:pPr>
      <w:r w:rsidRPr="00AE2AA1">
        <w:rPr>
          <w:rStyle w:val="FootnoteReference"/>
          <w:sz w:val="24"/>
          <w:szCs w:val="24"/>
        </w:rPr>
        <w:footnoteRef/>
      </w:r>
      <w:r w:rsidRPr="00AE2AA1">
        <w:rPr>
          <w:sz w:val="24"/>
          <w:szCs w:val="24"/>
          <w:lang w:val="it-IT"/>
        </w:rPr>
        <w:t xml:space="preserve"> </w:t>
      </w:r>
      <w:r w:rsidRPr="00AE2AA1" w:rsidR="007C24AB">
        <w:rPr>
          <w:sz w:val="24"/>
          <w:szCs w:val="24"/>
          <w:lang w:val="it-IT"/>
        </w:rPr>
        <w:tab/>
      </w:r>
      <w:r w:rsidRPr="007C24AB" w:rsidR="007C24AB">
        <w:rPr>
          <w:sz w:val="24"/>
          <w:szCs w:val="24"/>
          <w:lang w:val="mt-MT"/>
        </w:rPr>
        <w:t>Din il-pożizzjoni tissostitwixxi l-emendi adottati fis-26 ta</w:t>
      </w:r>
      <w:r w:rsidR="007C24AB">
        <w:rPr>
          <w:sz w:val="24"/>
          <w:szCs w:val="24"/>
          <w:lang w:val="mt-MT"/>
        </w:rPr>
        <w:t>’ Marzu</w:t>
      </w:r>
      <w:r w:rsidRPr="007C24AB" w:rsidR="007C24AB">
        <w:rPr>
          <w:sz w:val="24"/>
          <w:szCs w:val="24"/>
          <w:lang w:val="mt-MT"/>
        </w:rPr>
        <w:t xml:space="preserve"> </w:t>
      </w:r>
      <w:r w:rsidR="007C24AB">
        <w:rPr>
          <w:sz w:val="24"/>
          <w:szCs w:val="24"/>
          <w:lang w:val="mt-MT"/>
        </w:rPr>
        <w:t xml:space="preserve">2026 </w:t>
      </w:r>
      <w:r w:rsidRPr="00AE2AA1" w:rsidR="007C24AB">
        <w:rPr>
          <w:sz w:val="24"/>
          <w:szCs w:val="24"/>
          <w:lang w:val="it-IT"/>
        </w:rPr>
        <w:t>(Testi adottati, P10_TA(2026)0096).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5CF312A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16AA62C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0F59B9" w14:paraId="749CB45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>
    <w:nsid w:val="093C6E60"/>
    <w:multiLevelType w:val="multilevel"/>
    <w:tmpl w:val="4DAC1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1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4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7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8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9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1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4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6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8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9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3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5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6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7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8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818181837">
    <w:abstractNumId w:val="1"/>
  </w:num>
  <w:num w:numId="2" w16cid:durableId="1925451538">
    <w:abstractNumId w:val="14"/>
  </w:num>
  <w:num w:numId="3" w16cid:durableId="1371224461">
    <w:abstractNumId w:val="5"/>
  </w:num>
  <w:num w:numId="4" w16cid:durableId="1583297739">
    <w:abstractNumId w:val="20"/>
  </w:num>
  <w:num w:numId="5" w16cid:durableId="493028266">
    <w:abstractNumId w:val="25"/>
  </w:num>
  <w:num w:numId="6" w16cid:durableId="19748251">
    <w:abstractNumId w:val="23"/>
  </w:num>
  <w:num w:numId="7" w16cid:durableId="194975596">
    <w:abstractNumId w:val="37"/>
  </w:num>
  <w:num w:numId="8" w16cid:durableId="2051998500">
    <w:abstractNumId w:val="16"/>
  </w:num>
  <w:num w:numId="9" w16cid:durableId="920985168">
    <w:abstractNumId w:val="17"/>
  </w:num>
  <w:num w:numId="10" w16cid:durableId="859395038">
    <w:abstractNumId w:val="18"/>
  </w:num>
  <w:num w:numId="11" w16cid:durableId="1884709445">
    <w:abstractNumId w:val="21"/>
  </w:num>
  <w:num w:numId="12" w16cid:durableId="907809623">
    <w:abstractNumId w:val="8"/>
  </w:num>
  <w:num w:numId="13" w16cid:durableId="1276255905">
    <w:abstractNumId w:val="38"/>
  </w:num>
  <w:num w:numId="14" w16cid:durableId="641539383">
    <w:abstractNumId w:val="13"/>
  </w:num>
  <w:num w:numId="15" w16cid:durableId="1463424940">
    <w:abstractNumId w:val="3"/>
  </w:num>
  <w:num w:numId="16" w16cid:durableId="1445808034">
    <w:abstractNumId w:val="2"/>
  </w:num>
  <w:num w:numId="17" w16cid:durableId="1852645536">
    <w:abstractNumId w:val="32"/>
  </w:num>
  <w:num w:numId="18" w16cid:durableId="850142578">
    <w:abstractNumId w:val="29"/>
  </w:num>
  <w:num w:numId="19" w16cid:durableId="9839530">
    <w:abstractNumId w:val="26"/>
  </w:num>
  <w:num w:numId="20" w16cid:durableId="1073358758">
    <w:abstractNumId w:val="35"/>
  </w:num>
  <w:num w:numId="21" w16cid:durableId="1326860946">
    <w:abstractNumId w:val="34"/>
  </w:num>
  <w:num w:numId="22" w16cid:durableId="1663196454">
    <w:abstractNumId w:val="36"/>
  </w:num>
  <w:num w:numId="23" w16cid:durableId="808937615">
    <w:abstractNumId w:val="4"/>
  </w:num>
  <w:num w:numId="24" w16cid:durableId="2081444089">
    <w:abstractNumId w:val="0"/>
  </w:num>
  <w:num w:numId="25" w16cid:durableId="1959028369">
    <w:abstractNumId w:val="27"/>
  </w:num>
  <w:num w:numId="26" w16cid:durableId="101075239">
    <w:abstractNumId w:val="10"/>
  </w:num>
  <w:num w:numId="27" w16cid:durableId="915165539">
    <w:abstractNumId w:val="22"/>
  </w:num>
  <w:num w:numId="28" w16cid:durableId="1645423628">
    <w:abstractNumId w:val="19"/>
  </w:num>
  <w:num w:numId="29" w16cid:durableId="1242254423">
    <w:abstractNumId w:val="30"/>
  </w:num>
  <w:num w:numId="30" w16cid:durableId="1728601495">
    <w:abstractNumId w:val="28"/>
  </w:num>
  <w:num w:numId="31" w16cid:durableId="1488982261">
    <w:abstractNumId w:val="31"/>
  </w:num>
  <w:num w:numId="32" w16cid:durableId="2088913894">
    <w:abstractNumId w:val="33"/>
  </w:num>
  <w:num w:numId="33" w16cid:durableId="1116758765">
    <w:abstractNumId w:val="6"/>
  </w:num>
  <w:num w:numId="34" w16cid:durableId="69424827">
    <w:abstractNumId w:val="12"/>
  </w:num>
  <w:num w:numId="35" w16cid:durableId="1810051900">
    <w:abstractNumId w:val="7"/>
  </w:num>
  <w:num w:numId="36" w16cid:durableId="1912344157">
    <w:abstractNumId w:val="15"/>
  </w:num>
  <w:num w:numId="37" w16cid:durableId="2058893004">
    <w:abstractNumId w:val="11"/>
  </w:num>
  <w:num w:numId="38" w16cid:durableId="1127313667">
    <w:abstractNumId w:val="24"/>
  </w:num>
  <w:num w:numId="39" w16cid:durableId="1994943237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03"/>
    <w:rsid w:val="00002272"/>
    <w:rsid w:val="00064002"/>
    <w:rsid w:val="000677B9"/>
    <w:rsid w:val="000831BA"/>
    <w:rsid w:val="000A42CC"/>
    <w:rsid w:val="000E7DD9"/>
    <w:rsid w:val="000F59B9"/>
    <w:rsid w:val="0010095E"/>
    <w:rsid w:val="00125B37"/>
    <w:rsid w:val="00131825"/>
    <w:rsid w:val="00187494"/>
    <w:rsid w:val="001F32AE"/>
    <w:rsid w:val="002767FF"/>
    <w:rsid w:val="002800C0"/>
    <w:rsid w:val="0029750F"/>
    <w:rsid w:val="002B18FE"/>
    <w:rsid w:val="002B5493"/>
    <w:rsid w:val="002C5202"/>
    <w:rsid w:val="00343214"/>
    <w:rsid w:val="00361C00"/>
    <w:rsid w:val="00365D80"/>
    <w:rsid w:val="00395FA1"/>
    <w:rsid w:val="003E15D4"/>
    <w:rsid w:val="00411CCE"/>
    <w:rsid w:val="0041666E"/>
    <w:rsid w:val="00421060"/>
    <w:rsid w:val="00441974"/>
    <w:rsid w:val="00442CDC"/>
    <w:rsid w:val="00471C19"/>
    <w:rsid w:val="004867E3"/>
    <w:rsid w:val="00494A28"/>
    <w:rsid w:val="004C0004"/>
    <w:rsid w:val="004C0C03"/>
    <w:rsid w:val="004C5D52"/>
    <w:rsid w:val="0050178C"/>
    <w:rsid w:val="0050519A"/>
    <w:rsid w:val="005072A1"/>
    <w:rsid w:val="00514517"/>
    <w:rsid w:val="00545827"/>
    <w:rsid w:val="00560270"/>
    <w:rsid w:val="005770AB"/>
    <w:rsid w:val="005A291C"/>
    <w:rsid w:val="005C2568"/>
    <w:rsid w:val="005F1B17"/>
    <w:rsid w:val="006037C0"/>
    <w:rsid w:val="006631B6"/>
    <w:rsid w:val="0066429B"/>
    <w:rsid w:val="00680577"/>
    <w:rsid w:val="006C7FB7"/>
    <w:rsid w:val="006F061B"/>
    <w:rsid w:val="006F74FA"/>
    <w:rsid w:val="00731ADD"/>
    <w:rsid w:val="00734777"/>
    <w:rsid w:val="00747932"/>
    <w:rsid w:val="00751A4A"/>
    <w:rsid w:val="00756632"/>
    <w:rsid w:val="0076138F"/>
    <w:rsid w:val="00762C74"/>
    <w:rsid w:val="00763603"/>
    <w:rsid w:val="00786EC0"/>
    <w:rsid w:val="007C24AB"/>
    <w:rsid w:val="007C5499"/>
    <w:rsid w:val="007D1690"/>
    <w:rsid w:val="007E22AD"/>
    <w:rsid w:val="007F4BFD"/>
    <w:rsid w:val="00817416"/>
    <w:rsid w:val="00842779"/>
    <w:rsid w:val="00865F67"/>
    <w:rsid w:val="008703F1"/>
    <w:rsid w:val="00881A7B"/>
    <w:rsid w:val="008840E5"/>
    <w:rsid w:val="00887B3E"/>
    <w:rsid w:val="008C2AC6"/>
    <w:rsid w:val="008E2309"/>
    <w:rsid w:val="0090703D"/>
    <w:rsid w:val="00916536"/>
    <w:rsid w:val="00930C23"/>
    <w:rsid w:val="0093193B"/>
    <w:rsid w:val="009509D8"/>
    <w:rsid w:val="00950B64"/>
    <w:rsid w:val="00981893"/>
    <w:rsid w:val="00A1687D"/>
    <w:rsid w:val="00A244CC"/>
    <w:rsid w:val="00A43E52"/>
    <w:rsid w:val="00A4678D"/>
    <w:rsid w:val="00A778C7"/>
    <w:rsid w:val="00AB441E"/>
    <w:rsid w:val="00AB6293"/>
    <w:rsid w:val="00AE0928"/>
    <w:rsid w:val="00AE2AA1"/>
    <w:rsid w:val="00AF3B82"/>
    <w:rsid w:val="00B057C8"/>
    <w:rsid w:val="00B12E95"/>
    <w:rsid w:val="00B22876"/>
    <w:rsid w:val="00B22A79"/>
    <w:rsid w:val="00B558F0"/>
    <w:rsid w:val="00B73212"/>
    <w:rsid w:val="00B756DB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17D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62F2"/>
    <w:rsid w:val="00FB4360"/>
    <w:rsid w:val="00FD0C70"/>
    <w:rsid w:val="00FD3F5D"/>
  </w:rsids>
  <w:docVars>
    <w:docVar w:name="dvdocse" w:val="A10-0069/2026"/>
    <w:docVar w:name="dvlangue" w:val="MT"/>
    <w:docVar w:name="dvnumam" w:val="72"/>
    <w:docVar w:name="dvpe" w:val="779.297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dwar l-aġġustament tad-dazji doganali fuq l-importazzjoni ta’ ċerti oġġetti li joriġinaw mill-Istati Uniti tal-Amerka u l-ftuħ ta’ kwoti tariffarji għall-importazzjonijiet ta’ ċerti oġġetti li joriġinaw mill-Istati Uniti tal-Amerka(COM(2025)0471 – C10-0193/2025 – 2025/0261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B8CDB6"/>
  <w15:chartTrackingRefBased/>
  <w15:docId w15:val="{E157AEFA-3470-474A-AAE5-D93F9EC7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B73212"/>
    <w:pPr>
      <w:spacing w:after="120"/>
    </w:pPr>
  </w:style>
  <w:style w:type="paragraph" w:customStyle="1" w:styleId="PageHeading">
    <w:name w:val="PageHeading"/>
    <w:basedOn w:val="Normal"/>
    <w:qFormat/>
    <w:rsid w:val="00B7321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73212"/>
    <w:rPr>
      <w:b/>
    </w:rPr>
  </w:style>
  <w:style w:type="paragraph" w:customStyle="1" w:styleId="NormalHanging12a">
    <w:name w:val="NormalHanging12a"/>
    <w:basedOn w:val="Normal"/>
    <w:rsid w:val="00B73212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B7321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7321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73212"/>
    <w:pPr>
      <w:spacing w:before="240"/>
    </w:pPr>
    <w:rPr>
      <w:b/>
    </w:rPr>
  </w:style>
  <w:style w:type="paragraph" w:customStyle="1" w:styleId="EPComma">
    <w:name w:val="EPComma"/>
    <w:basedOn w:val="Normal"/>
    <w:rsid w:val="00B73212"/>
    <w:pPr>
      <w:spacing w:before="480" w:after="240"/>
    </w:pPr>
  </w:style>
  <w:style w:type="character" w:customStyle="1" w:styleId="NormalBoldChar">
    <w:name w:val="NormalBold Char"/>
    <w:link w:val="NormalBold"/>
    <w:locked/>
    <w:rsid w:val="00B73212"/>
    <w:rPr>
      <w:b/>
      <w:sz w:val="24"/>
      <w:lang w:val="mt-MT"/>
    </w:rPr>
  </w:style>
  <w:style w:type="character" w:styleId="Hyperlink">
    <w:name w:val="Hyperlink"/>
    <w:basedOn w:val="DefaultParagraphFont"/>
    <w:uiPriority w:val="99"/>
    <w:rsid w:val="00B73212"/>
    <w:rPr>
      <w:color w:val="0563C1" w:themeColor="hyperlink"/>
      <w:u w:val="single"/>
    </w:rPr>
  </w:style>
  <w:style w:type="character" w:customStyle="1" w:styleId="Normal6Char">
    <w:name w:val="Normal6 Char"/>
    <w:link w:val="Normal6"/>
    <w:locked/>
    <w:rsid w:val="00B73212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B73212"/>
    <w:pPr>
      <w:spacing w:after="120"/>
    </w:pPr>
  </w:style>
  <w:style w:type="paragraph" w:customStyle="1" w:styleId="ColumnHeading">
    <w:name w:val="ColumnHeading"/>
    <w:basedOn w:val="Normal"/>
    <w:rsid w:val="00B73212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FA62F2"/>
    <w:rPr>
      <w:sz w:val="24"/>
      <w:lang w:val="mt-MT"/>
    </w:rPr>
  </w:style>
  <w:style w:type="paragraph" w:styleId="Header">
    <w:name w:val="header"/>
    <w:basedOn w:val="Normal"/>
    <w:link w:val="HeaderChar"/>
    <w:uiPriority w:val="99"/>
    <w:rsid w:val="007C2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4AB"/>
    <w:rPr>
      <w:sz w:val="24"/>
      <w:lang w:val="mt-MT"/>
    </w:rPr>
  </w:style>
  <w:style w:type="paragraph" w:customStyle="1" w:styleId="AmDocTypeTab">
    <w:name w:val="AmDocTypeTab"/>
    <w:basedOn w:val="Normal"/>
    <w:rsid w:val="007C24AB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7C24AB"/>
    <w:pPr>
      <w:spacing w:after="240"/>
    </w:pPr>
  </w:style>
  <w:style w:type="paragraph" w:customStyle="1" w:styleId="EPFooter2">
    <w:name w:val="EPFooter2"/>
    <w:basedOn w:val="Normal"/>
    <w:next w:val="Normal"/>
    <w:rsid w:val="007C24A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7C24AB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7C24AB"/>
    <w:pPr>
      <w:spacing w:after="240"/>
      <w:jc w:val="center"/>
    </w:pPr>
  </w:style>
  <w:style w:type="paragraph" w:customStyle="1" w:styleId="AmDateTab">
    <w:name w:val="AmDateTab"/>
    <w:basedOn w:val="Normal"/>
    <w:rsid w:val="007C24A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C24AB"/>
    <w:pPr>
      <w:spacing w:before="720" w:after="240"/>
      <w:jc w:val="center"/>
    </w:pPr>
  </w:style>
  <w:style w:type="paragraph" w:customStyle="1" w:styleId="EPFooter">
    <w:name w:val="EPFooter"/>
    <w:basedOn w:val="Normal"/>
    <w:rsid w:val="007C24A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7C24AB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7C2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4AB"/>
    <w:rPr>
      <w:sz w:val="24"/>
      <w:lang w:val="mt-MT"/>
    </w:rPr>
  </w:style>
  <w:style w:type="numbering" w:customStyle="1" w:styleId="NoList1">
    <w:name w:val="No List1"/>
    <w:next w:val="NoList"/>
    <w:uiPriority w:val="99"/>
    <w:semiHidden/>
    <w:unhideWhenUsed/>
    <w:rsid w:val="007C24AB"/>
  </w:style>
  <w:style w:type="character" w:customStyle="1" w:styleId="Heading1Char">
    <w:name w:val="Heading 1 Char"/>
    <w:basedOn w:val="DefaultParagraphFont"/>
    <w:link w:val="Heading1"/>
    <w:uiPriority w:val="9"/>
    <w:rsid w:val="007C24A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4A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4A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4A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4A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4AB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4AB"/>
    <w:rPr>
      <w:rFonts w:ascii="Arial" w:hAnsi="Arial"/>
      <w:sz w:val="24"/>
      <w:lang w:val="mt-MT"/>
    </w:rPr>
  </w:style>
  <w:style w:type="paragraph" w:styleId="TOC4">
    <w:name w:val="toc 4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C24A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C24A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C24A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C24A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C24A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7C24AB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7C24AB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C24AB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7C24A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C24A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C24A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C24A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C24A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C24A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C24A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C24A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C24A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C24A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C24AB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C24A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C24AB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C24A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C24A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C24A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C24A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C24A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C24A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C24A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C24A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C24A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C24A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C24AB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C24AB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C24AB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C24AB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C24AB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C24A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C24A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C24A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C24A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C24A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C24A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C24A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C24AB"/>
    <w:pPr>
      <w:widowControl/>
      <w:numPr>
        <w:numId w:val="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C24AB"/>
    <w:pPr>
      <w:widowControl/>
      <w:numPr>
        <w:numId w:val="4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C24AB"/>
    <w:pPr>
      <w:widowControl/>
      <w:numPr>
        <w:numId w:val="5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C24AB"/>
    <w:pPr>
      <w:widowControl/>
      <w:numPr>
        <w:numId w:val="6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C24AB"/>
    <w:pPr>
      <w:widowControl/>
      <w:numPr>
        <w:numId w:val="7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C24AB"/>
    <w:pPr>
      <w:widowControl/>
      <w:numPr>
        <w:numId w:val="8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C24AB"/>
    <w:pPr>
      <w:widowControl/>
      <w:numPr>
        <w:numId w:val="9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C24AB"/>
    <w:pPr>
      <w:widowControl/>
      <w:numPr>
        <w:numId w:val="10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C24AB"/>
    <w:pPr>
      <w:widowControl/>
      <w:numPr>
        <w:numId w:val="11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C24AB"/>
    <w:pPr>
      <w:widowControl/>
      <w:numPr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C24AB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C24AB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C24AB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C24AB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C24AB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C24AB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C24A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C24A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C24A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C24A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C24AB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C24A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C24AB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C24AB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C24AB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C24AB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C24AB"/>
    <w:pPr>
      <w:widowControl/>
      <w:numPr>
        <w:numId w:val="1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C24AB"/>
    <w:pPr>
      <w:widowControl/>
      <w:numPr>
        <w:ilvl w:val="2"/>
        <w:numId w:val="13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C24AB"/>
    <w:pPr>
      <w:widowControl/>
      <w:numPr>
        <w:ilvl w:val="4"/>
        <w:numId w:val="13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C24AB"/>
    <w:pPr>
      <w:widowControl/>
      <w:numPr>
        <w:ilvl w:val="6"/>
        <w:numId w:val="13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C24AB"/>
    <w:pPr>
      <w:widowControl/>
      <w:numPr>
        <w:ilvl w:val="1"/>
        <w:numId w:val="1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C24AB"/>
    <w:pPr>
      <w:widowControl/>
      <w:numPr>
        <w:ilvl w:val="3"/>
        <w:numId w:val="13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C24AB"/>
    <w:pPr>
      <w:widowControl/>
      <w:numPr>
        <w:ilvl w:val="5"/>
        <w:numId w:val="13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C24AB"/>
    <w:pPr>
      <w:widowControl/>
      <w:numPr>
        <w:ilvl w:val="7"/>
        <w:numId w:val="13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C24AB"/>
    <w:pPr>
      <w:widowControl/>
      <w:numPr>
        <w:ilvl w:val="8"/>
        <w:numId w:val="13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C24AB"/>
    <w:pPr>
      <w:widowControl/>
      <w:numPr>
        <w:numId w:val="14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C24AB"/>
    <w:pPr>
      <w:widowControl/>
      <w:numPr>
        <w:numId w:val="15"/>
      </w:numPr>
      <w:tabs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C24AB"/>
    <w:pPr>
      <w:widowControl/>
      <w:numPr>
        <w:numId w:val="16"/>
      </w:numPr>
      <w:tabs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C24AB"/>
    <w:pPr>
      <w:widowControl/>
      <w:numPr>
        <w:numId w:val="17"/>
      </w:numPr>
      <w:tabs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C24AB"/>
    <w:pPr>
      <w:widowControl/>
      <w:numPr>
        <w:numId w:val="18"/>
      </w:numPr>
      <w:tabs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C24AB"/>
    <w:pPr>
      <w:widowControl/>
      <w:numPr>
        <w:numId w:val="19"/>
      </w:numPr>
      <w:tabs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C24AB"/>
    <w:pPr>
      <w:widowControl/>
      <w:numPr>
        <w:numId w:val="20"/>
      </w:numPr>
      <w:tabs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C24AB"/>
    <w:pPr>
      <w:widowControl/>
      <w:numPr>
        <w:numId w:val="21"/>
      </w:numPr>
      <w:tabs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C24AB"/>
    <w:pPr>
      <w:widowControl/>
      <w:numPr>
        <w:numId w:val="22"/>
      </w:numPr>
      <w:tabs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C24A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C24A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C24AB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7C24AB"/>
    <w:pPr>
      <w:widowControl/>
      <w:numPr>
        <w:numId w:val="23"/>
      </w:numPr>
      <w:tabs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C24A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C24AB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C24AB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C24AB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C24AB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C24AB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C24AB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7C24A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C24AB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7C24AB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7C24A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C24A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C24A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C24A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C24A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C24A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C24A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C24A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C24A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C24A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C24A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C24A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C24A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C24AB"/>
    <w:pPr>
      <w:spacing w:before="240"/>
    </w:pPr>
  </w:style>
  <w:style w:type="paragraph" w:customStyle="1" w:styleId="Accordtitre">
    <w:name w:val="Accord titre"/>
    <w:basedOn w:val="Normal"/>
    <w:rsid w:val="007C24A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C24A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C24A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C24A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C24A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C24AB"/>
    <w:pPr>
      <w:spacing w:after="240"/>
    </w:pPr>
  </w:style>
  <w:style w:type="paragraph" w:customStyle="1" w:styleId="Annexetitre">
    <w:name w:val="Annexe titre"/>
    <w:basedOn w:val="Normal"/>
    <w:next w:val="Normal"/>
    <w:rsid w:val="007C24A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C24A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C24A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C24AB"/>
    <w:rPr>
      <w:rFonts w:eastAsia="Calibri"/>
      <w:lang w:val="mt-MT" w:eastAsia="en-US"/>
    </w:rPr>
  </w:style>
  <w:style w:type="character" w:styleId="EndnoteReference">
    <w:name w:val="endnote reference"/>
    <w:basedOn w:val="DefaultParagraphFont"/>
    <w:uiPriority w:val="99"/>
    <w:unhideWhenUsed/>
    <w:rsid w:val="007C24AB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C24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C24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C24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C24A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C24A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C24A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C24A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C24A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C24A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C24A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C24A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C24A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C24A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C24A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C24A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C24A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C24A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C24A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C24A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C24A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C24A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C24A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C24A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C24A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C24A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C24A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BEntRefer">
    <w:name w:val="TBEntRefer"/>
    <w:basedOn w:val="TechnicalBlockBase"/>
    <w:rsid w:val="007C24AB"/>
    <w:pPr>
      <w:widowControl/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EntLogo">
    <w:name w:val="TBEntLogo"/>
    <w:basedOn w:val="TechnicalBlockBase"/>
    <w:rsid w:val="007C24AB"/>
    <w:pPr>
      <w:widowControl/>
      <w:tabs>
        <w:tab w:val="right" w:pos="9639"/>
      </w:tabs>
      <w:spacing w:before="0" w:after="0" w:line="360" w:lineRule="auto"/>
      <w:ind w:left="0" w:right="0"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Genredudocument">
    <w:name w:val="TBGenredudocument"/>
    <w:basedOn w:val="TechnicalBlockBase"/>
    <w:rsid w:val="007C24AB"/>
    <w:pPr>
      <w:widowControl/>
      <w:spacing w:before="0" w:after="40" w:line="240" w:lineRule="auto"/>
      <w:ind w:left="0" w:right="0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customStyle="1" w:styleId="TBEntEU">
    <w:name w:val="TBEntEU"/>
    <w:basedOn w:val="TechnicalBlockBase"/>
    <w:link w:val="EntEUChar"/>
    <w:rsid w:val="007C24AB"/>
    <w:pPr>
      <w:widowControl/>
      <w:spacing w:before="240" w:after="24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36"/>
      <w:u w:val="none"/>
    </w:rPr>
  </w:style>
  <w:style w:type="paragraph" w:customStyle="1" w:styleId="TBSousEmbargo">
    <w:name w:val="TBSousEmbargo"/>
    <w:basedOn w:val="TechnicalBlockBase"/>
    <w:qFormat/>
    <w:rsid w:val="007C24AB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  <w:lang w:eastAsia="fr-BE"/>
    </w:rPr>
  </w:style>
  <w:style w:type="character" w:customStyle="1" w:styleId="EntEUChar">
    <w:name w:val="EntEU Char"/>
    <w:basedOn w:val="DefaultParagraphFont"/>
    <w:link w:val="TBEntEU"/>
    <w:rsid w:val="007C24AB"/>
    <w:rPr>
      <w:rFonts w:ascii="Arial" w:hAnsi="Arial" w:cs="Arial"/>
      <w:b/>
      <w:sz w:val="36"/>
      <w:szCs w:val="36"/>
      <w:u w:color="606060"/>
      <w:lang w:val="mt-MT" w:eastAsia="en-US"/>
    </w:rPr>
  </w:style>
  <w:style w:type="paragraph" w:customStyle="1" w:styleId="TBSubjectTable">
    <w:name w:val="TBSubjectTable"/>
    <w:basedOn w:val="TechnicalBlockBase"/>
    <w:rsid w:val="007C24A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7C24AB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7C24A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7C24AB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mt-MT" w:eastAsia="en-US"/>
    </w:rPr>
  </w:style>
  <w:style w:type="character" w:customStyle="1" w:styleId="TechnicalBlockBaseChar">
    <w:name w:val="TechnicalBlockBase Char"/>
    <w:basedOn w:val="EntEUChar"/>
    <w:link w:val="TechnicalBlockBase"/>
    <w:rsid w:val="007C24AB"/>
    <w:rPr>
      <w:rFonts w:ascii="Arial New Roman" w:hAnsi="Arial New Roman" w:cs="Arial"/>
      <w:b/>
      <w:i/>
      <w:dstrike/>
      <w:color w:val="606060"/>
      <w:w w:val="98"/>
      <w:sz w:val="10"/>
      <w:szCs w:val="36"/>
      <w:u w:val="words" w:color="606060"/>
      <w:lang w:val="mt-MT" w:eastAsia="en-US"/>
    </w:rPr>
  </w:style>
  <w:style w:type="paragraph" w:customStyle="1" w:styleId="HeaderCouncilLarge">
    <w:name w:val="Header Council Large"/>
    <w:basedOn w:val="Normal"/>
    <w:link w:val="HeaderCouncilLargeChar"/>
    <w:rsid w:val="007C24AB"/>
    <w:pPr>
      <w:widowControl/>
      <w:spacing w:after="440" w:line="360" w:lineRule="auto"/>
    </w:pPr>
    <w:rPr>
      <w:rFonts w:ascii="Arial" w:hAnsi="Arial" w:cs="Arial"/>
      <w:b/>
      <w:sz w:val="2"/>
      <w:szCs w:val="24"/>
      <w:u w:color="606060"/>
      <w:lang w:eastAsia="en-US"/>
    </w:rPr>
  </w:style>
  <w:style w:type="character" w:customStyle="1" w:styleId="HeaderCouncilLargeChar">
    <w:name w:val="Header Council Large Char"/>
    <w:basedOn w:val="EntEUChar"/>
    <w:link w:val="HeaderCouncilLarge"/>
    <w:rsid w:val="007C24AB"/>
    <w:rPr>
      <w:rFonts w:ascii="Arial" w:hAnsi="Arial" w:cs="Arial"/>
      <w:b/>
      <w:sz w:val="2"/>
      <w:szCs w:val="24"/>
      <w:u w:color="606060"/>
      <w:lang w:val="mt-MT" w:eastAsia="en-US"/>
    </w:rPr>
  </w:style>
  <w:style w:type="paragraph" w:customStyle="1" w:styleId="FooterText">
    <w:name w:val="Footer Text"/>
    <w:basedOn w:val="Normal"/>
    <w:rsid w:val="007C24AB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7C24AB"/>
    <w:rPr>
      <w:color w:val="808080"/>
    </w:rPr>
  </w:style>
  <w:style w:type="paragraph" w:customStyle="1" w:styleId="CommentQuotedText">
    <w:name w:val="CommentQuotedText"/>
    <w:rsid w:val="007C24A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7C24A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C24AB"/>
    <w:pPr>
      <w:pBdr>
        <w:top w:val="none" w:sz="0" w:space="0" w:color="auto"/>
        <w:left w:val="single" w:sz="4" w:space="20" w:color="auto"/>
      </w:pBdr>
    </w:pPr>
  </w:style>
  <w:style w:type="numbering" w:customStyle="1" w:styleId="NoList11">
    <w:name w:val="No List11"/>
    <w:next w:val="NoList"/>
    <w:uiPriority w:val="99"/>
    <w:semiHidden/>
    <w:unhideWhenUsed/>
    <w:rsid w:val="007C24AB"/>
  </w:style>
  <w:style w:type="paragraph" w:customStyle="1" w:styleId="Rfrenceinstitutionnelle">
    <w:name w:val="Référence institutionnelle"/>
    <w:basedOn w:val="Normal"/>
    <w:next w:val="Normal"/>
    <w:rsid w:val="007C24AB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Normal3a">
    <w:name w:val="Normal3a"/>
    <w:basedOn w:val="Normal"/>
    <w:rsid w:val="007C24AB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7C24AB"/>
    <w:pPr>
      <w:keepLines/>
      <w:spacing w:line="240" w:lineRule="exact"/>
      <w:ind w:left="850" w:hanging="850"/>
    </w:pPr>
    <w:rPr>
      <w:sz w:val="24"/>
      <w:lang w:val="mt-MT" w:eastAsia="en-US"/>
    </w:rPr>
  </w:style>
  <w:style w:type="character" w:customStyle="1" w:styleId="Footer2">
    <w:name w:val="Footer2"/>
    <w:rsid w:val="007C24AB"/>
    <w:rPr>
      <w:rFonts w:ascii="Arial" w:hAnsi="Arial"/>
      <w:b/>
      <w:sz w:val="48"/>
    </w:rPr>
  </w:style>
  <w:style w:type="paragraph" w:customStyle="1" w:styleId="Footer1">
    <w:name w:val="Footer1"/>
    <w:basedOn w:val="Normal"/>
    <w:rsid w:val="007C24AB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C24AB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7C24AB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TableText">
    <w:name w:val="Table Text"/>
    <w:basedOn w:val="Normal"/>
    <w:rsid w:val="007C24AB"/>
    <w:pPr>
      <w:widowControl/>
      <w:spacing w:before="60" w:after="60"/>
    </w:pPr>
    <w:rPr>
      <w:szCs w:val="24"/>
      <w:lang w:eastAsia="en-US"/>
    </w:rPr>
  </w:style>
  <w:style w:type="paragraph" w:customStyle="1" w:styleId="Normale">
    <w:name w:val="Normale"/>
    <w:rsid w:val="007C24AB"/>
    <w:pPr>
      <w:spacing w:before="120" w:after="120" w:line="360" w:lineRule="auto"/>
    </w:pPr>
    <w:rPr>
      <w:sz w:val="24"/>
      <w:lang w:val="mt-MT" w:eastAsia="en-US"/>
    </w:rPr>
  </w:style>
  <w:style w:type="character" w:customStyle="1" w:styleId="CMissingStyle">
    <w:name w:val="C_MissingStyle"/>
    <w:rsid w:val="007C24AB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7C24AB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eading2Char1">
    <w:name w:val="Heading 2 Char1"/>
    <w:basedOn w:val="DefaultParagraphFont"/>
    <w:semiHidden/>
    <w:rsid w:val="007C24AB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7C24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7C24AB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itreobjetPagedecouverture">
    <w:name w:val="Titre objet (Page de couverture)"/>
    <w:basedOn w:val="Titreobjet"/>
    <w:next w:val="IntrtEEEPagedecouverture"/>
    <w:rsid w:val="007C24AB"/>
    <w:pPr>
      <w:spacing w:line="240" w:lineRule="auto"/>
    </w:pPr>
  </w:style>
  <w:style w:type="paragraph" w:styleId="ListBullet4">
    <w:name w:val="List Bullet 4"/>
    <w:basedOn w:val="Normal"/>
    <w:rsid w:val="007C24AB"/>
    <w:pPr>
      <w:widowControl/>
      <w:numPr>
        <w:numId w:val="25"/>
      </w:numPr>
      <w:tabs>
        <w:tab w:val="num" w:pos="360"/>
        <w:tab w:val="clear" w:pos="1134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styleId="ListNumber">
    <w:name w:val="List Number"/>
    <w:basedOn w:val="Normal"/>
    <w:rsid w:val="007C24AB"/>
    <w:pPr>
      <w:widowControl/>
      <w:numPr>
        <w:numId w:val="29"/>
      </w:numPr>
      <w:tabs>
        <w:tab w:val="clear" w:pos="709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7C24AB"/>
    <w:pPr>
      <w:widowControl/>
      <w:numPr>
        <w:numId w:val="24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7C24AB"/>
    <w:pPr>
      <w:widowControl/>
      <w:numPr>
        <w:numId w:val="26"/>
      </w:numPr>
      <w:tabs>
        <w:tab w:val="clear" w:pos="283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7C24AB"/>
    <w:pPr>
      <w:widowControl/>
      <w:numPr>
        <w:numId w:val="27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7C24AB"/>
    <w:pPr>
      <w:widowControl/>
      <w:numPr>
        <w:numId w:val="28"/>
      </w:numPr>
      <w:tabs>
        <w:tab w:val="clear" w:pos="1134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7C24AB"/>
    <w:pPr>
      <w:widowControl/>
      <w:numPr>
        <w:ilvl w:val="1"/>
        <w:numId w:val="29"/>
      </w:numPr>
      <w:tabs>
        <w:tab w:val="clear" w:pos="1417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7C24AB"/>
    <w:pPr>
      <w:widowControl/>
      <w:numPr>
        <w:ilvl w:val="2"/>
        <w:numId w:val="29"/>
      </w:numPr>
      <w:tabs>
        <w:tab w:val="clear" w:pos="2126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7C24AB"/>
    <w:pPr>
      <w:widowControl/>
      <w:numPr>
        <w:ilvl w:val="3"/>
        <w:numId w:val="29"/>
      </w:numPr>
      <w:tabs>
        <w:tab w:val="clear" w:pos="2835"/>
      </w:tabs>
      <w:spacing w:before="120" w:after="120"/>
      <w:ind w:left="0" w:firstLine="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7C24AB"/>
    <w:pPr>
      <w:spacing w:before="120" w:after="120"/>
      <w:jc w:val="both"/>
    </w:pPr>
    <w:rPr>
      <w:lang w:val="mt-MT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7C24AB"/>
    <w:pPr>
      <w:widowControl/>
      <w:numPr>
        <w:numId w:val="30"/>
      </w:numPr>
      <w:tabs>
        <w:tab w:val="clear" w:pos="283"/>
      </w:tabs>
      <w:spacing w:before="120" w:after="120"/>
      <w:ind w:left="0" w:firstLine="0"/>
      <w:jc w:val="both"/>
    </w:pPr>
    <w:rPr>
      <w:szCs w:val="22"/>
    </w:rPr>
  </w:style>
  <w:style w:type="paragraph" w:styleId="ListBullet2">
    <w:name w:val="List Bullet 2"/>
    <w:basedOn w:val="Normal"/>
    <w:rsid w:val="007C24AB"/>
    <w:pPr>
      <w:widowControl/>
      <w:numPr>
        <w:numId w:val="31"/>
      </w:numPr>
      <w:tabs>
        <w:tab w:val="clear" w:pos="1134"/>
      </w:tabs>
      <w:spacing w:before="120" w:after="120"/>
      <w:ind w:left="0" w:firstLine="0"/>
      <w:jc w:val="both"/>
    </w:pPr>
    <w:rPr>
      <w:szCs w:val="22"/>
    </w:rPr>
  </w:style>
  <w:style w:type="paragraph" w:styleId="ListBullet3">
    <w:name w:val="List Bullet 3"/>
    <w:basedOn w:val="Normal"/>
    <w:rsid w:val="007C24AB"/>
    <w:pPr>
      <w:widowControl/>
      <w:numPr>
        <w:numId w:val="32"/>
      </w:numPr>
      <w:tabs>
        <w:tab w:val="clear" w:pos="1134"/>
      </w:tabs>
      <w:spacing w:before="120" w:after="120"/>
      <w:ind w:left="0" w:firstLine="0"/>
      <w:jc w:val="both"/>
    </w:pPr>
    <w:rPr>
      <w:szCs w:val="22"/>
    </w:rPr>
  </w:style>
  <w:style w:type="paragraph" w:styleId="ListNumber2">
    <w:name w:val="List Number 2"/>
    <w:basedOn w:val="Normal"/>
    <w:rsid w:val="007C24AB"/>
    <w:pPr>
      <w:widowControl/>
      <w:numPr>
        <w:numId w:val="36"/>
      </w:numPr>
      <w:tabs>
        <w:tab w:val="clear" w:pos="1560"/>
      </w:tabs>
      <w:spacing w:before="120" w:after="120"/>
      <w:ind w:left="0" w:firstLine="0"/>
      <w:jc w:val="both"/>
    </w:pPr>
    <w:rPr>
      <w:szCs w:val="22"/>
    </w:rPr>
  </w:style>
  <w:style w:type="paragraph" w:styleId="ListNumber3">
    <w:name w:val="List Number 3"/>
    <w:basedOn w:val="Normal"/>
    <w:rsid w:val="007C24AB"/>
    <w:pPr>
      <w:widowControl/>
      <w:numPr>
        <w:numId w:val="37"/>
      </w:numPr>
      <w:tabs>
        <w:tab w:val="clear" w:pos="1560"/>
      </w:tabs>
      <w:spacing w:before="120" w:after="120"/>
      <w:ind w:left="0" w:firstLine="0"/>
      <w:jc w:val="both"/>
    </w:pPr>
    <w:rPr>
      <w:szCs w:val="22"/>
    </w:rPr>
  </w:style>
  <w:style w:type="paragraph" w:styleId="ListNumber4">
    <w:name w:val="List Number 4"/>
    <w:basedOn w:val="Normal"/>
    <w:rsid w:val="007C24AB"/>
    <w:pPr>
      <w:widowControl/>
      <w:numPr>
        <w:numId w:val="38"/>
      </w:numPr>
      <w:tabs>
        <w:tab w:val="clear" w:pos="1560"/>
      </w:tabs>
      <w:spacing w:before="120" w:after="120"/>
      <w:ind w:left="0" w:firstLine="0"/>
      <w:jc w:val="both"/>
    </w:pPr>
    <w:rPr>
      <w:szCs w:val="22"/>
    </w:rPr>
  </w:style>
  <w:style w:type="paragraph" w:customStyle="1" w:styleId="ListDash3">
    <w:name w:val="List Dash 3"/>
    <w:basedOn w:val="Normal"/>
    <w:rsid w:val="007C24AB"/>
    <w:pPr>
      <w:widowControl/>
      <w:numPr>
        <w:numId w:val="33"/>
      </w:numPr>
      <w:tabs>
        <w:tab w:val="clear" w:pos="1134"/>
      </w:tabs>
      <w:spacing w:before="120" w:after="120"/>
      <w:ind w:left="0" w:firstLine="0"/>
      <w:jc w:val="both"/>
    </w:pPr>
    <w:rPr>
      <w:szCs w:val="22"/>
    </w:rPr>
  </w:style>
  <w:style w:type="paragraph" w:customStyle="1" w:styleId="ListDash4">
    <w:name w:val="List Dash 4"/>
    <w:basedOn w:val="Normal"/>
    <w:rsid w:val="007C24AB"/>
    <w:pPr>
      <w:widowControl/>
      <w:numPr>
        <w:numId w:val="34"/>
      </w:numPr>
      <w:tabs>
        <w:tab w:val="clear" w:pos="1134"/>
      </w:tabs>
      <w:spacing w:before="120" w:after="120"/>
      <w:ind w:left="0" w:firstLine="0"/>
      <w:jc w:val="both"/>
    </w:pPr>
    <w:rPr>
      <w:szCs w:val="22"/>
    </w:rPr>
  </w:style>
  <w:style w:type="paragraph" w:customStyle="1" w:styleId="ListNumber1">
    <w:name w:val="List Number 1"/>
    <w:basedOn w:val="Text1"/>
    <w:rsid w:val="007C24AB"/>
    <w:pPr>
      <w:numPr>
        <w:numId w:val="35"/>
      </w:numPr>
      <w:tabs>
        <w:tab w:val="clear" w:pos="1560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7C24AB"/>
    <w:pPr>
      <w:numPr>
        <w:ilvl w:val="1"/>
        <w:numId w:val="35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7C24AB"/>
    <w:pPr>
      <w:numPr>
        <w:ilvl w:val="1"/>
        <w:numId w:val="36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7C24AB"/>
    <w:pPr>
      <w:numPr>
        <w:ilvl w:val="1"/>
        <w:numId w:val="37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7C24AB"/>
    <w:pPr>
      <w:numPr>
        <w:ilvl w:val="1"/>
        <w:numId w:val="38"/>
      </w:numPr>
      <w:tabs>
        <w:tab w:val="clear" w:pos="2268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7C24AB"/>
    <w:pPr>
      <w:numPr>
        <w:ilvl w:val="2"/>
        <w:numId w:val="35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7C24AB"/>
    <w:pPr>
      <w:numPr>
        <w:ilvl w:val="2"/>
        <w:numId w:val="36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7C24AB"/>
    <w:pPr>
      <w:numPr>
        <w:ilvl w:val="2"/>
        <w:numId w:val="37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7C24AB"/>
    <w:pPr>
      <w:numPr>
        <w:ilvl w:val="2"/>
        <w:numId w:val="38"/>
      </w:numPr>
      <w:tabs>
        <w:tab w:val="clear" w:pos="2977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7C24AB"/>
    <w:pPr>
      <w:numPr>
        <w:ilvl w:val="3"/>
        <w:numId w:val="35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7C24AB"/>
    <w:pPr>
      <w:numPr>
        <w:ilvl w:val="3"/>
        <w:numId w:val="36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7C24AB"/>
    <w:pPr>
      <w:numPr>
        <w:ilvl w:val="3"/>
        <w:numId w:val="37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7C24AB"/>
    <w:pPr>
      <w:numPr>
        <w:ilvl w:val="3"/>
        <w:numId w:val="38"/>
      </w:numPr>
      <w:tabs>
        <w:tab w:val="clear" w:pos="3686"/>
      </w:tabs>
      <w:spacing w:line="240" w:lineRule="auto"/>
      <w:ind w:left="0" w:firstLine="0"/>
      <w:jc w:val="both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7C24AB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7C24AB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7C24AB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7C24AB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7C24AB"/>
    <w:pPr>
      <w:widowControl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7C24AB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7C24AB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7C24AB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7C24AB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7C24AB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7C24AB"/>
    <w:pPr>
      <w:widowControl/>
      <w:spacing w:before="120" w:after="120"/>
      <w:jc w:val="center"/>
    </w:pPr>
    <w:rPr>
      <w:b/>
      <w:szCs w:val="22"/>
      <w:u w:val="single"/>
    </w:rPr>
  </w:style>
  <w:style w:type="character" w:styleId="CommentReference">
    <w:name w:val="annotation reference"/>
    <w:rsid w:val="007C24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7C24AB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C24AB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C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24AB"/>
    <w:rPr>
      <w:b/>
      <w:bCs/>
      <w:lang w:val="mt-MT"/>
    </w:rPr>
  </w:style>
  <w:style w:type="paragraph" w:styleId="BalloonText">
    <w:name w:val="Balloon Text"/>
    <w:basedOn w:val="Normal"/>
    <w:link w:val="BalloonTextChar"/>
    <w:rsid w:val="007C24AB"/>
    <w:pPr>
      <w:widowControl/>
      <w:spacing w:before="120" w:after="12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4AB"/>
    <w:rPr>
      <w:rFonts w:ascii="Tahoma" w:hAnsi="Tahoma" w:cs="Tahoma"/>
      <w:sz w:val="16"/>
      <w:szCs w:val="16"/>
      <w:lang w:val="mt-MT"/>
    </w:rPr>
  </w:style>
  <w:style w:type="paragraph" w:styleId="Caption">
    <w:name w:val="caption"/>
    <w:basedOn w:val="Normal"/>
    <w:next w:val="Normal"/>
    <w:qFormat/>
    <w:rsid w:val="007C24AB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7C24AB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7C24AB"/>
    <w:rPr>
      <w:vanish/>
      <w:color w:val="800080"/>
      <w:vertAlign w:val="subscript"/>
    </w:rPr>
  </w:style>
  <w:style w:type="character" w:styleId="FollowedHyperlink">
    <w:name w:val="FollowedHyperlink"/>
    <w:rsid w:val="007C24AB"/>
    <w:rPr>
      <w:color w:val="800080"/>
      <w:u w:val="single"/>
    </w:rPr>
  </w:style>
  <w:style w:type="paragraph" w:customStyle="1" w:styleId="Sous-titreobjetPagedecouverture">
    <w:name w:val="Sous-titre objet (Page de couverture)"/>
    <w:basedOn w:val="Sous-titreobjet"/>
    <w:rsid w:val="007C24AB"/>
    <w:pPr>
      <w:spacing w:line="240" w:lineRule="auto"/>
    </w:pPr>
    <w:rPr>
      <w:rFonts w:eastAsia="Times New Roman"/>
      <w:lang w:eastAsia="en-GB"/>
    </w:rPr>
  </w:style>
  <w:style w:type="paragraph" w:customStyle="1" w:styleId="FooterCoverPage">
    <w:name w:val="Footer Cover Page"/>
    <w:basedOn w:val="Normal"/>
    <w:link w:val="FooterCoverPageChar"/>
    <w:rsid w:val="007C24AB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7C24AB"/>
    <w:rPr>
      <w:rFonts w:ascii="Times New Roman" w:hAnsi="Times New Roman" w:cs="Times New Roman"/>
      <w:b/>
      <w:sz w:val="28"/>
      <w:lang w:val="mt-MT"/>
    </w:rPr>
  </w:style>
  <w:style w:type="character" w:customStyle="1" w:styleId="FooterCoverPageChar">
    <w:name w:val="Footer Cover Page Char"/>
    <w:link w:val="FooterCoverPage"/>
    <w:rsid w:val="007C24AB"/>
    <w:rPr>
      <w:rFonts w:eastAsia="Calibri"/>
      <w:sz w:val="24"/>
      <w:szCs w:val="22"/>
      <w:lang w:val="mt-MT"/>
    </w:rPr>
  </w:style>
  <w:style w:type="paragraph" w:customStyle="1" w:styleId="HeaderCoverPage">
    <w:name w:val="Header Cover Page"/>
    <w:basedOn w:val="Normal"/>
    <w:link w:val="HeaderCoverPageChar"/>
    <w:rsid w:val="007C24AB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7C24AB"/>
    <w:rPr>
      <w:rFonts w:eastAsia="Calibri"/>
      <w:sz w:val="24"/>
      <w:szCs w:val="22"/>
      <w:lang w:val="mt-MT"/>
    </w:rPr>
  </w:style>
  <w:style w:type="character" w:customStyle="1" w:styleId="FooterSensitivityChar">
    <w:name w:val="Footer Sensitivity Char"/>
    <w:rsid w:val="007C24AB"/>
    <w:rPr>
      <w:rFonts w:ascii="Times New Roman" w:hAnsi="Times New Roman" w:cs="Times New Roman"/>
      <w:b/>
      <w:sz w:val="32"/>
      <w:lang w:val="mt-MT"/>
    </w:rPr>
  </w:style>
  <w:style w:type="character" w:customStyle="1" w:styleId="HeaderSensitivityChar">
    <w:name w:val="Header Sensitivity Char"/>
    <w:rsid w:val="007C24AB"/>
    <w:rPr>
      <w:rFonts w:ascii="Times New Roman" w:hAnsi="Times New Roman" w:cs="Times New Roman"/>
      <w:b/>
      <w:sz w:val="32"/>
      <w:lang w:val="mt-MT"/>
    </w:rPr>
  </w:style>
  <w:style w:type="character" w:customStyle="1" w:styleId="HeaderSensitivityRightChar">
    <w:name w:val="Header Sensitivity Right Char"/>
    <w:rsid w:val="007C24AB"/>
    <w:rPr>
      <w:rFonts w:ascii="Times New Roman" w:hAnsi="Times New Roman" w:cs="Times New Roman"/>
      <w:sz w:val="28"/>
      <w:lang w:val="mt-MT"/>
    </w:rPr>
  </w:style>
  <w:style w:type="paragraph" w:customStyle="1" w:styleId="LegalNumPar">
    <w:name w:val="LegalNumPar"/>
    <w:basedOn w:val="Normal"/>
    <w:rsid w:val="007C24AB"/>
    <w:pPr>
      <w:widowControl/>
      <w:numPr>
        <w:ilvl w:val="1"/>
        <w:numId w:val="39"/>
      </w:numPr>
      <w:spacing w:before="120" w:after="120" w:line="360" w:lineRule="auto"/>
      <w:ind w:left="0" w:firstLine="0"/>
      <w:jc w:val="both"/>
    </w:pPr>
    <w:rPr>
      <w:szCs w:val="22"/>
    </w:rPr>
  </w:style>
  <w:style w:type="paragraph" w:customStyle="1" w:styleId="LegalNumPar2">
    <w:name w:val="LegalNumPar2"/>
    <w:basedOn w:val="Normal"/>
    <w:rsid w:val="007C24AB"/>
    <w:pPr>
      <w:widowControl/>
      <w:spacing w:before="120" w:after="120" w:line="360" w:lineRule="auto"/>
      <w:ind w:left="953" w:hanging="477"/>
      <w:jc w:val="both"/>
    </w:pPr>
    <w:rPr>
      <w:szCs w:val="22"/>
    </w:rPr>
  </w:style>
  <w:style w:type="paragraph" w:customStyle="1" w:styleId="LegalNumPar3">
    <w:name w:val="LegalNumPar3"/>
    <w:basedOn w:val="Normal"/>
    <w:rsid w:val="007C24AB"/>
    <w:pPr>
      <w:widowControl/>
      <w:spacing w:before="120" w:after="120" w:line="360" w:lineRule="auto"/>
      <w:ind w:left="1429" w:hanging="476"/>
      <w:jc w:val="both"/>
    </w:pPr>
    <w:rPr>
      <w:szCs w:val="22"/>
    </w:rPr>
  </w:style>
  <w:style w:type="paragraph" w:styleId="ListParagraph">
    <w:name w:val="List Paragraph"/>
    <w:basedOn w:val="Normal"/>
    <w:uiPriority w:val="34"/>
    <w:qFormat/>
    <w:rsid w:val="007C24AB"/>
    <w:pPr>
      <w:widowControl/>
      <w:spacing w:before="120" w:after="120"/>
      <w:ind w:left="720"/>
      <w:contextualSpacing/>
      <w:jc w:val="both"/>
    </w:pPr>
    <w:rPr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4AB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7C24AB"/>
    <w:rPr>
      <w:b/>
      <w:bCs/>
    </w:rPr>
  </w:style>
  <w:style w:type="character" w:styleId="Emphasis">
    <w:name w:val="Emphasis"/>
    <w:basedOn w:val="DefaultParagraphFont"/>
    <w:qFormat/>
    <w:rsid w:val="007C24AB"/>
    <w:rPr>
      <w:i/>
      <w:iCs/>
    </w:rPr>
  </w:style>
  <w:style w:type="character" w:customStyle="1" w:styleId="Mention1">
    <w:name w:val="Mention1"/>
    <w:basedOn w:val="DefaultParagraphFont"/>
    <w:uiPriority w:val="99"/>
    <w:unhideWhenUsed/>
    <w:rsid w:val="007C24AB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7C24AB"/>
  </w:style>
  <w:style w:type="character" w:customStyle="1" w:styleId="eop">
    <w:name w:val="eop"/>
    <w:basedOn w:val="DefaultParagraphFont"/>
    <w:rsid w:val="007C24AB"/>
  </w:style>
  <w:style w:type="character" w:customStyle="1" w:styleId="Bodytext1">
    <w:name w:val="Body text|1_"/>
    <w:basedOn w:val="DefaultParagraphFont"/>
    <w:link w:val="Bodytext10"/>
    <w:locked/>
    <w:rsid w:val="007C24AB"/>
  </w:style>
  <w:style w:type="paragraph" w:customStyle="1" w:styleId="Bodytext10">
    <w:name w:val="Body text|1"/>
    <w:basedOn w:val="Normal"/>
    <w:link w:val="Bodytext1"/>
    <w:rsid w:val="007C24AB"/>
    <w:pPr>
      <w:spacing w:after="100"/>
    </w:pPr>
    <w:rPr>
      <w:sz w:val="20"/>
      <w:lang w:val="en-GB"/>
    </w:rPr>
  </w:style>
  <w:style w:type="paragraph" w:customStyle="1" w:styleId="oj-doc-ti">
    <w:name w:val="oj-doc-ti"/>
    <w:basedOn w:val="Normal"/>
    <w:rsid w:val="007C24AB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Sensitivity">
    <w:name w:val="Header Sensitivity"/>
    <w:basedOn w:val="Normal"/>
    <w:rsid w:val="007C24A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7C24AB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7C24A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7C24AB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7C24AB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C24AB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C24A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C24AB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7C24AB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7C24A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7C24AB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7C24A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7C24A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C24A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C24A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7C24AB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C24AB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C24AB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C24AB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C24A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C24A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C24AB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7C24A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C24A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C24AB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C24AB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7C24AB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7C24AB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C24A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IntrtEEEPagedecouverture"/>
    <w:rsid w:val="007C24AB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C24AB"/>
  </w:style>
  <w:style w:type="paragraph" w:customStyle="1" w:styleId="StatutPagedecouverture">
    <w:name w:val="Statut (Page de couverture)"/>
    <w:basedOn w:val="Statut"/>
    <w:next w:val="TypedudocumentPagedecouverture"/>
    <w:rsid w:val="007C24AB"/>
    <w:pPr>
      <w:spacing w:before="0" w:after="240" w:line="240" w:lineRule="auto"/>
    </w:pPr>
  </w:style>
  <w:style w:type="paragraph" w:customStyle="1" w:styleId="TypedudocumentPagedecouverture">
    <w:name w:val="Type du document (Page de couverture)"/>
    <w:basedOn w:val="Typedudocument"/>
    <w:next w:val="AccompagnantPagedecouverture"/>
    <w:rsid w:val="007C24AB"/>
    <w:pPr>
      <w:spacing w:after="180" w:line="240" w:lineRule="auto"/>
    </w:pPr>
  </w:style>
  <w:style w:type="paragraph" w:customStyle="1" w:styleId="Volume">
    <w:name w:val="Volume"/>
    <w:basedOn w:val="Normal"/>
    <w:next w:val="Confidentialit"/>
    <w:rsid w:val="007C24A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7C24AB"/>
    <w:pPr>
      <w:widowControl/>
      <w:spacing w:before="180" w:after="240"/>
      <w:jc w:val="center"/>
    </w:pPr>
    <w:rPr>
      <w:rFonts w:eastAsia="Calibr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C24AB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C24AB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7C24AB"/>
    <w:pPr>
      <w:spacing w:line="240" w:lineRule="auto"/>
    </w:pPr>
  </w:style>
  <w:style w:type="paragraph" w:customStyle="1" w:styleId="AccompagnantPagedecouverture">
    <w:name w:val="Accompagnant (Page de couverture)"/>
    <w:basedOn w:val="Accompagnant"/>
    <w:next w:val="TypeacteprincipalPagedecouverture"/>
    <w:rsid w:val="007C24A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C24AB"/>
  </w:style>
  <w:style w:type="paragraph" w:customStyle="1" w:styleId="ObjetacteprincipalPagedecouverture">
    <w:name w:val="Objet acte principal (Page de couverture)"/>
    <w:basedOn w:val="Objetacteprincipal"/>
    <w:next w:val="Rfrencecroise"/>
    <w:rsid w:val="007C24AB"/>
  </w:style>
  <w:style w:type="paragraph" w:customStyle="1" w:styleId="LanguesfaisantfoiPagedecouverture">
    <w:name w:val="Langues faisant foi (Page de couverture)"/>
    <w:basedOn w:val="Normal"/>
    <w:next w:val="Normal"/>
    <w:rsid w:val="007C24AB"/>
    <w:pPr>
      <w:widowControl/>
      <w:spacing w:before="360"/>
      <w:jc w:val="center"/>
    </w:pPr>
    <w:rPr>
      <w:rFonts w:eastAsia="Calibri"/>
      <w:szCs w:val="22"/>
      <w:lang w:eastAsia="en-US"/>
    </w:rPr>
  </w:style>
  <w:style w:type="character" w:customStyle="1" w:styleId="HeaderChar1">
    <w:name w:val="Header Char1"/>
    <w:basedOn w:val="DefaultParagraphFont"/>
    <w:rsid w:val="007C24AB"/>
    <w:rPr>
      <w:sz w:val="24"/>
      <w:szCs w:val="24"/>
    </w:rPr>
  </w:style>
  <w:style w:type="character" w:customStyle="1" w:styleId="FooterChar1">
    <w:name w:val="Footer Char1"/>
    <w:basedOn w:val="DefaultParagraphFont"/>
    <w:rsid w:val="007C24A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24AB"/>
    <w:rPr>
      <w:color w:val="605E5C"/>
      <w:shd w:val="clear" w:color="auto" w:fill="E1DFDD"/>
    </w:rPr>
  </w:style>
  <w:style w:type="paragraph" w:customStyle="1" w:styleId="TBEntInstit">
    <w:name w:val="TBEntInstit"/>
    <w:basedOn w:val="TechnicalBlockBase"/>
    <w:link w:val="EntInstitChar"/>
    <w:rsid w:val="007C24AB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szCs w:val="20"/>
      <w:u w:val="none"/>
      <w:lang w:eastAsia="fr-BE"/>
    </w:rPr>
  </w:style>
  <w:style w:type="paragraph" w:customStyle="1" w:styleId="TBEntReferNew">
    <w:name w:val="TBEntReferNew"/>
    <w:basedOn w:val="TechnicalBlockBase"/>
    <w:rsid w:val="007C24AB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</w:rPr>
  </w:style>
  <w:style w:type="paragraph" w:customStyle="1" w:styleId="TBInstitution">
    <w:name w:val="TBInstitution"/>
    <w:basedOn w:val="TechnicalBlockBase"/>
    <w:rsid w:val="007C24AB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  <w:lang w:eastAsia="fr-BE"/>
    </w:rPr>
  </w:style>
  <w:style w:type="paragraph" w:customStyle="1" w:styleId="TBNormalTechnicalBlock">
    <w:name w:val="TBNormalTechnicalBlock"/>
    <w:basedOn w:val="TechnicalBlockBase"/>
    <w:rsid w:val="007C24AB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  <w:lang w:eastAsia="fr-BE"/>
    </w:rPr>
  </w:style>
  <w:style w:type="paragraph" w:customStyle="1" w:styleId="TBInstitutionSubwordmark">
    <w:name w:val="TBInstitutionSubwordmark"/>
    <w:basedOn w:val="TechnicalBlockBase"/>
    <w:rsid w:val="007C24AB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szCs w:val="20"/>
      <w:u w:val="none"/>
      <w:lang w:eastAsia="fr-BE"/>
    </w:rPr>
  </w:style>
  <w:style w:type="character" w:customStyle="1" w:styleId="EntInstitChar">
    <w:name w:val="EntInstit Char"/>
    <w:basedOn w:val="DefaultParagraphFont"/>
    <w:link w:val="TBEntInstit"/>
    <w:rsid w:val="007C24AB"/>
    <w:rPr>
      <w:rFonts w:ascii="Arial" w:hAnsi="Arial" w:cs="Arial"/>
      <w:b/>
      <w:sz w:val="23"/>
      <w:u w:color="606060"/>
      <w:lang w:val="mt-MT" w:eastAsia="fr-BE"/>
    </w:rPr>
  </w:style>
  <w:style w:type="paragraph" w:customStyle="1" w:styleId="pj">
    <w:name w:val="p.j."/>
    <w:basedOn w:val="Normal"/>
    <w:link w:val="pjChar"/>
    <w:rsid w:val="007C24AB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7C24AB"/>
    <w:rPr>
      <w:rFonts w:eastAsia="Calibri"/>
      <w:sz w:val="24"/>
      <w:szCs w:val="22"/>
      <w:lang w:val="mt-MT" w:eastAsia="en-US"/>
    </w:rPr>
  </w:style>
  <w:style w:type="paragraph" w:customStyle="1" w:styleId="nbbordered">
    <w:name w:val="nb bordered"/>
    <w:basedOn w:val="Normal"/>
    <w:link w:val="nbborderedChar"/>
    <w:rsid w:val="007C24A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7C24AB"/>
    <w:rPr>
      <w:rFonts w:eastAsia="Calibri"/>
      <w:b/>
      <w:sz w:val="24"/>
      <w:szCs w:val="22"/>
      <w:lang w:val="mt-M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2026-09-01T09:39:00Z</dcterms:created>
  <dcterms:modified xsi:type="dcterms:W3CDTF">2026-09-01T09:39:00Z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P10_TA(2026)0196_</vt:lpwstr>
  </property>
  <property fmtid="{D5CDD505-2E9C-101B-9397-08002B2CF9AE}" pid="4" name="&lt;Type&gt;">
    <vt:lpwstr>RR</vt:lpwstr>
  </property>
</Properties>
</file>