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6CA1D77" w14:textId="77777777" w:rsidTr="0010095E">
        <w:tblPrEx>
          <w:tblW w:w="9072" w:type="dxa"/>
          <w:tblLook w:val="01E0"/>
        </w:tblPrEx>
        <w:trPr>
          <w:trHeight w:hRule="exact" w:val="1418"/>
        </w:trPr>
        <w:tc>
          <w:tcPr>
            <w:tcW w:w="6804" w:type="dxa"/>
            <w:shd w:val="clear" w:color="auto" w:fill="auto"/>
            <w:vAlign w:val="center"/>
          </w:tcPr>
          <w:p w:rsidR="00751A4A" w:rsidRPr="00BC0F53" w:rsidP="0010095E" w14:paraId="14E493D1" w14:textId="2E171AC2">
            <w:pPr>
              <w:pStyle w:val="EPName"/>
            </w:pPr>
            <w:r w:rsidRPr="00BC0F53">
              <w:t>Europäisches Parlament</w:t>
            </w:r>
          </w:p>
          <w:p w:rsidR="00751A4A" w:rsidRPr="00BC0F53" w:rsidP="005F1B17" w14:paraId="20076EA7" w14:textId="77777777">
            <w:pPr>
              <w:pStyle w:val="EPTerm"/>
              <w:rPr>
                <w:rStyle w:val="HideTWBExt"/>
                <w:noProof w:val="0"/>
                <w:vanish w:val="0"/>
                <w:color w:val="auto"/>
              </w:rPr>
            </w:pPr>
            <w:r w:rsidRPr="00BC0F53">
              <w:t>2024</w:t>
            </w:r>
            <w:r w:rsidRPr="00BC0F53" w:rsidR="00817416">
              <w:t>-202</w:t>
            </w:r>
            <w:r w:rsidRPr="00BC0F53">
              <w:t>9</w:t>
            </w:r>
          </w:p>
        </w:tc>
        <w:tc>
          <w:tcPr>
            <w:tcW w:w="2268" w:type="dxa"/>
            <w:shd w:val="clear" w:color="auto" w:fill="auto"/>
          </w:tcPr>
          <w:p w:rsidR="00751A4A" w:rsidRPr="00BC0F53" w:rsidP="0010095E" w14:paraId="582CB935" w14:textId="77777777">
            <w:pPr>
              <w:pStyle w:val="EPLogo"/>
            </w:pPr>
            <w:r w:rsidRPr="00BC0F53">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BC0F53" w:rsidP="004C5D52" w14:paraId="52D937B2" w14:textId="77777777">
      <w:pPr>
        <w:pStyle w:val="LineTop"/>
      </w:pPr>
    </w:p>
    <w:p w:rsidR="00680577" w:rsidRPr="00BC0F53" w:rsidP="00680577" w14:paraId="723A7CDB" w14:textId="551EAD34">
      <w:pPr>
        <w:pStyle w:val="EPBodyTA1"/>
      </w:pPr>
      <w:r w:rsidRPr="00BC0F53">
        <w:t>ANGENOMMENE TEXTE</w:t>
      </w:r>
    </w:p>
    <w:p w:rsidR="00D058B8" w:rsidRPr="00BC0F53" w:rsidP="00D058B8" w14:paraId="48D4CB8E" w14:textId="77777777">
      <w:pPr>
        <w:pStyle w:val="LineBottom"/>
      </w:pPr>
    </w:p>
    <w:p w:rsidR="001324EA" w:rsidRPr="00BC0F53" w:rsidP="001324EA" w14:paraId="24C81E2B" w14:textId="505E1392">
      <w:pPr>
        <w:pStyle w:val="ATHeading1"/>
      </w:pPr>
      <w:bookmarkStart w:id="0" w:name="TANumber"/>
      <w:r w:rsidRPr="00BC0F53">
        <w:t>P10_</w:t>
      </w:r>
      <w:r w:rsidRPr="00BC0F53">
        <w:t>TA(</w:t>
      </w:r>
      <w:r w:rsidRPr="00BC0F53">
        <w:t>2026)0</w:t>
      </w:r>
      <w:bookmarkEnd w:id="0"/>
      <w:r w:rsidRPr="00BC0F53" w:rsidR="00AE7BF7">
        <w:t>197</w:t>
      </w:r>
    </w:p>
    <w:p w:rsidR="001324EA" w:rsidRPr="00BC0F53" w:rsidP="001324EA" w14:paraId="1DB257D1" w14:textId="77777777">
      <w:pPr>
        <w:pStyle w:val="ATHeading2"/>
      </w:pPr>
      <w:bookmarkStart w:id="1" w:name="title"/>
      <w:r w:rsidRPr="00BC0F53">
        <w:t>Nichtanwendung von Zöllen auf die Einfuhren bestimmter Waren</w:t>
      </w:r>
      <w:bookmarkEnd w:id="1"/>
    </w:p>
    <w:p w:rsidR="001324EA" w:rsidRPr="00BC0F53" w:rsidP="001324EA" w14:paraId="2BD38CB6" w14:textId="77777777">
      <w:pPr>
        <w:rPr>
          <w:i/>
          <w:vanish/>
        </w:rPr>
      </w:pPr>
      <w:r>
        <w:rPr>
          <w:i/>
        </w:rPr>
        <w:fldChar w:fldCharType="begin"/>
      </w:r>
      <w:r w:rsidRPr="00BC0F53">
        <w:rPr>
          <w:i/>
        </w:rPr>
        <w:instrText xml:space="preserve"> TC"(</w:instrText>
      </w:r>
      <w:bookmarkStart w:id="2" w:name="DocNumber"/>
      <w:r w:rsidRPr="00BC0F53">
        <w:rPr>
          <w:i/>
        </w:rPr>
        <w:instrText>A10-0070/2026</w:instrText>
      </w:r>
      <w:bookmarkEnd w:id="2"/>
      <w:r w:rsidRPr="00BC0F53">
        <w:rPr>
          <w:i/>
        </w:rPr>
        <w:instrText xml:space="preserve"> - Berichterstatter: Bernd Lange)"\l3 \n&gt; \* MERGEFORMAT </w:instrText>
      </w:r>
      <w:r>
        <w:rPr>
          <w:i/>
        </w:rPr>
        <w:fldChar w:fldCharType="end"/>
      </w:r>
    </w:p>
    <w:p w:rsidR="001324EA" w:rsidRPr="00BC0F53" w:rsidP="001324EA" w14:paraId="6D595E6B" w14:textId="77777777">
      <w:pPr>
        <w:rPr>
          <w:vanish/>
        </w:rPr>
      </w:pPr>
      <w:bookmarkStart w:id="3" w:name="Commission"/>
      <w:r w:rsidRPr="00BC0F53">
        <w:rPr>
          <w:vanish/>
        </w:rPr>
        <w:t>Ausschuss für internationalen Handel</w:t>
      </w:r>
      <w:bookmarkEnd w:id="3"/>
    </w:p>
    <w:p w:rsidR="001324EA" w:rsidRPr="00BC0F53" w:rsidP="001324EA" w14:paraId="5B86BFDD" w14:textId="77777777">
      <w:pPr>
        <w:rPr>
          <w:vanish/>
        </w:rPr>
      </w:pPr>
      <w:bookmarkStart w:id="4" w:name="PE"/>
      <w:r w:rsidRPr="00BC0F53">
        <w:rPr>
          <w:vanish/>
        </w:rPr>
        <w:t>PE779.298</w:t>
      </w:r>
      <w:bookmarkEnd w:id="4"/>
    </w:p>
    <w:p w:rsidR="001324EA" w:rsidRPr="00BC0F53" w:rsidP="001324EA" w14:paraId="4594EACD" w14:textId="4421B762">
      <w:pPr>
        <w:pStyle w:val="ATHeading3"/>
      </w:pPr>
      <w:bookmarkStart w:id="5" w:name="Sujet"/>
      <w:r w:rsidRPr="00BC0F53">
        <w:t xml:space="preserve">Legislative Entschließung des Europäischen Parlaments vom </w:t>
      </w:r>
      <w:r w:rsidRPr="00BC0F53" w:rsidR="00173348">
        <w:t>16</w:t>
      </w:r>
      <w:r w:rsidRPr="00BC0F53">
        <w:t>. Juni 2026 zu dem Vorschlag für eine Verordnung des Europäischen Parlaments und des Rates über die Nichtanwendung von Zöllen auf die Einfuhren bestimmter Waren</w:t>
      </w:r>
      <w:bookmarkEnd w:id="5"/>
      <w:r w:rsidRPr="00BC0F53">
        <w:t xml:space="preserve"> </w:t>
      </w:r>
      <w:bookmarkStart w:id="6" w:name="References"/>
      <w:r w:rsidRPr="00BC0F53">
        <w:t>(</w:t>
      </w:r>
      <w:r w:rsidRPr="00BC0F53">
        <w:t>COM(</w:t>
      </w:r>
      <w:r w:rsidRPr="00BC0F53">
        <w:t>2025)0472 – C10-0192/2025 – 2025/0260(COD))</w:t>
      </w:r>
      <w:bookmarkEnd w:id="6"/>
    </w:p>
    <w:p w:rsidR="002428F1" w:rsidRPr="00BC0F53" w:rsidP="002428F1" w14:paraId="79237714" w14:textId="77777777">
      <w:pPr>
        <w:pStyle w:val="NormalBold"/>
      </w:pPr>
      <w:r w:rsidRPr="00BC0F53">
        <w:t>(Ordentliches Gesetzgebungsverfahren: erste Lesung)</w:t>
      </w:r>
    </w:p>
    <w:p w:rsidR="002428F1" w:rsidRPr="00BC0F53" w:rsidP="002428F1" w14:paraId="609C312D" w14:textId="77777777">
      <w:pPr>
        <w:pStyle w:val="EPComma"/>
      </w:pPr>
      <w:r w:rsidRPr="00BC0F53">
        <w:rPr>
          <w:i/>
          <w:iCs/>
        </w:rPr>
        <w:t>Das Europäische Parlament</w:t>
      </w:r>
      <w:r w:rsidRPr="00BC0F53">
        <w:t>,</w:t>
      </w:r>
    </w:p>
    <w:p w:rsidR="002428F1" w:rsidRPr="00BC0F53" w:rsidP="002428F1" w14:paraId="63176F60" w14:textId="77777777">
      <w:pPr>
        <w:pStyle w:val="NormalHanging12a"/>
      </w:pPr>
      <w:r w:rsidRPr="00BC0F53">
        <w:t>–</w:t>
      </w:r>
      <w:r w:rsidRPr="00BC0F53">
        <w:tab/>
        <w:t>unter Hinweis auf den Vorschlag der Kommission an das Europäische Parlament und den Rat (</w:t>
      </w:r>
      <w:r w:rsidRPr="00BC0F53">
        <w:t>COM(</w:t>
      </w:r>
      <w:r w:rsidRPr="00BC0F53">
        <w:t>2025)0472),</w:t>
      </w:r>
    </w:p>
    <w:p w:rsidR="002428F1" w:rsidRPr="00BC0F53" w:rsidP="002428F1" w14:paraId="1518A286" w14:textId="77777777">
      <w:pPr>
        <w:pStyle w:val="NormalHanging12a"/>
      </w:pPr>
      <w:r w:rsidRPr="00BC0F53">
        <w:t>–</w:t>
      </w:r>
      <w:r w:rsidRPr="00BC0F53">
        <w:tab/>
        <w:t>gestützt auf Artikel 294 Absatz 2 und Artikel 207 Absatz 2 des Vertrags über die Arbeitsweise der Europäischen Union, auf deren Grundlage ihm der Vorschlag der Kommission unterbreitet wurde (C10-0192/2025),</w:t>
      </w:r>
    </w:p>
    <w:p w:rsidR="002428F1" w:rsidRPr="00BC0F53" w:rsidP="002428F1" w14:paraId="6D1FB0B0" w14:textId="77777777">
      <w:pPr>
        <w:pStyle w:val="NormalHanging12a"/>
      </w:pPr>
      <w:r w:rsidRPr="00BC0F53">
        <w:t>–</w:t>
      </w:r>
      <w:r w:rsidRPr="00BC0F53">
        <w:tab/>
        <w:t>gestützt auf Artikel 294 Absatz 3 des Vertrags über die Arbeitsweise der Europäischen Union,</w:t>
      </w:r>
    </w:p>
    <w:p w:rsidR="002428F1" w:rsidRPr="00BC0F53" w:rsidP="002428F1" w14:paraId="73CA511C" w14:textId="77777777">
      <w:pPr>
        <w:pStyle w:val="NormalHanging12a"/>
      </w:pPr>
      <w:r w:rsidRPr="00BC0F53">
        <w:t>–</w:t>
      </w:r>
      <w:r w:rsidRPr="00BC0F53">
        <w:tab/>
        <w:t>unter Hinweis auf die haushaltspolitische Bewertung durch den Haushaltsausschuss,</w:t>
      </w:r>
    </w:p>
    <w:p w:rsidR="008A5C6A" w:rsidRPr="00BC0F53" w:rsidP="002428F1" w14:paraId="305958B7" w14:textId="77117D96">
      <w:pPr>
        <w:pStyle w:val="NormalHanging12a"/>
      </w:pPr>
      <w:r w:rsidRPr="00BC0F53">
        <w:t>–</w:t>
      </w:r>
      <w:r w:rsidRPr="00BC0F53">
        <w:tab/>
        <w:t xml:space="preserve">unter Hinweis auf die vorläufige Einigung, die gemäß Artikel 75 Absatz 4 seiner Geschäftsordnung vom zuständigen Ausschuss angenommen wurde, und auf die vom Vertreter des Rates mit Schreiben vom </w:t>
      </w:r>
      <w:r w:rsidRPr="00BC0F53" w:rsidR="00173348">
        <w:t>2</w:t>
      </w:r>
      <w:r w:rsidRPr="00BC0F53">
        <w:t>7. Mai 2026 gemachte Zusage, den Standpunkt des Europäischen Parlaments gemäß Artikel 294 Absatz 4 des Vertrags über die Arbeitsweise der Europäischen Union zu billigen,</w:t>
      </w:r>
    </w:p>
    <w:p w:rsidR="002428F1" w:rsidRPr="00BC0F53" w:rsidP="002428F1" w14:paraId="3396A512" w14:textId="51F7FAFB">
      <w:pPr>
        <w:pStyle w:val="NormalHanging12a"/>
      </w:pPr>
      <w:r w:rsidRPr="00BC0F53">
        <w:t>–</w:t>
      </w:r>
      <w:r w:rsidRPr="00BC0F53">
        <w:tab/>
        <w:t xml:space="preserve">gestützt auf </w:t>
      </w:r>
      <w:r w:rsidRPr="00BC0F53" w:rsidR="008A5C6A">
        <w:t xml:space="preserve">die </w:t>
      </w:r>
      <w:r w:rsidRPr="00BC0F53">
        <w:t xml:space="preserve">Artikel 60 </w:t>
      </w:r>
      <w:r w:rsidRPr="00BC0F53" w:rsidR="008A5C6A">
        <w:t xml:space="preserve">und 58 </w:t>
      </w:r>
      <w:r w:rsidRPr="00BC0F53">
        <w:t>seiner Geschäftsordnung,</w:t>
      </w:r>
    </w:p>
    <w:p w:rsidR="002428F1" w:rsidRPr="00BC0F53" w:rsidP="002428F1" w14:paraId="35476DCB" w14:textId="77777777">
      <w:pPr>
        <w:pStyle w:val="NormalHanging12a"/>
      </w:pPr>
      <w:r w:rsidRPr="00BC0F53">
        <w:t>–</w:t>
      </w:r>
      <w:r w:rsidRPr="00BC0F53">
        <w:tab/>
        <w:t>unter Hinweis auf den Bericht des Ausschusses für internationalen Handel (A10-0070/2026),</w:t>
      </w:r>
    </w:p>
    <w:p w:rsidR="002428F1" w:rsidRPr="00BC0F53" w:rsidP="002428F1" w14:paraId="104BDED0" w14:textId="4763E3A0">
      <w:pPr>
        <w:pStyle w:val="NormalHanging12a"/>
      </w:pPr>
      <w:r w:rsidRPr="00BC0F53">
        <w:t>1.</w:t>
      </w:r>
      <w:r w:rsidRPr="00BC0F53">
        <w:tab/>
        <w:t>legt den folgenden Standpunkt in erster Lesung fest</w:t>
      </w:r>
      <w:r>
        <w:rPr>
          <w:rStyle w:val="FootnoteReference"/>
        </w:rPr>
        <w:footnoteReference w:id="2"/>
      </w:r>
      <w:r w:rsidRPr="00BC0F53">
        <w:t>;</w:t>
      </w:r>
    </w:p>
    <w:p w:rsidR="002428F1" w:rsidRPr="00BC0F53" w:rsidP="002428F1" w14:paraId="49AF91C7" w14:textId="77777777">
      <w:pPr>
        <w:pStyle w:val="NormalHanging12a"/>
      </w:pPr>
      <w:r w:rsidRPr="00BC0F53">
        <w:t>2.</w:t>
      </w:r>
      <w:r w:rsidRPr="00BC0F53">
        <w:tab/>
        <w:t>fordert die Kommission auf, es erneut zu befassen, falls sie ihren Vorschlag ersetzt, entscheidend ändert oder beabsichtigt, ihn entscheidend zu ändern;</w:t>
      </w:r>
    </w:p>
    <w:p w:rsidR="008A5C6A" w:rsidRPr="00BC0F53" w:rsidP="008A5C6A" w14:paraId="2BD15E16" w14:textId="77777777">
      <w:pPr>
        <w:pStyle w:val="NormalHanging12a"/>
        <w:sectPr w:rsidSect="0054198B">
          <w:footnotePr>
            <w:numRestart w:val="eachSect"/>
          </w:footnotePr>
          <w:endnotePr>
            <w:numFmt w:val="decimal"/>
          </w:endnotePr>
          <w:pgSz w:w="11906" w:h="16838" w:code="9"/>
          <w:pgMar w:top="1134" w:right="1418" w:bottom="1418" w:left="1418" w:header="1134" w:footer="567" w:gutter="0"/>
          <w:cols w:space="720"/>
          <w:noEndnote/>
          <w:docGrid w:linePitch="326"/>
        </w:sectPr>
      </w:pPr>
      <w:r w:rsidRPr="00BC0F53">
        <w:t>3.</w:t>
      </w:r>
      <w:r w:rsidRPr="00BC0F53">
        <w:tab/>
        <w:t>beauftragt seine Präsidentin, den Standpunkt des Parlaments dem Rat und der Kommission sowie den nationalen Parlamenten zu übermitteln.</w:t>
      </w:r>
    </w:p>
    <w:p w:rsidR="008A5C6A" w:rsidRPr="00BC0F53" w:rsidP="008A5C6A" w14:paraId="0C6220F4" w14:textId="77777777">
      <w:pPr>
        <w:autoSpaceDE w:val="0"/>
        <w:autoSpaceDN w:val="0"/>
        <w:adjustRightInd w:val="0"/>
        <w:spacing w:after="240"/>
        <w:rPr>
          <w:rFonts w:eastAsia="Calibri"/>
          <w:b/>
          <w:bCs/>
          <w:color w:val="000000"/>
          <w:szCs w:val="24"/>
        </w:rPr>
      </w:pPr>
      <w:r w:rsidRPr="00BC0F53">
        <w:rPr>
          <w:rFonts w:eastAsia="Calibri"/>
          <w:b/>
          <w:bCs/>
          <w:color w:val="000000"/>
          <w:szCs w:val="24"/>
        </w:rPr>
        <w:t>P10_TC1-</w:t>
      </w:r>
      <w:r w:rsidRPr="00BC0F53">
        <w:rPr>
          <w:rFonts w:eastAsia="Calibri"/>
          <w:b/>
          <w:bCs/>
          <w:color w:val="000000"/>
          <w:szCs w:val="24"/>
        </w:rPr>
        <w:t>COD(</w:t>
      </w:r>
      <w:r w:rsidRPr="00BC0F53">
        <w:rPr>
          <w:rFonts w:eastAsia="Calibri"/>
          <w:b/>
          <w:bCs/>
          <w:color w:val="000000"/>
          <w:szCs w:val="24"/>
        </w:rPr>
        <w:t>2025)0260</w:t>
      </w:r>
    </w:p>
    <w:p w:rsidR="008A5C6A" w:rsidP="008A5C6A" w14:paraId="3675AEC7" w14:textId="27B0DCB2">
      <w:pPr>
        <w:pStyle w:val="NormalHanging12a"/>
        <w:ind w:left="0" w:firstLine="0"/>
        <w:rPr>
          <w:b/>
          <w:bCs/>
        </w:rPr>
      </w:pPr>
      <w:r w:rsidRPr="00BC0F53">
        <w:rPr>
          <w:b/>
          <w:bCs/>
        </w:rPr>
        <w:t>Standpunkt des Europäischen Parlaments festgelegt in erster Lesung am 16. Juni 2026 im Hinblick auf den Erlass der Verordnung (EU) 2026/... des Europäischen Parlaments und des Rates über die Nichtanwendung von Zöllen auf die Einfuhren bestimmter Waren</w:t>
      </w:r>
    </w:p>
    <w:p w:rsidR="008328DD" w:rsidRPr="00BC0F53" w:rsidP="008A5C6A" w14:paraId="29B0607F" w14:textId="1457C368">
      <w:pPr>
        <w:pStyle w:val="NormalHanging12a"/>
        <w:ind w:left="0" w:firstLine="0"/>
        <w:rPr>
          <w:b/>
          <w:bCs/>
        </w:rPr>
      </w:pPr>
      <w:r>
        <w:rPr>
          <w:rStyle w:val="normaltextrun"/>
          <w:i/>
          <w:iCs/>
          <w:color w:val="000000"/>
          <w:shd w:val="clear" w:color="auto" w:fill="FFFFFF"/>
        </w:rPr>
        <w:t xml:space="preserve">(Da Parlament und Rat eine Einigung erzielt haben, entspricht der Standpunkt des Parlaments dem endgültigen Rechtsakt, Verordnung </w:t>
      </w:r>
      <w:r>
        <w:rPr>
          <w:rStyle w:val="normaltextrun"/>
          <w:i/>
          <w:iCs/>
          <w:color w:val="000000"/>
          <w:shd w:val="clear" w:color="auto" w:fill="FFFFFF"/>
        </w:rPr>
        <w:t>(EU) 2026/1461</w:t>
      </w:r>
      <w:r>
        <w:rPr>
          <w:rStyle w:val="normaltextrun"/>
          <w:i/>
          <w:iCs/>
          <w:color w:val="000000"/>
          <w:shd w:val="clear" w:color="auto" w:fill="FFFFFF"/>
        </w:rPr>
        <w:t>.)</w:t>
      </w:r>
      <w:r>
        <w:rPr>
          <w:rStyle w:val="eop"/>
          <w:color w:val="000000"/>
          <w:shd w:val="clear" w:color="auto" w:fill="FFFFFF"/>
        </w:rPr>
        <w:t> </w:t>
      </w:r>
    </w:p>
    <w:sectPr w:rsidSect="008328DD">
      <w:footnotePr>
        <w:numRestart w:val="eachSect"/>
      </w:footnotePr>
      <w:pgSz w:w="11907" w:h="16840" w:code="9"/>
      <w:pgMar w:top="1134" w:right="1134" w:bottom="1134"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324EA" w:rsidRPr="0054198B" w14:paraId="26A691F4" w14:textId="77777777">
      <w:r w:rsidRPr="0054198B">
        <w:separator/>
      </w:r>
    </w:p>
  </w:footnote>
  <w:footnote w:type="continuationSeparator" w:id="1">
    <w:p w:rsidR="001324EA" w:rsidRPr="0054198B" w14:paraId="52BA9A52" w14:textId="77777777">
      <w:r w:rsidRPr="0054198B">
        <w:continuationSeparator/>
      </w:r>
    </w:p>
  </w:footnote>
  <w:footnote w:id="2">
    <w:p w:rsidR="008A5C6A" w:rsidRPr="00BC0F53" w:rsidP="00BC0F53" w14:paraId="5E2043FF" w14:textId="0F984CA5">
      <w:pPr>
        <w:pStyle w:val="FootnoteText"/>
        <w:ind w:left="567" w:hanging="567"/>
        <w:rPr>
          <w:szCs w:val="22"/>
          <w:lang w:val="de-DE"/>
        </w:rPr>
      </w:pPr>
      <w:r w:rsidRPr="008A5C6A">
        <w:rPr>
          <w:rStyle w:val="FootnoteReference"/>
          <w:szCs w:val="22"/>
        </w:rPr>
        <w:footnoteRef/>
      </w:r>
      <w:r w:rsidRPr="00BC0F53">
        <w:rPr>
          <w:szCs w:val="22"/>
          <w:lang w:val="de-DE"/>
        </w:rPr>
        <w:t xml:space="preserve"> </w:t>
      </w:r>
      <w:r w:rsidRPr="00BC0F53">
        <w:rPr>
          <w:sz w:val="24"/>
          <w:szCs w:val="24"/>
          <w:lang w:val="de-DE"/>
        </w:rPr>
        <w:tab/>
        <w:t>Dieser Standpunkt ersetzt die am 26. </w:t>
      </w:r>
      <w:r>
        <w:rPr>
          <w:sz w:val="24"/>
          <w:szCs w:val="24"/>
          <w:lang w:val="de-DE"/>
        </w:rPr>
        <w:t>März 2026</w:t>
      </w:r>
      <w:r w:rsidRPr="00BC0F53">
        <w:rPr>
          <w:sz w:val="24"/>
          <w:szCs w:val="24"/>
          <w:lang w:val="de-DE"/>
        </w:rPr>
        <w:t xml:space="preserve"> angenommenen Abänderungen (Angenommene Texte P10_</w:t>
      </w:r>
      <w:r w:rsidRPr="00BC0F53">
        <w:rPr>
          <w:sz w:val="24"/>
          <w:szCs w:val="24"/>
          <w:lang w:val="de-DE"/>
        </w:rPr>
        <w:t>TA(</w:t>
      </w:r>
      <w:r w:rsidRPr="00BC0F53">
        <w:rPr>
          <w:sz w:val="24"/>
          <w:szCs w:val="24"/>
          <w:lang w:val="de-DE"/>
        </w:rPr>
        <w:t>202</w:t>
      </w:r>
      <w:r>
        <w:rPr>
          <w:sz w:val="24"/>
          <w:szCs w:val="24"/>
          <w:lang w:val="de-DE"/>
        </w:rPr>
        <w:t>6</w:t>
      </w:r>
      <w:r w:rsidRPr="00BC0F53">
        <w:rPr>
          <w:sz w:val="24"/>
          <w:szCs w:val="24"/>
          <w:lang w:val="de-DE"/>
        </w:rPr>
        <w:t>)0</w:t>
      </w:r>
      <w:r>
        <w:rPr>
          <w:sz w:val="24"/>
          <w:szCs w:val="24"/>
          <w:lang w:val="de-DE"/>
        </w:rPr>
        <w:t>097</w:t>
      </w:r>
      <w:r w:rsidRPr="00BC0F53">
        <w:rPr>
          <w:sz w:val="24"/>
          <w:szCs w:val="24"/>
          <w:lang w:val="de-D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35733751">
    <w:abstractNumId w:val="9"/>
  </w:num>
  <w:num w:numId="2" w16cid:durableId="2048678705">
    <w:abstractNumId w:val="9"/>
  </w:num>
  <w:num w:numId="3" w16cid:durableId="460467216">
    <w:abstractNumId w:val="7"/>
  </w:num>
  <w:num w:numId="4" w16cid:durableId="1918511282">
    <w:abstractNumId w:val="7"/>
  </w:num>
  <w:num w:numId="5" w16cid:durableId="1351835211">
    <w:abstractNumId w:val="6"/>
  </w:num>
  <w:num w:numId="6" w16cid:durableId="352927548">
    <w:abstractNumId w:val="6"/>
  </w:num>
  <w:num w:numId="7" w16cid:durableId="124743400">
    <w:abstractNumId w:val="5"/>
  </w:num>
  <w:num w:numId="8" w16cid:durableId="1809740498">
    <w:abstractNumId w:val="5"/>
  </w:num>
  <w:num w:numId="9" w16cid:durableId="1963462343">
    <w:abstractNumId w:val="4"/>
  </w:num>
  <w:num w:numId="10" w16cid:durableId="938754174">
    <w:abstractNumId w:val="4"/>
  </w:num>
  <w:num w:numId="11" w16cid:durableId="2001349171">
    <w:abstractNumId w:val="8"/>
  </w:num>
  <w:num w:numId="12" w16cid:durableId="2080714207">
    <w:abstractNumId w:val="8"/>
  </w:num>
  <w:num w:numId="13" w16cid:durableId="1707559530">
    <w:abstractNumId w:val="3"/>
  </w:num>
  <w:num w:numId="14" w16cid:durableId="1418359968">
    <w:abstractNumId w:val="3"/>
  </w:num>
  <w:num w:numId="15" w16cid:durableId="1184713058">
    <w:abstractNumId w:val="2"/>
  </w:num>
  <w:num w:numId="16" w16cid:durableId="1594049843">
    <w:abstractNumId w:val="2"/>
  </w:num>
  <w:num w:numId="17" w16cid:durableId="1017197404">
    <w:abstractNumId w:val="1"/>
  </w:num>
  <w:num w:numId="18" w16cid:durableId="209148501">
    <w:abstractNumId w:val="1"/>
  </w:num>
  <w:num w:numId="19" w16cid:durableId="758676387">
    <w:abstractNumId w:val="0"/>
  </w:num>
  <w:num w:numId="20" w16cid:durableId="1372806870">
    <w:abstractNumId w:val="0"/>
  </w:num>
  <w:num w:numId="21" w16cid:durableId="2121879082">
    <w:abstractNumId w:val="9"/>
  </w:num>
  <w:num w:numId="22" w16cid:durableId="2095199104">
    <w:abstractNumId w:val="7"/>
  </w:num>
  <w:num w:numId="23" w16cid:durableId="77795113">
    <w:abstractNumId w:val="6"/>
  </w:num>
  <w:num w:numId="24" w16cid:durableId="1817720025">
    <w:abstractNumId w:val="5"/>
  </w:num>
  <w:num w:numId="25" w16cid:durableId="2126653571">
    <w:abstractNumId w:val="4"/>
  </w:num>
  <w:num w:numId="26" w16cid:durableId="1107240772">
    <w:abstractNumId w:val="8"/>
  </w:num>
  <w:num w:numId="27" w16cid:durableId="112360493">
    <w:abstractNumId w:val="3"/>
  </w:num>
  <w:num w:numId="28" w16cid:durableId="2004311713">
    <w:abstractNumId w:val="2"/>
  </w:num>
  <w:num w:numId="29" w16cid:durableId="53353486">
    <w:abstractNumId w:val="1"/>
  </w:num>
  <w:num w:numId="30" w16cid:durableId="1612468094">
    <w:abstractNumId w:val="0"/>
  </w:num>
  <w:num w:numId="31" w16cid:durableId="779959022">
    <w:abstractNumId w:val="9"/>
  </w:num>
  <w:num w:numId="32" w16cid:durableId="614560285">
    <w:abstractNumId w:val="7"/>
  </w:num>
  <w:num w:numId="33" w16cid:durableId="1868641843">
    <w:abstractNumId w:val="6"/>
  </w:num>
  <w:num w:numId="34" w16cid:durableId="1827210976">
    <w:abstractNumId w:val="5"/>
  </w:num>
  <w:num w:numId="35" w16cid:durableId="1348942527">
    <w:abstractNumId w:val="4"/>
  </w:num>
  <w:num w:numId="36" w16cid:durableId="1421172374">
    <w:abstractNumId w:val="8"/>
  </w:num>
  <w:num w:numId="37" w16cid:durableId="934900603">
    <w:abstractNumId w:val="3"/>
  </w:num>
  <w:num w:numId="38" w16cid:durableId="1903983052">
    <w:abstractNumId w:val="2"/>
  </w:num>
  <w:num w:numId="39" w16cid:durableId="1743914930">
    <w:abstractNumId w:val="1"/>
  </w:num>
  <w:num w:numId="40" w16cid:durableId="1560437815">
    <w:abstractNumId w:val="0"/>
  </w:num>
  <w:num w:numId="41" w16cid:durableId="1682856962">
    <w:abstractNumId w:val="10"/>
  </w:num>
  <w:num w:numId="42" w16cid:durableId="357396763">
    <w:abstractNumId w:val="10"/>
  </w:num>
  <w:num w:numId="43" w16cid:durableId="33700045">
    <w:abstractNumId w:val="10"/>
  </w:num>
  <w:num w:numId="44" w16cid:durableId="8685221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24EA"/>
    <w:rsid w:val="00002272"/>
    <w:rsid w:val="00064002"/>
    <w:rsid w:val="000677B9"/>
    <w:rsid w:val="000831BA"/>
    <w:rsid w:val="000A42CC"/>
    <w:rsid w:val="000E7DD9"/>
    <w:rsid w:val="0010095E"/>
    <w:rsid w:val="00125B37"/>
    <w:rsid w:val="001324EA"/>
    <w:rsid w:val="00173348"/>
    <w:rsid w:val="00187494"/>
    <w:rsid w:val="001F32AE"/>
    <w:rsid w:val="002428F1"/>
    <w:rsid w:val="002767FF"/>
    <w:rsid w:val="002B18FE"/>
    <w:rsid w:val="002B5493"/>
    <w:rsid w:val="00343214"/>
    <w:rsid w:val="00361C00"/>
    <w:rsid w:val="00395FA1"/>
    <w:rsid w:val="003E15D4"/>
    <w:rsid w:val="00410B97"/>
    <w:rsid w:val="00411CCE"/>
    <w:rsid w:val="0041666E"/>
    <w:rsid w:val="00421060"/>
    <w:rsid w:val="00471C19"/>
    <w:rsid w:val="004867E3"/>
    <w:rsid w:val="00494A28"/>
    <w:rsid w:val="004C0004"/>
    <w:rsid w:val="004C5D52"/>
    <w:rsid w:val="0050519A"/>
    <w:rsid w:val="005072A1"/>
    <w:rsid w:val="00514517"/>
    <w:rsid w:val="0054198B"/>
    <w:rsid w:val="00545827"/>
    <w:rsid w:val="00560270"/>
    <w:rsid w:val="005C2568"/>
    <w:rsid w:val="005F1B17"/>
    <w:rsid w:val="00602EEB"/>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328DD"/>
    <w:rsid w:val="00842779"/>
    <w:rsid w:val="00865F67"/>
    <w:rsid w:val="00881A7B"/>
    <w:rsid w:val="008840E5"/>
    <w:rsid w:val="00887B3E"/>
    <w:rsid w:val="008A5C6A"/>
    <w:rsid w:val="008C2AC6"/>
    <w:rsid w:val="00930C23"/>
    <w:rsid w:val="0093193B"/>
    <w:rsid w:val="009509D8"/>
    <w:rsid w:val="00950B64"/>
    <w:rsid w:val="00981893"/>
    <w:rsid w:val="00A1687D"/>
    <w:rsid w:val="00A43E52"/>
    <w:rsid w:val="00A4678D"/>
    <w:rsid w:val="00A778C7"/>
    <w:rsid w:val="00AB441E"/>
    <w:rsid w:val="00AB6293"/>
    <w:rsid w:val="00AE0928"/>
    <w:rsid w:val="00AE7BF7"/>
    <w:rsid w:val="00AF3B82"/>
    <w:rsid w:val="00B12E95"/>
    <w:rsid w:val="00B13536"/>
    <w:rsid w:val="00B22876"/>
    <w:rsid w:val="00B558F0"/>
    <w:rsid w:val="00B65FA4"/>
    <w:rsid w:val="00BC0F53"/>
    <w:rsid w:val="00BD48FE"/>
    <w:rsid w:val="00BD7BD8"/>
    <w:rsid w:val="00BE6ADC"/>
    <w:rsid w:val="00C05BFE"/>
    <w:rsid w:val="00C23CD4"/>
    <w:rsid w:val="00C575BA"/>
    <w:rsid w:val="00C61C0C"/>
    <w:rsid w:val="00C941CB"/>
    <w:rsid w:val="00CC2357"/>
    <w:rsid w:val="00CF071A"/>
    <w:rsid w:val="00D058B8"/>
    <w:rsid w:val="00D56C11"/>
    <w:rsid w:val="00D637C6"/>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5E2B"/>
    <w:rsid w:val="00FB4360"/>
    <w:rsid w:val="00FD0C70"/>
  </w:rsids>
  <w:docVars>
    <w:docVar w:name="dvdocse" w:val="A10-0070/2026"/>
    <w:docVar w:name="dvlangue" w:val="DE"/>
    <w:docVar w:name="dvnumam" w:val="17"/>
    <w:docVar w:name="dvpe" w:val="779.298"/>
    <w:docVar w:name="dvrapporteur" w:val="Berichterstatter: "/>
    <w:docVar w:name="dvstar" w:val="***I"/>
    <w:docVar w:name="dvtitre" w:val="Legislative Entschließung des Europäischen Parlaments vom XX. Juni 2026 zu dem Vorschlag für eine Verordnung des Europäischen Parlaments und des Rates über die Nichtanwendung von Zöllen auf die Einfuhren bestimmter Waren(COM(2025)0472 – C10-0192/2025 – 2025/0260(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7EA72448"/>
  <w15:chartTrackingRefBased/>
  <w15:docId w15:val="{EDABBD45-E71A-4220-80A2-FEE8AC679A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2428F1"/>
    <w:pPr>
      <w:spacing w:after="120"/>
    </w:pPr>
  </w:style>
  <w:style w:type="paragraph" w:customStyle="1" w:styleId="NormalBold">
    <w:name w:val="NormalBold"/>
    <w:basedOn w:val="Normal"/>
    <w:link w:val="NormalBoldChar"/>
    <w:rsid w:val="002428F1"/>
    <w:rPr>
      <w:b/>
    </w:rPr>
  </w:style>
  <w:style w:type="paragraph" w:customStyle="1" w:styleId="NormalHanging12a">
    <w:name w:val="NormalHanging12a"/>
    <w:basedOn w:val="Normal"/>
    <w:rsid w:val="002428F1"/>
    <w:pPr>
      <w:spacing w:after="240"/>
      <w:ind w:left="567" w:hanging="567"/>
    </w:pPr>
  </w:style>
  <w:style w:type="paragraph" w:customStyle="1" w:styleId="AmColumnHeading">
    <w:name w:val="AmColumnHeading"/>
    <w:basedOn w:val="Normal"/>
    <w:rsid w:val="002428F1"/>
    <w:pPr>
      <w:spacing w:after="240"/>
      <w:jc w:val="center"/>
    </w:pPr>
    <w:rPr>
      <w:i/>
    </w:rPr>
  </w:style>
  <w:style w:type="paragraph" w:customStyle="1" w:styleId="AmNumberTabs">
    <w:name w:val="AmNumberTabs"/>
    <w:basedOn w:val="Normal"/>
    <w:rsid w:val="002428F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2428F1"/>
    <w:pPr>
      <w:spacing w:before="240"/>
    </w:pPr>
    <w:rPr>
      <w:b/>
    </w:rPr>
  </w:style>
  <w:style w:type="paragraph" w:customStyle="1" w:styleId="EPComma">
    <w:name w:val="EPComma"/>
    <w:basedOn w:val="Normal"/>
    <w:rsid w:val="002428F1"/>
    <w:pPr>
      <w:spacing w:before="480" w:after="240"/>
    </w:pPr>
  </w:style>
  <w:style w:type="character" w:customStyle="1" w:styleId="Normal6Char">
    <w:name w:val="Normal6 Char"/>
    <w:link w:val="Normal6"/>
    <w:locked/>
    <w:rsid w:val="002428F1"/>
    <w:rPr>
      <w:sz w:val="24"/>
      <w:lang w:val="de-DE"/>
    </w:rPr>
  </w:style>
  <w:style w:type="paragraph" w:customStyle="1" w:styleId="Normal6">
    <w:name w:val="Normal6"/>
    <w:basedOn w:val="Normal"/>
    <w:link w:val="Normal6Char"/>
    <w:rsid w:val="002428F1"/>
    <w:pPr>
      <w:spacing w:after="120"/>
    </w:pPr>
  </w:style>
  <w:style w:type="character" w:customStyle="1" w:styleId="NormalBoldChar">
    <w:name w:val="NormalBold Char"/>
    <w:link w:val="NormalBold"/>
    <w:locked/>
    <w:rsid w:val="002428F1"/>
    <w:rPr>
      <w:b/>
      <w:sz w:val="24"/>
      <w:lang w:val="de-DE"/>
    </w:rPr>
  </w:style>
  <w:style w:type="paragraph" w:customStyle="1" w:styleId="ColumnHeading">
    <w:name w:val="ColumnHeading"/>
    <w:basedOn w:val="Normal"/>
    <w:rsid w:val="002428F1"/>
    <w:pPr>
      <w:spacing w:after="240"/>
      <w:jc w:val="center"/>
    </w:pPr>
    <w:rPr>
      <w:i/>
    </w:rPr>
  </w:style>
  <w:style w:type="character" w:styleId="Hyperlink">
    <w:name w:val="Hyperlink"/>
    <w:basedOn w:val="DefaultParagraphFont"/>
    <w:rsid w:val="002428F1"/>
    <w:rPr>
      <w:color w:val="0563C1" w:themeColor="hyperlink"/>
      <w:u w:val="single"/>
    </w:rPr>
  </w:style>
  <w:style w:type="character" w:styleId="CommentReference">
    <w:name w:val="annotation reference"/>
    <w:basedOn w:val="DefaultParagraphFont"/>
    <w:rsid w:val="008A5C6A"/>
    <w:rPr>
      <w:sz w:val="16"/>
      <w:szCs w:val="16"/>
    </w:rPr>
  </w:style>
  <w:style w:type="paragraph" w:styleId="CommentText">
    <w:name w:val="annotation text"/>
    <w:basedOn w:val="Normal"/>
    <w:link w:val="CommentTextChar"/>
    <w:rsid w:val="008A5C6A"/>
    <w:rPr>
      <w:sz w:val="20"/>
    </w:rPr>
  </w:style>
  <w:style w:type="character" w:customStyle="1" w:styleId="CommentTextChar">
    <w:name w:val="Comment Text Char"/>
    <w:basedOn w:val="DefaultParagraphFont"/>
    <w:link w:val="CommentText"/>
    <w:rsid w:val="008A5C6A"/>
    <w:rPr>
      <w:lang w:val="de-DE"/>
    </w:rPr>
  </w:style>
  <w:style w:type="paragraph" w:styleId="CommentSubject">
    <w:name w:val="annotation subject"/>
    <w:basedOn w:val="CommentText"/>
    <w:next w:val="CommentText"/>
    <w:link w:val="CommentSubjectChar"/>
    <w:rsid w:val="008A5C6A"/>
    <w:rPr>
      <w:b/>
      <w:bCs/>
    </w:rPr>
  </w:style>
  <w:style w:type="character" w:customStyle="1" w:styleId="CommentSubjectChar">
    <w:name w:val="Comment Subject Char"/>
    <w:basedOn w:val="CommentTextChar"/>
    <w:link w:val="CommentSubject"/>
    <w:rsid w:val="008A5C6A"/>
    <w:rPr>
      <w:b/>
      <w:bCs/>
      <w:lang w:val="de-DE"/>
    </w:rPr>
  </w:style>
  <w:style w:type="paragraph" w:styleId="Revision">
    <w:name w:val="Revision"/>
    <w:hidden/>
    <w:uiPriority w:val="99"/>
    <w:semiHidden/>
    <w:rsid w:val="008A5C6A"/>
    <w:rPr>
      <w:sz w:val="24"/>
      <w:lang w:val="de-DE"/>
    </w:rPr>
  </w:style>
  <w:style w:type="paragraph" w:customStyle="1" w:styleId="EPFooter2">
    <w:name w:val="EPFooter2"/>
    <w:basedOn w:val="Normal"/>
    <w:next w:val="Normal"/>
    <w:rsid w:val="008A5C6A"/>
    <w:pPr>
      <w:widowControl/>
      <w:tabs>
        <w:tab w:val="center" w:pos="4535"/>
        <w:tab w:val="right" w:pos="9921"/>
      </w:tabs>
      <w:ind w:left="-850" w:right="-850"/>
    </w:pPr>
    <w:rPr>
      <w:rFonts w:ascii="Arial" w:hAnsi="Arial" w:cs="Arial"/>
      <w:b/>
      <w:sz w:val="48"/>
    </w:rPr>
  </w:style>
  <w:style w:type="paragraph" w:customStyle="1" w:styleId="EPFooter">
    <w:name w:val="EPFooter"/>
    <w:basedOn w:val="Normal"/>
    <w:rsid w:val="008A5C6A"/>
    <w:pPr>
      <w:tabs>
        <w:tab w:val="center" w:pos="4535"/>
        <w:tab w:val="right" w:pos="9071"/>
      </w:tabs>
      <w:spacing w:before="240" w:after="240"/>
    </w:pPr>
    <w:rPr>
      <w:color w:val="010000"/>
      <w:sz w:val="22"/>
    </w:rPr>
  </w:style>
  <w:style w:type="character" w:customStyle="1" w:styleId="Hyperlink1">
    <w:name w:val="Hyperlink1"/>
    <w:basedOn w:val="DefaultParagraphFont"/>
    <w:uiPriority w:val="99"/>
    <w:unhideWhenUsed/>
    <w:rsid w:val="008A5C6A"/>
    <w:rPr>
      <w:color w:val="0563C1"/>
      <w:u w:val="single"/>
    </w:rPr>
  </w:style>
  <w:style w:type="character" w:customStyle="1" w:styleId="normaltextrun">
    <w:name w:val="normaltextrun"/>
    <w:basedOn w:val="DefaultParagraphFont"/>
    <w:rsid w:val="008328DD"/>
  </w:style>
  <w:style w:type="character" w:customStyle="1" w:styleId="eop">
    <w:name w:val="eop"/>
    <w:basedOn w:val="DefaultParagraphFont"/>
    <w:rsid w:val="008328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305</Words>
  <Characters>2094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2026-09-01T09:53:00Z</dcterms:created>
  <dcterms:modified xsi:type="dcterms:W3CDTF">2026-09-01T09:53:00Z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P10_TA(2026)0197_</vt:lpwstr>
  </property>
  <property fmtid="{D5CDD505-2E9C-101B-9397-08002B2CF9AE}" pid="4" name="&lt;Type&gt;">
    <vt:lpwstr>RR</vt:lpwstr>
  </property>
</Properties>
</file>