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348CD6" w14:textId="77777777" w:rsidTr="0010095E">
        <w:tblPrEx>
          <w:tblW w:w="9072" w:type="dxa"/>
          <w:tblLook w:val="01E0"/>
        </w:tblPrEx>
        <w:trPr>
          <w:trHeight w:hRule="exact" w:val="1418"/>
        </w:trPr>
        <w:tc>
          <w:tcPr>
            <w:tcW w:w="6804" w:type="dxa"/>
            <w:shd w:val="clear" w:color="auto" w:fill="auto"/>
            <w:vAlign w:val="center"/>
          </w:tcPr>
          <w:p w:rsidR="00751A4A" w:rsidRPr="00C83E37" w:rsidP="0010095E" w14:paraId="3CD7880E" w14:textId="77777777">
            <w:pPr>
              <w:pStyle w:val="EPName"/>
            </w:pPr>
            <w:r w:rsidRPr="00C83E37">
              <w:t>Ευρωπαϊκό Κοινοβούλιο</w:t>
            </w:r>
          </w:p>
          <w:p w:rsidR="00751A4A" w:rsidRPr="00C83E37" w:rsidP="005F1B17" w14:paraId="338B63EB" w14:textId="77777777">
            <w:pPr>
              <w:pStyle w:val="EPTerm"/>
              <w:rPr>
                <w:rStyle w:val="HideTWBExt"/>
                <w:noProof w:val="0"/>
                <w:vanish w:val="0"/>
                <w:color w:val="auto"/>
              </w:rPr>
            </w:pPr>
            <w:r w:rsidRPr="00C83E37">
              <w:t>2024</w:t>
            </w:r>
            <w:r w:rsidRPr="00C83E37" w:rsidR="00817416">
              <w:t>-202</w:t>
            </w:r>
            <w:r w:rsidRPr="00C83E37">
              <w:t>9</w:t>
            </w:r>
          </w:p>
        </w:tc>
        <w:tc>
          <w:tcPr>
            <w:tcW w:w="2268" w:type="dxa"/>
            <w:shd w:val="clear" w:color="auto" w:fill="auto"/>
          </w:tcPr>
          <w:p w:rsidR="00751A4A" w:rsidRPr="00C83E37" w:rsidP="0010095E" w14:paraId="0584F841" w14:textId="77777777">
            <w:pPr>
              <w:pStyle w:val="EPLogo"/>
            </w:pPr>
            <w:r w:rsidRPr="00C83E3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83E37" w:rsidP="004C5D52" w14:paraId="500BC28F" w14:textId="77777777">
      <w:pPr>
        <w:pStyle w:val="LineTop"/>
      </w:pPr>
    </w:p>
    <w:p w:rsidR="00680577" w:rsidRPr="00C83E37" w:rsidP="00680577" w14:paraId="6E33D977" w14:textId="77777777">
      <w:pPr>
        <w:pStyle w:val="EPBodyTA1"/>
      </w:pPr>
      <w:r w:rsidRPr="00C83E37">
        <w:t>ΚΕΙΜΕΝΑ ΠΟΥ ΕΓΚΡΙΘΗΚΑΝ</w:t>
      </w:r>
    </w:p>
    <w:p w:rsidR="00D058B8" w:rsidRPr="00C83E37" w:rsidP="00D058B8" w14:paraId="562A8B30" w14:textId="77777777">
      <w:pPr>
        <w:pStyle w:val="LineBottom"/>
      </w:pPr>
    </w:p>
    <w:p w:rsidR="00711F39" w:rsidRPr="00C83E37" w:rsidP="00711F39" w14:paraId="392A8C13" w14:textId="495A3316">
      <w:pPr>
        <w:pStyle w:val="ATHeading1"/>
      </w:pPr>
      <w:bookmarkStart w:id="0" w:name="TANumber"/>
      <w:r w:rsidRPr="00C83E37">
        <w:t>P10_TA(2026)0</w:t>
      </w:r>
      <w:r w:rsidRPr="00C83E37" w:rsidR="00C83E37">
        <w:t>197</w:t>
      </w:r>
      <w:bookmarkEnd w:id="0"/>
    </w:p>
    <w:p w:rsidR="00711F39" w:rsidRPr="00C83E37" w:rsidP="00711F39" w14:paraId="304C945D" w14:textId="77777777">
      <w:pPr>
        <w:pStyle w:val="ATHeading2"/>
      </w:pPr>
      <w:bookmarkStart w:id="1" w:name="title"/>
      <w:r w:rsidRPr="00C83E37">
        <w:t>Μη εφαρμογή τελωνειακών δασμών που επιβάλλονται στις εισαγωγές ορισμένων αγαθών</w:t>
      </w:r>
      <w:bookmarkEnd w:id="1"/>
    </w:p>
    <w:p w:rsidR="00711F39" w:rsidRPr="00C83E37" w:rsidP="00711F39" w14:paraId="04E47700" w14:textId="77777777">
      <w:pPr>
        <w:rPr>
          <w:i/>
          <w:vanish/>
        </w:rPr>
      </w:pPr>
      <w:r>
        <w:rPr>
          <w:i/>
        </w:rPr>
        <w:fldChar w:fldCharType="begin"/>
      </w:r>
      <w:r w:rsidRPr="00C83E37">
        <w:rPr>
          <w:i/>
        </w:rPr>
        <w:instrText xml:space="preserve"> TC"(</w:instrText>
      </w:r>
      <w:bookmarkStart w:id="2" w:name="DocNumber"/>
      <w:r w:rsidRPr="00C83E37">
        <w:rPr>
          <w:i/>
        </w:rPr>
        <w:instrText>A10-0070/2026</w:instrText>
      </w:r>
      <w:bookmarkEnd w:id="2"/>
      <w:r w:rsidRPr="00C83E37">
        <w:rPr>
          <w:i/>
        </w:rPr>
        <w:instrText xml:space="preserve"> - Εισηγητής: Bernd Lange)"\l3 \n&gt; \* MERGEFORMAT </w:instrText>
      </w:r>
      <w:r>
        <w:rPr>
          <w:i/>
        </w:rPr>
        <w:fldChar w:fldCharType="end"/>
      </w:r>
    </w:p>
    <w:p w:rsidR="00711F39" w:rsidRPr="00C83E37" w:rsidP="00711F39" w14:paraId="4BB5EBDA" w14:textId="77777777">
      <w:pPr>
        <w:rPr>
          <w:vanish/>
        </w:rPr>
      </w:pPr>
      <w:bookmarkStart w:id="3" w:name="Commission"/>
      <w:r w:rsidRPr="00C83E37">
        <w:rPr>
          <w:vanish/>
        </w:rPr>
        <w:t>Επιτροπή Διεθνούς Εμπορίου</w:t>
      </w:r>
      <w:bookmarkEnd w:id="3"/>
    </w:p>
    <w:p w:rsidR="00711F39" w:rsidRPr="00C83E37" w:rsidP="00711F39" w14:paraId="1D25F485" w14:textId="77777777">
      <w:pPr>
        <w:rPr>
          <w:vanish/>
        </w:rPr>
      </w:pPr>
      <w:bookmarkStart w:id="4" w:name="PE"/>
      <w:r w:rsidRPr="00C83E37">
        <w:rPr>
          <w:vanish/>
        </w:rPr>
        <w:t>PE779.298</w:t>
      </w:r>
      <w:bookmarkEnd w:id="4"/>
    </w:p>
    <w:p w:rsidR="00711F39" w:rsidRPr="00C83E37" w:rsidP="00711F39" w14:paraId="5422627D" w14:textId="306127D2">
      <w:pPr>
        <w:pStyle w:val="ATHeading3"/>
      </w:pPr>
      <w:bookmarkStart w:id="5" w:name="Sujet"/>
      <w:r w:rsidRPr="00C83E37">
        <w:t xml:space="preserve">Νομοθετικό ψήφισμα του Ευρωπαϊκού Κοινοβουλίου της </w:t>
      </w:r>
      <w:r w:rsidRPr="00C83E37" w:rsidR="00722D18">
        <w:t>16</w:t>
      </w:r>
      <w:r w:rsidRPr="00C83E37" w:rsidR="00F12800">
        <w:t xml:space="preserve">ης </w:t>
      </w:r>
      <w:r w:rsidRPr="00C83E37" w:rsidR="005B4DB2">
        <w:t xml:space="preserve">Ιουνίου </w:t>
      </w:r>
      <w:r w:rsidRPr="00C83E37">
        <w:t>2026 σχετικά με την πρόταση κανονισμού του Ευρωπαϊκού Κοινοβουλίου και του Συμβουλίου για τη μη εφαρμογή τελωνειακών δασμών που επιβάλλονται στις εισαγωγές ορισμένων αγαθών</w:t>
      </w:r>
      <w:bookmarkEnd w:id="5"/>
      <w:r w:rsidRPr="00C83E37">
        <w:t xml:space="preserve"> </w:t>
      </w:r>
      <w:bookmarkStart w:id="6" w:name="References"/>
      <w:r w:rsidRPr="00C83E37">
        <w:t>(COM(2025)0472 – C10-0192/2025 – 2025/0260(COD))</w:t>
      </w:r>
      <w:bookmarkEnd w:id="6"/>
    </w:p>
    <w:p w:rsidR="006B57E2" w:rsidRPr="00C83E37" w:rsidP="00FA7801" w14:paraId="5C30F286" w14:textId="77777777">
      <w:pPr>
        <w:pStyle w:val="NormalBold"/>
      </w:pPr>
    </w:p>
    <w:p w:rsidR="00FA7801" w:rsidRPr="00C83E37" w:rsidP="00FA7801" w14:paraId="0A115D54" w14:textId="08E1DEE7">
      <w:pPr>
        <w:pStyle w:val="NormalBold"/>
      </w:pPr>
      <w:r w:rsidRPr="00C83E37">
        <w:t>(Συνήθης νομοθετική διαδικασία: πρώτη ανάγνωση)</w:t>
      </w:r>
    </w:p>
    <w:p w:rsidR="00FA7801" w:rsidRPr="00C83E37" w:rsidP="00FA7801" w14:paraId="573603DB" w14:textId="77777777">
      <w:pPr>
        <w:pStyle w:val="EPComma"/>
      </w:pPr>
      <w:r w:rsidRPr="00C83E37">
        <w:rPr>
          <w:i/>
        </w:rPr>
        <w:t>Το Ευρωπαϊκό Κοινοβούλιο</w:t>
      </w:r>
      <w:r w:rsidRPr="00C83E37">
        <w:t>,</w:t>
      </w:r>
    </w:p>
    <w:p w:rsidR="00FA7801" w:rsidRPr="00C83E37" w:rsidP="00FA7801" w14:paraId="4E3EC612" w14:textId="77777777">
      <w:pPr>
        <w:pStyle w:val="NormalHanging12a"/>
      </w:pPr>
      <w:r w:rsidRPr="00C83E37">
        <w:t>–</w:t>
      </w:r>
      <w:r w:rsidRPr="00C83E37">
        <w:tab/>
        <w:t>έχοντας υπόψη την πρόταση της Επιτροπής προς το Κοινοβούλιο και το Συμβούλιο (COM(2025)0472),</w:t>
      </w:r>
    </w:p>
    <w:p w:rsidR="00FA7801" w:rsidRPr="00C83E37" w:rsidP="00FA7801" w14:paraId="59416E63" w14:textId="77777777">
      <w:pPr>
        <w:pStyle w:val="NormalHanging12a"/>
      </w:pPr>
      <w:r w:rsidRPr="00C83E37">
        <w:t>–</w:t>
      </w:r>
      <w:r w:rsidRPr="00C83E37">
        <w:tab/>
        <w:t>έχοντας υπόψη το άρθρο 294 παράγραφος 2 και το άρθρο 207 παράγραφος 2 της Συνθήκης για τη λειτουργία της Ευρωπαϊκής Ένωσης, σύμφωνα με τα οποία του υποβλήθηκε η πρόταση από την Επιτροπή (C10</w:t>
      </w:r>
      <w:r w:rsidRPr="00C83E37">
        <w:noBreakHyphen/>
        <w:t>0192/2025),</w:t>
      </w:r>
    </w:p>
    <w:p w:rsidR="00FA7801" w:rsidRPr="00C83E37" w:rsidP="00FA7801" w14:paraId="3E34C19A" w14:textId="77777777">
      <w:pPr>
        <w:pStyle w:val="NormalHanging12a"/>
      </w:pPr>
      <w:r w:rsidRPr="00C83E37">
        <w:t>–</w:t>
      </w:r>
      <w:r w:rsidRPr="00C83E37">
        <w:tab/>
        <w:t>έχοντας υπόψη το άρθρο 294 παράγραφος 3 της Συνθήκης για τη λειτουργία της Ευρωπαϊκής Ένωσης,</w:t>
      </w:r>
    </w:p>
    <w:p w:rsidR="00FA7801" w:rsidRPr="00C83E37" w:rsidP="00FA7801" w14:paraId="08F41188" w14:textId="77777777">
      <w:pPr>
        <w:pStyle w:val="NormalHanging12a"/>
      </w:pPr>
      <w:r w:rsidRPr="00C83E37">
        <w:t>–</w:t>
      </w:r>
      <w:r w:rsidRPr="00C83E37">
        <w:tab/>
        <w:t>έχοντας υπόψη τη δημοσιονομική αξιολόγηση που εξέδωσε η Επιτροπή Προϋπολογισμών,</w:t>
      </w:r>
    </w:p>
    <w:p w:rsidR="00085D14" w:rsidRPr="00C83E37" w:rsidP="00085D14" w14:paraId="1957A3FC" w14:textId="77777777">
      <w:pPr>
        <w:pStyle w:val="NormalHanging12a"/>
        <w:widowControl/>
      </w:pPr>
      <w:r w:rsidRPr="00C83E37">
        <w:t>–</w:t>
      </w:r>
      <w:r w:rsidRPr="00C83E37">
        <w:tab/>
        <w:t>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27ης Μαΐου 2026, να εγκρίνει τη θέση του Κοινοβουλίου, σύμφωνα με το άρθρο 294 παράγραφος 4 της Συνθήκης για τη λειτουργία της Ευρωπαϊκής Ένωσης,</w:t>
      </w:r>
    </w:p>
    <w:p w:rsidR="00FA7801" w:rsidRPr="00C83E37" w:rsidP="00FA7801" w14:paraId="1651470E" w14:textId="6AE79ADF">
      <w:pPr>
        <w:pStyle w:val="NormalHanging12a"/>
      </w:pPr>
      <w:r w:rsidRPr="00C83E37">
        <w:t>–</w:t>
      </w:r>
      <w:r w:rsidRPr="00C83E37">
        <w:tab/>
        <w:t>έχοντας υπόψη τ</w:t>
      </w:r>
      <w:r w:rsidRPr="00C83E37" w:rsidR="00085D14">
        <w:t>α</w:t>
      </w:r>
      <w:r w:rsidRPr="00C83E37">
        <w:t xml:space="preserve"> άρθρ</w:t>
      </w:r>
      <w:r w:rsidRPr="00C83E37" w:rsidR="00085D14">
        <w:t>α</w:t>
      </w:r>
      <w:r w:rsidRPr="00C83E37">
        <w:t xml:space="preserve"> 60 </w:t>
      </w:r>
      <w:r w:rsidRPr="00C83E37" w:rsidR="00085D14">
        <w:t xml:space="preserve">και 58 </w:t>
      </w:r>
      <w:r w:rsidRPr="00C83E37">
        <w:t>του Κανονισμού του,</w:t>
      </w:r>
    </w:p>
    <w:p w:rsidR="00FA7801" w:rsidRPr="00C83E37" w:rsidP="00FA7801" w14:paraId="471FA3DA" w14:textId="77777777">
      <w:pPr>
        <w:pStyle w:val="NormalHanging12a"/>
      </w:pPr>
      <w:r w:rsidRPr="00C83E37">
        <w:t>–</w:t>
      </w:r>
      <w:r w:rsidRPr="00C83E37">
        <w:tab/>
        <w:t>έχοντας υπόψη την έκθεση της Επιτροπής Διεθνούς Εμπορίου (A10-0070/2026),</w:t>
      </w:r>
    </w:p>
    <w:p w:rsidR="00FA7801" w:rsidRPr="00C83E37" w:rsidP="00FA7801" w14:paraId="23DDABC7" w14:textId="46D1D6F9">
      <w:pPr>
        <w:pStyle w:val="NormalHanging12a"/>
      </w:pPr>
      <w:r w:rsidRPr="00C83E37">
        <w:t>1.</w:t>
      </w:r>
      <w:r w:rsidRPr="00C83E37">
        <w:tab/>
        <w:t>εγκρίνει τη θέση του σε πρώτη ανάγνωση όπως παρατίθεται κατωτέρω</w:t>
      </w:r>
      <w:r>
        <w:rPr>
          <w:vertAlign w:val="superscript"/>
        </w:rPr>
        <w:footnoteReference w:id="2"/>
      </w:r>
      <w:r w:rsidRPr="00C83E37">
        <w:t>·</w:t>
      </w:r>
    </w:p>
    <w:p w:rsidR="00FA7801" w:rsidRPr="00C83E37" w:rsidP="00FA7801" w14:paraId="0A13B302" w14:textId="77777777">
      <w:pPr>
        <w:pStyle w:val="NormalHanging12a"/>
      </w:pPr>
      <w:r w:rsidRPr="00C83E37">
        <w:t>2.</w:t>
      </w:r>
      <w:r w:rsidRPr="00C83E37">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FA7801" w:rsidRPr="00C83E37" w:rsidP="00FA7801" w14:paraId="30C712AB" w14:textId="77777777">
      <w:pPr>
        <w:pStyle w:val="NormalHanging12a"/>
      </w:pPr>
      <w:r w:rsidRPr="00C83E37">
        <w:t>3.</w:t>
      </w:r>
      <w:r w:rsidRPr="00C83E37">
        <w:tab/>
        <w:t>αναθέτει στην Πρόεδρό του να διαβιβάσει τη θέση του Κοινοβουλίου στο Συμβούλιο, στην Επιτροπή και στα εθνικά κοινοβούλια.</w:t>
      </w:r>
    </w:p>
    <w:p w:rsidR="00722D18" w:rsidRPr="00C83E37" w:rsidP="00FA7801" w14:paraId="6BDA1673" w14:textId="77777777">
      <w:pPr>
        <w:widowControl/>
        <w:sectPr w:rsidSect="006B57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22D18" w:rsidRPr="00C83E37" w:rsidP="00722D18" w14:paraId="76BC7D5D" w14:textId="21963D6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C83E37">
        <w:rPr>
          <w:b/>
        </w:rPr>
        <w:t>P10_TC1-COD(2025)0260</w:t>
      </w:r>
    </w:p>
    <w:p w:rsidR="00722D18" w:rsidP="00722D18" w14:paraId="3891A57E" w14:textId="32A6C2B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C83E37">
        <w:rPr>
          <w:b/>
        </w:rPr>
        <w:t xml:space="preserve">Θέση του Ευρωπαϊκού Κοινοβουλίου που καθορίστηκε σε πρώτη ανάγνωση στις 16 Ιουνίου 2026 εν όψει της έγκρισης κανονισμού (ΕΕ) 2026/... του Ευρωπαϊκού Κοινοβουλίου και του Συμβουλίου </w:t>
      </w:r>
      <w:r w:rsidRPr="00C83E37">
        <w:rPr>
          <w:rFonts w:eastAsia="Calibri"/>
          <w:b/>
          <w:szCs w:val="22"/>
          <w:lang w:eastAsia="en-US"/>
        </w:rPr>
        <w:t>για τη μη εφαρμογή τελωνειακών δασμών που επιβάλλονται στις εισαγωγές ορισμένων εμπορευμάτων</w:t>
      </w:r>
    </w:p>
    <w:p w:rsidR="00DE0A0B" w:rsidRPr="00C83E37" w:rsidP="00722D18" w14:paraId="3AB80826" w14:textId="4F7DD0F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bCs/>
          <w:szCs w:val="22"/>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2026/</w:t>
      </w:r>
      <w:r>
        <w:rPr>
          <w:i/>
        </w:rPr>
        <w:t>1461</w:t>
      </w:r>
      <w:r>
        <w:rPr>
          <w:i/>
        </w:rPr>
        <w:t>.</w:t>
      </w:r>
      <w:r w:rsidRPr="007B7B26">
        <w:rPr>
          <w:i/>
        </w:rPr>
        <w:t>)</w:t>
      </w:r>
    </w:p>
    <w:sectPr w:rsidSect="00DE0A0B">
      <w:footnotePr>
        <w:numRestart w:val="eachSect"/>
      </w:footnotePr>
      <w:pgSz w:w="11907" w:h="16840" w:code="9"/>
      <w:pgMar w:top="1134" w:right="1418" w:bottom="1418" w:left="1418"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11F39" w:rsidRPr="00473A33" w14:paraId="07827AA6" w14:textId="77777777">
      <w:r w:rsidRPr="00473A33">
        <w:separator/>
      </w:r>
    </w:p>
  </w:footnote>
  <w:footnote w:type="continuationSeparator" w:id="1">
    <w:p w:rsidR="00711F39" w:rsidRPr="00473A33" w14:paraId="4B9FB5E5" w14:textId="77777777">
      <w:r w:rsidRPr="00473A33">
        <w:continuationSeparator/>
      </w:r>
    </w:p>
  </w:footnote>
  <w:footnote w:id="2">
    <w:p w:rsidR="005B4DB2" w:rsidP="00C83E37" w14:paraId="12F806B9" w14:textId="5D0BFA25">
      <w:pPr>
        <w:pStyle w:val="FootnoteText"/>
        <w:tabs>
          <w:tab w:val="left" w:pos="709"/>
        </w:tabs>
        <w:ind w:left="709" w:hanging="709"/>
        <w:rPr>
          <w:sz w:val="24"/>
          <w:lang w:val="el-GR"/>
        </w:rPr>
      </w:pPr>
      <w:r>
        <w:rPr>
          <w:rStyle w:val="FootnoteReference"/>
          <w:sz w:val="24"/>
        </w:rPr>
        <w:footnoteRef/>
      </w:r>
      <w:r>
        <w:rPr>
          <w:sz w:val="24"/>
          <w:lang w:val="el-GR"/>
        </w:rPr>
        <w:t xml:space="preserve"> </w:t>
      </w:r>
      <w:r>
        <w:rPr>
          <w:sz w:val="24"/>
          <w:lang w:val="el-GR"/>
        </w:rPr>
        <w:tab/>
        <w:t xml:space="preserve">Η παρούσα θέση αντικαθιστά τις τροπολογίες που εγκρίθηκαν στις 26 Μαρτίου 2026 (Κείμενα που εγκρίθηκαν, </w:t>
      </w:r>
      <w:r>
        <w:rPr>
          <w:sz w:val="24"/>
        </w:rPr>
        <w:t>P</w:t>
      </w:r>
      <w:r>
        <w:rPr>
          <w:sz w:val="24"/>
          <w:lang w:val="el-GR"/>
        </w:rPr>
        <w:t>10_</w:t>
      </w:r>
      <w:r>
        <w:rPr>
          <w:sz w:val="24"/>
        </w:rPr>
        <w:t>TA</w:t>
      </w:r>
      <w:r>
        <w:rPr>
          <w:sz w:val="24"/>
          <w:lang w:val="el-GR"/>
        </w:rPr>
        <w:t>(2026)0097).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1346195">
    <w:abstractNumId w:val="9"/>
  </w:num>
  <w:num w:numId="2" w16cid:durableId="920406048">
    <w:abstractNumId w:val="9"/>
  </w:num>
  <w:num w:numId="3" w16cid:durableId="1414203276">
    <w:abstractNumId w:val="7"/>
  </w:num>
  <w:num w:numId="4" w16cid:durableId="1091000627">
    <w:abstractNumId w:val="7"/>
  </w:num>
  <w:num w:numId="5" w16cid:durableId="1910114910">
    <w:abstractNumId w:val="6"/>
  </w:num>
  <w:num w:numId="6" w16cid:durableId="1468939631">
    <w:abstractNumId w:val="6"/>
  </w:num>
  <w:num w:numId="7" w16cid:durableId="433940415">
    <w:abstractNumId w:val="5"/>
  </w:num>
  <w:num w:numId="8" w16cid:durableId="557591218">
    <w:abstractNumId w:val="5"/>
  </w:num>
  <w:num w:numId="9" w16cid:durableId="1008941421">
    <w:abstractNumId w:val="4"/>
  </w:num>
  <w:num w:numId="10" w16cid:durableId="1919820856">
    <w:abstractNumId w:val="4"/>
  </w:num>
  <w:num w:numId="11" w16cid:durableId="1235359959">
    <w:abstractNumId w:val="8"/>
  </w:num>
  <w:num w:numId="12" w16cid:durableId="695278083">
    <w:abstractNumId w:val="8"/>
  </w:num>
  <w:num w:numId="13" w16cid:durableId="492527846">
    <w:abstractNumId w:val="3"/>
  </w:num>
  <w:num w:numId="14" w16cid:durableId="1783919834">
    <w:abstractNumId w:val="3"/>
  </w:num>
  <w:num w:numId="15" w16cid:durableId="1549218862">
    <w:abstractNumId w:val="2"/>
  </w:num>
  <w:num w:numId="16" w16cid:durableId="1551576650">
    <w:abstractNumId w:val="2"/>
  </w:num>
  <w:num w:numId="17" w16cid:durableId="1163936730">
    <w:abstractNumId w:val="1"/>
  </w:num>
  <w:num w:numId="18" w16cid:durableId="603613266">
    <w:abstractNumId w:val="1"/>
  </w:num>
  <w:num w:numId="19" w16cid:durableId="1371959987">
    <w:abstractNumId w:val="0"/>
  </w:num>
  <w:num w:numId="20" w16cid:durableId="44570246">
    <w:abstractNumId w:val="0"/>
  </w:num>
  <w:num w:numId="21" w16cid:durableId="1155100881">
    <w:abstractNumId w:val="9"/>
  </w:num>
  <w:num w:numId="22" w16cid:durableId="1213007724">
    <w:abstractNumId w:val="7"/>
  </w:num>
  <w:num w:numId="23" w16cid:durableId="191915775">
    <w:abstractNumId w:val="6"/>
  </w:num>
  <w:num w:numId="24" w16cid:durableId="23752698">
    <w:abstractNumId w:val="5"/>
  </w:num>
  <w:num w:numId="25" w16cid:durableId="1727560540">
    <w:abstractNumId w:val="4"/>
  </w:num>
  <w:num w:numId="26" w16cid:durableId="131951772">
    <w:abstractNumId w:val="8"/>
  </w:num>
  <w:num w:numId="27" w16cid:durableId="1642805043">
    <w:abstractNumId w:val="3"/>
  </w:num>
  <w:num w:numId="28" w16cid:durableId="884485946">
    <w:abstractNumId w:val="2"/>
  </w:num>
  <w:num w:numId="29" w16cid:durableId="1764377807">
    <w:abstractNumId w:val="1"/>
  </w:num>
  <w:num w:numId="30" w16cid:durableId="1750036407">
    <w:abstractNumId w:val="0"/>
  </w:num>
  <w:num w:numId="31" w16cid:durableId="875123152">
    <w:abstractNumId w:val="9"/>
  </w:num>
  <w:num w:numId="32" w16cid:durableId="1149908878">
    <w:abstractNumId w:val="7"/>
  </w:num>
  <w:num w:numId="33" w16cid:durableId="1434784698">
    <w:abstractNumId w:val="6"/>
  </w:num>
  <w:num w:numId="34" w16cid:durableId="484123624">
    <w:abstractNumId w:val="5"/>
  </w:num>
  <w:num w:numId="35" w16cid:durableId="1059984992">
    <w:abstractNumId w:val="4"/>
  </w:num>
  <w:num w:numId="36" w16cid:durableId="922301027">
    <w:abstractNumId w:val="8"/>
  </w:num>
  <w:num w:numId="37" w16cid:durableId="826752341">
    <w:abstractNumId w:val="3"/>
  </w:num>
  <w:num w:numId="38" w16cid:durableId="769159782">
    <w:abstractNumId w:val="2"/>
  </w:num>
  <w:num w:numId="39" w16cid:durableId="526212926">
    <w:abstractNumId w:val="1"/>
  </w:num>
  <w:num w:numId="40" w16cid:durableId="1960641440">
    <w:abstractNumId w:val="0"/>
  </w:num>
  <w:num w:numId="41" w16cid:durableId="1189024578">
    <w:abstractNumId w:val="10"/>
  </w:num>
  <w:num w:numId="42" w16cid:durableId="1873883505">
    <w:abstractNumId w:val="10"/>
  </w:num>
  <w:num w:numId="43" w16cid:durableId="67265703">
    <w:abstractNumId w:val="10"/>
  </w:num>
  <w:num w:numId="44" w16cid:durableId="1100878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F39"/>
    <w:rsid w:val="00002272"/>
    <w:rsid w:val="00064002"/>
    <w:rsid w:val="000677B9"/>
    <w:rsid w:val="000831BA"/>
    <w:rsid w:val="00085D14"/>
    <w:rsid w:val="000A42CC"/>
    <w:rsid w:val="000E7DD9"/>
    <w:rsid w:val="0010095E"/>
    <w:rsid w:val="00125B37"/>
    <w:rsid w:val="00187494"/>
    <w:rsid w:val="001E341E"/>
    <w:rsid w:val="001F32AE"/>
    <w:rsid w:val="0020766A"/>
    <w:rsid w:val="002767FF"/>
    <w:rsid w:val="002B18FE"/>
    <w:rsid w:val="002B5493"/>
    <w:rsid w:val="002D25A0"/>
    <w:rsid w:val="00343214"/>
    <w:rsid w:val="00361C00"/>
    <w:rsid w:val="00395FA1"/>
    <w:rsid w:val="003E15D4"/>
    <w:rsid w:val="00411CCE"/>
    <w:rsid w:val="0041666E"/>
    <w:rsid w:val="00421060"/>
    <w:rsid w:val="00471C19"/>
    <w:rsid w:val="00473A33"/>
    <w:rsid w:val="004867E3"/>
    <w:rsid w:val="00494A28"/>
    <w:rsid w:val="004C0004"/>
    <w:rsid w:val="004C5D52"/>
    <w:rsid w:val="0050519A"/>
    <w:rsid w:val="005072A1"/>
    <w:rsid w:val="00514517"/>
    <w:rsid w:val="00543C1A"/>
    <w:rsid w:val="00545827"/>
    <w:rsid w:val="00560270"/>
    <w:rsid w:val="005B4DB2"/>
    <w:rsid w:val="005C2568"/>
    <w:rsid w:val="005F1B17"/>
    <w:rsid w:val="006037C0"/>
    <w:rsid w:val="00621C76"/>
    <w:rsid w:val="006631B6"/>
    <w:rsid w:val="00680577"/>
    <w:rsid w:val="006B57E2"/>
    <w:rsid w:val="006F74FA"/>
    <w:rsid w:val="00711F39"/>
    <w:rsid w:val="00722D18"/>
    <w:rsid w:val="00731ADD"/>
    <w:rsid w:val="00734777"/>
    <w:rsid w:val="00747932"/>
    <w:rsid w:val="00751A4A"/>
    <w:rsid w:val="00756632"/>
    <w:rsid w:val="00762C74"/>
    <w:rsid w:val="00786EC0"/>
    <w:rsid w:val="007A714B"/>
    <w:rsid w:val="007B7B26"/>
    <w:rsid w:val="007D1690"/>
    <w:rsid w:val="007D4621"/>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5E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E37"/>
    <w:rsid w:val="00C941CB"/>
    <w:rsid w:val="00CC2357"/>
    <w:rsid w:val="00CF071A"/>
    <w:rsid w:val="00D058B8"/>
    <w:rsid w:val="00D56C11"/>
    <w:rsid w:val="00D834A0"/>
    <w:rsid w:val="00D872DF"/>
    <w:rsid w:val="00D91E21"/>
    <w:rsid w:val="00DA7FCD"/>
    <w:rsid w:val="00DE0A0B"/>
    <w:rsid w:val="00E365E1"/>
    <w:rsid w:val="00E820A4"/>
    <w:rsid w:val="00E83A40"/>
    <w:rsid w:val="00E97098"/>
    <w:rsid w:val="00EB006A"/>
    <w:rsid w:val="00EB4772"/>
    <w:rsid w:val="00ED169E"/>
    <w:rsid w:val="00ED4235"/>
    <w:rsid w:val="00F04346"/>
    <w:rsid w:val="00F075DC"/>
    <w:rsid w:val="00F12800"/>
    <w:rsid w:val="00F149E9"/>
    <w:rsid w:val="00F5134D"/>
    <w:rsid w:val="00F74202"/>
    <w:rsid w:val="00F87713"/>
    <w:rsid w:val="00FA7801"/>
    <w:rsid w:val="00FB4360"/>
    <w:rsid w:val="00FD0C70"/>
  </w:rsids>
  <w:docVars>
    <w:docVar w:name="dvdocse" w:val="A10-0070/2026"/>
    <w:docVar w:name="dvlangue" w:val="EL"/>
    <w:docVar w:name="dvnumam" w:val="17"/>
    <w:docVar w:name="dvpe" w:val="779.298"/>
    <w:docVar w:name="dvrapporteur" w:val="Εισηγητής: "/>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 μη εφαρμογή τελωνειακών δασμών που επιβάλλονται στις εισαγωγές ορισμένων αγαθών(COM(2025)0472 – C10-0192/2025 – 2025/026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1F0EE8"/>
  <w15:chartTrackingRefBased/>
  <w15:docId w15:val="{EBB057FC-8AD1-4459-86D9-750795BAE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aliases w:val="Footnote Text Char2,Footnote Text Char Char,Footnote text,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2 Char Char,Footnote Text Char1 Char1 Char Char,Footnote Text Char2 Char Char Char Char,Footnote Text Char1 Char1 Char Char Char Char,fn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A7801"/>
    <w:pPr>
      <w:spacing w:after="120"/>
    </w:pPr>
  </w:style>
  <w:style w:type="paragraph" w:customStyle="1" w:styleId="NormalBold">
    <w:name w:val="NormalBold"/>
    <w:basedOn w:val="Normal"/>
    <w:link w:val="NormalBoldChar"/>
    <w:rsid w:val="00FA7801"/>
    <w:rPr>
      <w:b/>
    </w:rPr>
  </w:style>
  <w:style w:type="paragraph" w:customStyle="1" w:styleId="NormalHanging12a">
    <w:name w:val="NormalHanging12a"/>
    <w:basedOn w:val="Normal"/>
    <w:rsid w:val="00FA7801"/>
    <w:pPr>
      <w:spacing w:after="240"/>
      <w:ind w:left="567" w:hanging="567"/>
    </w:pPr>
  </w:style>
  <w:style w:type="paragraph" w:customStyle="1" w:styleId="AmColumnHeading">
    <w:name w:val="AmColumnHeading"/>
    <w:basedOn w:val="Normal"/>
    <w:rsid w:val="00FA7801"/>
    <w:pPr>
      <w:spacing w:after="240"/>
      <w:jc w:val="center"/>
    </w:pPr>
    <w:rPr>
      <w:i/>
    </w:rPr>
  </w:style>
  <w:style w:type="paragraph" w:customStyle="1" w:styleId="AmNumberTabs">
    <w:name w:val="AmNumberTabs"/>
    <w:basedOn w:val="Normal"/>
    <w:rsid w:val="00FA78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7801"/>
    <w:pPr>
      <w:spacing w:before="240"/>
    </w:pPr>
    <w:rPr>
      <w:b/>
    </w:rPr>
  </w:style>
  <w:style w:type="paragraph" w:customStyle="1" w:styleId="EPComma">
    <w:name w:val="EPComma"/>
    <w:basedOn w:val="Normal"/>
    <w:rsid w:val="00FA7801"/>
    <w:pPr>
      <w:spacing w:before="480" w:after="240"/>
    </w:pPr>
  </w:style>
  <w:style w:type="character" w:customStyle="1" w:styleId="Normal6Char">
    <w:name w:val="Normal6 Char"/>
    <w:link w:val="Normal6"/>
    <w:locked/>
    <w:rsid w:val="00FA7801"/>
    <w:rPr>
      <w:sz w:val="24"/>
      <w:lang w:val="el-GR"/>
    </w:rPr>
  </w:style>
  <w:style w:type="paragraph" w:customStyle="1" w:styleId="Normal6">
    <w:name w:val="Normal6"/>
    <w:basedOn w:val="Normal"/>
    <w:link w:val="Normal6Char"/>
    <w:rsid w:val="00FA7801"/>
    <w:pPr>
      <w:spacing w:after="120"/>
    </w:pPr>
  </w:style>
  <w:style w:type="character" w:customStyle="1" w:styleId="NormalBoldChar">
    <w:name w:val="NormalBold Char"/>
    <w:link w:val="NormalBold"/>
    <w:locked/>
    <w:rsid w:val="00FA7801"/>
    <w:rPr>
      <w:b/>
      <w:sz w:val="24"/>
      <w:lang w:val="el-GR"/>
    </w:rPr>
  </w:style>
  <w:style w:type="paragraph" w:customStyle="1" w:styleId="ColumnHeading">
    <w:name w:val="ColumnHeading"/>
    <w:basedOn w:val="Normal"/>
    <w:rsid w:val="00FA7801"/>
    <w:pPr>
      <w:spacing w:after="240"/>
      <w:jc w:val="center"/>
    </w:pPr>
    <w:rPr>
      <w:i/>
    </w:rPr>
  </w:style>
  <w:style w:type="character" w:styleId="Hyperlink">
    <w:name w:val="Hyperlink"/>
    <w:basedOn w:val="DefaultParagraphFont"/>
    <w:rsid w:val="00FA7801"/>
    <w:rPr>
      <w:color w:val="0563C1" w:themeColor="hyperlink"/>
      <w:u w:val="single"/>
    </w:rPr>
  </w:style>
  <w:style w:type="paragraph" w:styleId="Revision">
    <w:name w:val="Revision"/>
    <w:hidden/>
    <w:uiPriority w:val="99"/>
    <w:semiHidden/>
    <w:rsid w:val="00F12800"/>
    <w:rPr>
      <w:sz w:val="24"/>
      <w:lang w:val="el-GR"/>
    </w:rPr>
  </w:style>
  <w:style w:type="paragraph" w:styleId="Header">
    <w:name w:val="header"/>
    <w:basedOn w:val="Normal"/>
    <w:link w:val="HeaderChar"/>
    <w:rsid w:val="00722D18"/>
    <w:pPr>
      <w:tabs>
        <w:tab w:val="center" w:pos="4513"/>
        <w:tab w:val="right" w:pos="9026"/>
      </w:tabs>
    </w:pPr>
  </w:style>
  <w:style w:type="character" w:customStyle="1" w:styleId="HeaderChar">
    <w:name w:val="Header Char"/>
    <w:basedOn w:val="DefaultParagraphFont"/>
    <w:link w:val="Header"/>
    <w:rsid w:val="00722D18"/>
    <w:rPr>
      <w:sz w:val="24"/>
      <w:lang w:val="el-GR"/>
    </w:rPr>
  </w:style>
  <w:style w:type="paragraph" w:customStyle="1" w:styleId="EPFooter2">
    <w:name w:val="EPFooter2"/>
    <w:basedOn w:val="Normal"/>
    <w:next w:val="Normal"/>
    <w:rsid w:val="00722D18"/>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722D18"/>
    <w:pPr>
      <w:tabs>
        <w:tab w:val="center" w:pos="4535"/>
        <w:tab w:val="right" w:pos="9071"/>
      </w:tabs>
      <w:spacing w:before="240" w:after="240"/>
    </w:pPr>
    <w:rPr>
      <w:color w:val="010000"/>
      <w:sz w:val="22"/>
    </w:rPr>
  </w:style>
  <w:style w:type="paragraph" w:styleId="Footer">
    <w:name w:val="footer"/>
    <w:basedOn w:val="Normal"/>
    <w:link w:val="FooterChar"/>
    <w:rsid w:val="00722D18"/>
    <w:pPr>
      <w:tabs>
        <w:tab w:val="center" w:pos="4513"/>
        <w:tab w:val="right" w:pos="9026"/>
      </w:tabs>
    </w:pPr>
  </w:style>
  <w:style w:type="character" w:customStyle="1" w:styleId="FooterChar">
    <w:name w:val="Footer Char"/>
    <w:basedOn w:val="DefaultParagraphFont"/>
    <w:link w:val="Footer"/>
    <w:rsid w:val="00722D18"/>
    <w:rPr>
      <w:sz w:val="24"/>
      <w:lang w:val="el-GR"/>
    </w:rPr>
  </w:style>
  <w:style w:type="paragraph" w:customStyle="1" w:styleId="HeaderCouncil">
    <w:name w:val="Header Council"/>
    <w:basedOn w:val="Normal"/>
    <w:rsid w:val="00722D18"/>
    <w:pPr>
      <w:widowControl/>
    </w:pPr>
    <w:rPr>
      <w:rFonts w:eastAsia="Calibri"/>
      <w:sz w:val="2"/>
      <w:szCs w:val="22"/>
      <w:lang w:eastAsia="en-US"/>
    </w:rPr>
  </w:style>
  <w:style w:type="paragraph" w:customStyle="1" w:styleId="FooterCouncil">
    <w:name w:val="Footer Council"/>
    <w:basedOn w:val="Normal"/>
    <w:rsid w:val="00722D18"/>
    <w:pPr>
      <w:widowControl/>
    </w:pPr>
    <w:rPr>
      <w:rFonts w:eastAsia="Calibri"/>
      <w:sz w:val="2"/>
      <w:szCs w:val="22"/>
      <w:lang w:eastAsia="en-US"/>
    </w:rPr>
  </w:style>
  <w:style w:type="character" w:customStyle="1" w:styleId="Hyperlink1">
    <w:name w:val="Hyperlink1"/>
    <w:basedOn w:val="DefaultParagraphFont"/>
    <w:uiPriority w:val="99"/>
    <w:unhideWhenUsed/>
    <w:rsid w:val="00722D18"/>
    <w:rPr>
      <w:color w:val="0563C1"/>
      <w:u w:val="single"/>
    </w:rPr>
  </w:style>
  <w:style w:type="paragraph" w:customStyle="1" w:styleId="HeaderCouncilLarge">
    <w:name w:val="Header Council Large"/>
    <w:basedOn w:val="Normal"/>
    <w:link w:val="HeaderCouncilLargeChar"/>
    <w:rsid w:val="00722D18"/>
    <w:pPr>
      <w:widowControl/>
      <w:spacing w:after="440" w:line="360" w:lineRule="auto"/>
    </w:pPr>
    <w:rPr>
      <w:rFonts w:eastAsia="Calibri"/>
      <w:sz w:val="2"/>
      <w:szCs w:val="22"/>
      <w:lang w:eastAsia="en-US"/>
    </w:rPr>
  </w:style>
  <w:style w:type="character" w:customStyle="1" w:styleId="HeaderCouncilLargeChar">
    <w:name w:val="Header Council Large Char"/>
    <w:basedOn w:val="DefaultParagraphFont"/>
    <w:link w:val="HeaderCouncilLarge"/>
    <w:rsid w:val="00722D18"/>
    <w:rPr>
      <w:rFonts w:eastAsia="Calibri"/>
      <w:sz w:val="2"/>
      <w:szCs w:val="22"/>
      <w:lang w:val="el-GR" w:eastAsia="en-US"/>
    </w:rPr>
  </w:style>
  <w:style w:type="paragraph" w:customStyle="1" w:styleId="FooterText">
    <w:name w:val="Footer Text"/>
    <w:basedOn w:val="Normal"/>
    <w:rsid w:val="00722D18"/>
    <w:pPr>
      <w:widowControl/>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2026-08-31T12:15:00Z</dcterms:created>
  <dcterms:modified xsi:type="dcterms:W3CDTF">2026-08-31T12:15:00Z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P10_TA(2026)0197_</vt:lpwstr>
  </property>
  <property fmtid="{D5CDD505-2E9C-101B-9397-08002B2CF9AE}" pid="4" name="&lt;Type&gt;">
    <vt:lpwstr>RR</vt:lpwstr>
  </property>
</Properties>
</file>