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52750" w14:paraId="3E5C31BF" w14:textId="77777777" w:rsidTr="0010095E">
        <w:trPr>
          <w:trHeight w:hRule="exact" w:val="1418"/>
        </w:trPr>
        <w:tc>
          <w:tcPr>
            <w:tcW w:w="6804" w:type="dxa"/>
            <w:shd w:val="clear" w:color="auto" w:fill="auto"/>
            <w:vAlign w:val="center"/>
          </w:tcPr>
          <w:p w14:paraId="3F192C2A" w14:textId="77777777" w:rsidR="00751A4A" w:rsidRPr="00D52750" w:rsidRDefault="00BF2835" w:rsidP="0010095E">
            <w:pPr>
              <w:pStyle w:val="EPName"/>
            </w:pPr>
            <w:r w:rsidRPr="00D52750">
              <w:t>European Parliament</w:t>
            </w:r>
          </w:p>
          <w:p w14:paraId="43C013E9" w14:textId="77777777" w:rsidR="00751A4A" w:rsidRPr="00D52750" w:rsidRDefault="005F1B17" w:rsidP="005F1B17">
            <w:pPr>
              <w:pStyle w:val="EPTerm"/>
              <w:rPr>
                <w:rStyle w:val="HideTWBExt"/>
                <w:noProof w:val="0"/>
                <w:vanish w:val="0"/>
                <w:color w:val="auto"/>
              </w:rPr>
            </w:pPr>
            <w:r w:rsidRPr="00D52750">
              <w:t>2024</w:t>
            </w:r>
            <w:r w:rsidR="00817416" w:rsidRPr="00D52750">
              <w:t>-202</w:t>
            </w:r>
            <w:r w:rsidRPr="00D52750">
              <w:t>9</w:t>
            </w:r>
          </w:p>
        </w:tc>
        <w:tc>
          <w:tcPr>
            <w:tcW w:w="2268" w:type="dxa"/>
            <w:shd w:val="clear" w:color="auto" w:fill="auto"/>
          </w:tcPr>
          <w:p w14:paraId="3AC8A484" w14:textId="77777777" w:rsidR="00751A4A" w:rsidRPr="00D52750" w:rsidRDefault="00187494" w:rsidP="0010095E">
            <w:pPr>
              <w:pStyle w:val="EPLogo"/>
            </w:pPr>
            <w:r w:rsidRPr="00D52750">
              <w:rPr>
                <w:noProof/>
                <w:lang w:eastAsia="ja-JP"/>
              </w:rPr>
              <w:drawing>
                <wp:inline distT="0" distB="0" distL="0" distR="0" wp14:anchorId="6C906DC1" wp14:editId="7BCF7D7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1ED4566" w14:textId="77777777" w:rsidR="00D058B8" w:rsidRPr="00D52750" w:rsidRDefault="00D058B8" w:rsidP="004C5D52">
      <w:pPr>
        <w:pStyle w:val="LineTop"/>
      </w:pPr>
    </w:p>
    <w:p w14:paraId="368C522A" w14:textId="77777777" w:rsidR="00680577" w:rsidRPr="00D52750" w:rsidRDefault="00BF2835" w:rsidP="00680577">
      <w:pPr>
        <w:pStyle w:val="EPBodyTA1"/>
      </w:pPr>
      <w:r w:rsidRPr="00D52750">
        <w:t>TEXTS ADOPTED</w:t>
      </w:r>
    </w:p>
    <w:p w14:paraId="4038F5B1" w14:textId="77777777" w:rsidR="00D058B8" w:rsidRPr="00D52750" w:rsidRDefault="00D058B8" w:rsidP="00D058B8">
      <w:pPr>
        <w:pStyle w:val="LineBottom"/>
      </w:pPr>
    </w:p>
    <w:p w14:paraId="6436585F" w14:textId="1DEF50EA" w:rsidR="00BF2835" w:rsidRPr="00D52750" w:rsidRDefault="00BF2835" w:rsidP="00BF2835">
      <w:pPr>
        <w:pStyle w:val="ATHeading1"/>
      </w:pPr>
      <w:bookmarkStart w:id="0" w:name="TANumber"/>
      <w:r w:rsidRPr="00D52750">
        <w:t>P10_TA(2026)</w:t>
      </w:r>
      <w:bookmarkEnd w:id="0"/>
      <w:r w:rsidR="00A85C8B">
        <w:t>0197</w:t>
      </w:r>
    </w:p>
    <w:p w14:paraId="13E922E2" w14:textId="19D9BB71" w:rsidR="00BF2835" w:rsidRPr="00D52750" w:rsidRDefault="00BC59D0" w:rsidP="00BF2835">
      <w:pPr>
        <w:pStyle w:val="ATHeading2"/>
      </w:pPr>
      <w:bookmarkStart w:id="1" w:name="title"/>
      <w:r w:rsidRPr="00BC59D0">
        <w:rPr>
          <w:bCs/>
        </w:rPr>
        <w:t>Non-application of customs duties on imports of certain goods</w:t>
      </w:r>
      <w:bookmarkEnd w:id="1"/>
    </w:p>
    <w:p w14:paraId="71EC00EE" w14:textId="77777777" w:rsidR="00BF2835" w:rsidRPr="00D52750" w:rsidRDefault="00BF2835" w:rsidP="00BF2835">
      <w:pPr>
        <w:rPr>
          <w:i/>
          <w:vanish/>
        </w:rPr>
      </w:pPr>
      <w:r w:rsidRPr="00D52750">
        <w:rPr>
          <w:i/>
        </w:rPr>
        <w:fldChar w:fldCharType="begin"/>
      </w:r>
      <w:r w:rsidRPr="00D52750">
        <w:rPr>
          <w:i/>
        </w:rPr>
        <w:instrText xml:space="preserve"> TC"(</w:instrText>
      </w:r>
      <w:bookmarkStart w:id="2" w:name="DocNumber"/>
      <w:r w:rsidRPr="00D52750">
        <w:rPr>
          <w:i/>
        </w:rPr>
        <w:instrText>A10-0070/2026</w:instrText>
      </w:r>
      <w:bookmarkEnd w:id="2"/>
      <w:r w:rsidRPr="00D52750">
        <w:rPr>
          <w:i/>
        </w:rPr>
        <w:instrText xml:space="preserve"> - Rapporteur: Bernd Lange)"\l3 \n&gt; \* MERGEFORMAT </w:instrText>
      </w:r>
      <w:r w:rsidRPr="00D52750">
        <w:rPr>
          <w:i/>
        </w:rPr>
        <w:fldChar w:fldCharType="end"/>
      </w:r>
    </w:p>
    <w:p w14:paraId="05EC9995" w14:textId="77777777" w:rsidR="00BF2835" w:rsidRPr="00D52750" w:rsidRDefault="00BF2835" w:rsidP="00BF2835">
      <w:pPr>
        <w:rPr>
          <w:vanish/>
        </w:rPr>
      </w:pPr>
      <w:bookmarkStart w:id="3" w:name="Commission"/>
      <w:r w:rsidRPr="00D52750">
        <w:rPr>
          <w:vanish/>
        </w:rPr>
        <w:t>Committee on International Trade</w:t>
      </w:r>
      <w:bookmarkEnd w:id="3"/>
    </w:p>
    <w:p w14:paraId="60CCAAFD" w14:textId="77777777" w:rsidR="00BF2835" w:rsidRPr="00D52750" w:rsidRDefault="00BF2835" w:rsidP="00BF2835">
      <w:pPr>
        <w:rPr>
          <w:vanish/>
        </w:rPr>
      </w:pPr>
      <w:bookmarkStart w:id="4" w:name="PE"/>
      <w:r w:rsidRPr="00D52750">
        <w:rPr>
          <w:vanish/>
        </w:rPr>
        <w:t>PE779.298</w:t>
      </w:r>
      <w:bookmarkEnd w:id="4"/>
    </w:p>
    <w:p w14:paraId="26C89F27" w14:textId="03B3ADE3" w:rsidR="00BF2835" w:rsidRPr="00D52750" w:rsidRDefault="00BF2835" w:rsidP="00BF2835">
      <w:pPr>
        <w:pStyle w:val="ATHeading3"/>
      </w:pPr>
      <w:bookmarkStart w:id="5" w:name="Sujet"/>
      <w:r w:rsidRPr="00D52750">
        <w:t xml:space="preserve">European Parliament legislative resolution of </w:t>
      </w:r>
      <w:r w:rsidR="00BC59D0">
        <w:t>16</w:t>
      </w:r>
      <w:r w:rsidRPr="00D52750">
        <w:t xml:space="preserve"> </w:t>
      </w:r>
      <w:r w:rsidR="00BC59D0">
        <w:t>June</w:t>
      </w:r>
      <w:r w:rsidRPr="00D52750">
        <w:t xml:space="preserve"> 2026 on the proposal for a regulation of the European Parliament and of the Council on the non-application of customs duties on imports of certain goods</w:t>
      </w:r>
      <w:bookmarkEnd w:id="5"/>
      <w:r w:rsidRPr="00D52750">
        <w:t xml:space="preserve"> </w:t>
      </w:r>
      <w:bookmarkStart w:id="6" w:name="References"/>
      <w:r w:rsidRPr="00D52750">
        <w:t>(</w:t>
      </w:r>
      <w:proofErr w:type="gramStart"/>
      <w:r w:rsidRPr="00D52750">
        <w:t>COM(</w:t>
      </w:r>
      <w:proofErr w:type="gramEnd"/>
      <w:r w:rsidRPr="00D52750">
        <w:t>2025)0472 – C10-0192/2025 – 2025/0260(COD))</w:t>
      </w:r>
      <w:bookmarkEnd w:id="6"/>
    </w:p>
    <w:p w14:paraId="47A9EE4C" w14:textId="77777777" w:rsidR="00972D6B" w:rsidRPr="00D52750" w:rsidRDefault="00972D6B" w:rsidP="00972D6B">
      <w:pPr>
        <w:pStyle w:val="NormalBold"/>
      </w:pPr>
      <w:r w:rsidRPr="00D52750">
        <w:t>(Ordinary legislative procedure: first reading)</w:t>
      </w:r>
    </w:p>
    <w:p w14:paraId="5D27B638" w14:textId="77777777" w:rsidR="00972D6B" w:rsidRPr="00D52750" w:rsidRDefault="00972D6B" w:rsidP="00972D6B">
      <w:pPr>
        <w:pStyle w:val="EPComma"/>
      </w:pPr>
      <w:r w:rsidRPr="00D52750">
        <w:rPr>
          <w:i/>
        </w:rPr>
        <w:t>The European Parliament</w:t>
      </w:r>
      <w:r w:rsidRPr="00D52750">
        <w:t>,</w:t>
      </w:r>
    </w:p>
    <w:p w14:paraId="57866FAA" w14:textId="77777777" w:rsidR="00972D6B" w:rsidRPr="00D52750" w:rsidRDefault="00972D6B" w:rsidP="00972D6B">
      <w:pPr>
        <w:pStyle w:val="NormalHanging12a"/>
      </w:pPr>
      <w:r w:rsidRPr="00D52750">
        <w:t>–</w:t>
      </w:r>
      <w:r w:rsidRPr="00D52750">
        <w:tab/>
        <w:t>having regard to the Commission proposal to Parliament and the Council (</w:t>
      </w:r>
      <w:proofErr w:type="gramStart"/>
      <w:r w:rsidRPr="00D52750">
        <w:t>COM(</w:t>
      </w:r>
      <w:proofErr w:type="gramEnd"/>
      <w:r w:rsidRPr="00D52750">
        <w:t>2025)0472),</w:t>
      </w:r>
    </w:p>
    <w:p w14:paraId="5B76A71F" w14:textId="77777777" w:rsidR="00972D6B" w:rsidRPr="00D52750" w:rsidRDefault="00972D6B" w:rsidP="00972D6B">
      <w:pPr>
        <w:pStyle w:val="NormalHanging12a"/>
      </w:pPr>
      <w:r w:rsidRPr="00D52750">
        <w:t>–</w:t>
      </w:r>
      <w:r w:rsidRPr="00D52750">
        <w:tab/>
        <w:t>having regard to Article 294(2) and Article 207(2) of the Treaty on the Functioning of the European Union, pursuant to which the Commission submitted the proposal to Parliament (C10</w:t>
      </w:r>
      <w:r w:rsidRPr="00D52750">
        <w:noBreakHyphen/>
        <w:t>0192/2025),</w:t>
      </w:r>
    </w:p>
    <w:p w14:paraId="71F62C59" w14:textId="77777777" w:rsidR="00972D6B" w:rsidRPr="00D52750" w:rsidRDefault="00972D6B" w:rsidP="00972D6B">
      <w:pPr>
        <w:pStyle w:val="NormalHanging12a"/>
      </w:pPr>
      <w:r w:rsidRPr="00D52750">
        <w:t>–</w:t>
      </w:r>
      <w:r w:rsidRPr="00D52750">
        <w:tab/>
        <w:t>having regard to Article 294(3) of the Treaty on the Functioning of the European Union,</w:t>
      </w:r>
    </w:p>
    <w:p w14:paraId="0C10353E" w14:textId="77777777" w:rsidR="00972D6B" w:rsidRDefault="00972D6B" w:rsidP="00972D6B">
      <w:pPr>
        <w:pStyle w:val="NormalHanging12a"/>
      </w:pPr>
      <w:r w:rsidRPr="00D52750">
        <w:t>–</w:t>
      </w:r>
      <w:r w:rsidRPr="00D52750">
        <w:tab/>
        <w:t>having regard to the budgetary assessment by the Committee on Budgets,</w:t>
      </w:r>
    </w:p>
    <w:p w14:paraId="7A4FBE8B" w14:textId="001AF50B" w:rsidR="000560E9" w:rsidRPr="00D52750" w:rsidRDefault="000560E9" w:rsidP="00972D6B">
      <w:pPr>
        <w:pStyle w:val="NormalHanging12a"/>
      </w:pPr>
      <w:r w:rsidRPr="000560E9">
        <w:t>–</w:t>
      </w:r>
      <w:r w:rsidRPr="000560E9">
        <w:tab/>
        <w:t>having regard to the provisional agreement approved by the committee responsible under Rule 75(4) of its Rules of Procedure and the undertaking given by the Council representative by letter of 27 May 2026 to approve Parliament’s position, in accordance with Article 294(4) of the Treaty on the Functioning of the European Union,</w:t>
      </w:r>
    </w:p>
    <w:p w14:paraId="64D73602" w14:textId="6C04AF5E" w:rsidR="00972D6B" w:rsidRPr="00D52750" w:rsidRDefault="00972D6B" w:rsidP="00972D6B">
      <w:pPr>
        <w:pStyle w:val="NormalHanging12a"/>
      </w:pPr>
      <w:r w:rsidRPr="00D52750">
        <w:t>–</w:t>
      </w:r>
      <w:r w:rsidRPr="00D52750">
        <w:tab/>
        <w:t>having regard to Rule</w:t>
      </w:r>
      <w:r w:rsidR="000560E9">
        <w:t>s</w:t>
      </w:r>
      <w:r w:rsidRPr="00D52750">
        <w:t xml:space="preserve"> 60 </w:t>
      </w:r>
      <w:r w:rsidR="000560E9">
        <w:t xml:space="preserve">and 58 </w:t>
      </w:r>
      <w:r w:rsidRPr="00D52750">
        <w:t>of its Rules of Procedure,</w:t>
      </w:r>
    </w:p>
    <w:p w14:paraId="2F3FC431" w14:textId="77777777" w:rsidR="00972D6B" w:rsidRPr="00D52750" w:rsidRDefault="00972D6B" w:rsidP="00972D6B">
      <w:pPr>
        <w:pStyle w:val="NormalHanging12a"/>
      </w:pPr>
      <w:r w:rsidRPr="00D52750">
        <w:t>–</w:t>
      </w:r>
      <w:r w:rsidRPr="00D52750">
        <w:tab/>
        <w:t>having regard to the report of the Committee on International Trade (A10-0070/2026),</w:t>
      </w:r>
    </w:p>
    <w:p w14:paraId="3C5660FF" w14:textId="1D1E5CA4" w:rsidR="00972D6B" w:rsidRPr="00D52750" w:rsidRDefault="00972D6B" w:rsidP="00972D6B">
      <w:pPr>
        <w:pStyle w:val="NormalHanging12a"/>
      </w:pPr>
      <w:r w:rsidRPr="00D52750">
        <w:t>1.</w:t>
      </w:r>
      <w:r w:rsidRPr="00D52750">
        <w:tab/>
        <w:t>Adopts its position at first reading hereinafter set out</w:t>
      </w:r>
      <w:r w:rsidR="00E01BD2">
        <w:rPr>
          <w:rStyle w:val="FootnoteReference"/>
        </w:rPr>
        <w:footnoteReference w:id="1"/>
      </w:r>
      <w:r w:rsidRPr="00D52750">
        <w:t>;</w:t>
      </w:r>
    </w:p>
    <w:p w14:paraId="58D3DE44" w14:textId="77777777" w:rsidR="00972D6B" w:rsidRPr="00D52750" w:rsidRDefault="00972D6B" w:rsidP="00972D6B">
      <w:pPr>
        <w:pStyle w:val="NormalHanging12a"/>
      </w:pPr>
      <w:r w:rsidRPr="00D52750">
        <w:t>2.</w:t>
      </w:r>
      <w:r w:rsidRPr="00D52750">
        <w:tab/>
        <w:t xml:space="preserve">Calls on the Commission to refer the matter to Parliament again if it replaces, substantially amends or intends to substantially amend its </w:t>
      </w:r>
      <w:proofErr w:type="gramStart"/>
      <w:r w:rsidRPr="00D52750">
        <w:t>proposal;</w:t>
      </w:r>
      <w:proofErr w:type="gramEnd"/>
    </w:p>
    <w:p w14:paraId="3C0F6FD3" w14:textId="77777777" w:rsidR="00BC59D0" w:rsidRDefault="00972D6B" w:rsidP="00972D6B">
      <w:pPr>
        <w:pStyle w:val="NormalHanging12a"/>
        <w:sectPr w:rsidR="00BC59D0" w:rsidSect="00D5275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D52750">
        <w:t>3.</w:t>
      </w:r>
      <w:r w:rsidRPr="00D52750">
        <w:tab/>
        <w:t xml:space="preserve">Instructs its President to forward its position to the Council, the Commission and the </w:t>
      </w:r>
      <w:r w:rsidRPr="00D52750">
        <w:lastRenderedPageBreak/>
        <w:t>national parliaments.</w:t>
      </w:r>
    </w:p>
    <w:p w14:paraId="1599D195" w14:textId="62D7508D" w:rsidR="00BC59D0" w:rsidRPr="00BC59D0" w:rsidRDefault="00BC59D0" w:rsidP="00BC59D0">
      <w:pPr>
        <w:autoSpaceDE w:val="0"/>
        <w:autoSpaceDN w:val="0"/>
        <w:adjustRightInd w:val="0"/>
        <w:spacing w:after="240"/>
        <w:rPr>
          <w:rFonts w:eastAsia="Calibri"/>
          <w:b/>
          <w:bCs/>
          <w:color w:val="000000"/>
          <w:szCs w:val="24"/>
        </w:rPr>
      </w:pPr>
      <w:r w:rsidRPr="00BC59D0">
        <w:rPr>
          <w:rFonts w:eastAsia="Calibri"/>
          <w:b/>
          <w:bCs/>
          <w:color w:val="000000"/>
          <w:szCs w:val="24"/>
        </w:rPr>
        <w:lastRenderedPageBreak/>
        <w:t>P10_TC1-</w:t>
      </w:r>
      <w:proofErr w:type="gramStart"/>
      <w:r w:rsidRPr="00BC59D0">
        <w:rPr>
          <w:rFonts w:eastAsia="Calibri"/>
          <w:b/>
          <w:bCs/>
          <w:color w:val="000000"/>
          <w:szCs w:val="24"/>
        </w:rPr>
        <w:t>COD(</w:t>
      </w:r>
      <w:proofErr w:type="gramEnd"/>
      <w:r w:rsidRPr="00BC59D0">
        <w:rPr>
          <w:rFonts w:eastAsia="Calibri"/>
          <w:b/>
          <w:bCs/>
          <w:color w:val="000000"/>
          <w:szCs w:val="24"/>
        </w:rPr>
        <w:t>2025)0260</w:t>
      </w:r>
    </w:p>
    <w:p w14:paraId="083E8AF2" w14:textId="4657A7D3" w:rsidR="00362EF8" w:rsidRPr="00362EF8" w:rsidRDefault="00BC59D0" w:rsidP="00362EF8">
      <w:pPr>
        <w:widowControl/>
        <w:autoSpaceDE w:val="0"/>
        <w:autoSpaceDN w:val="0"/>
        <w:adjustRightInd w:val="0"/>
        <w:spacing w:before="120" w:after="120"/>
        <w:rPr>
          <w:rFonts w:eastAsia="Calibri"/>
          <w:b/>
          <w:bCs/>
          <w:szCs w:val="22"/>
          <w:lang w:eastAsia="en-US"/>
        </w:rPr>
      </w:pPr>
      <w:r w:rsidRPr="00BC59D0">
        <w:rPr>
          <w:rFonts w:eastAsia="Calibri"/>
          <w:b/>
          <w:bCs/>
          <w:szCs w:val="24"/>
        </w:rPr>
        <w:t xml:space="preserve">Position of the European Parliament adopted at first reading on 16 June 2026 with a view to the adoption of Regulation (EU) 2026/… of the European Parliament and of the Council </w:t>
      </w:r>
      <w:bookmarkStart w:id="7" w:name="_DV_M1"/>
      <w:bookmarkStart w:id="8" w:name="_DV_M2"/>
      <w:bookmarkStart w:id="9" w:name="_DV_M0"/>
      <w:bookmarkEnd w:id="7"/>
      <w:bookmarkEnd w:id="8"/>
      <w:bookmarkEnd w:id="9"/>
      <w:r w:rsidR="00362EF8" w:rsidRPr="00362EF8">
        <w:rPr>
          <w:rFonts w:eastAsia="Calibri"/>
          <w:b/>
          <w:bCs/>
          <w:szCs w:val="22"/>
          <w:lang w:eastAsia="en-US"/>
        </w:rPr>
        <w:t>on the non-application of customs duties on imports of certain goods</w:t>
      </w:r>
    </w:p>
    <w:p w14:paraId="62651AE3" w14:textId="77777777" w:rsidR="00362EF8" w:rsidRPr="00362EF8" w:rsidRDefault="00362EF8" w:rsidP="00362EF8">
      <w:pPr>
        <w:widowControl/>
        <w:spacing w:before="600" w:after="120" w:line="360" w:lineRule="auto"/>
        <w:rPr>
          <w:rFonts w:eastAsia="Calibri"/>
          <w:szCs w:val="22"/>
          <w:lang w:eastAsia="en-US"/>
        </w:rPr>
      </w:pPr>
      <w:r w:rsidRPr="00362EF8">
        <w:rPr>
          <w:rFonts w:eastAsia="Calibri"/>
          <w:szCs w:val="22"/>
          <w:lang w:eastAsia="en-US"/>
        </w:rPr>
        <w:t>THE EUROPEAN PARLIAMENT AND THE COUNCIL OF THE EUROPEAN UNION,</w:t>
      </w:r>
    </w:p>
    <w:p w14:paraId="5BC56069"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Having regard to the Treaty on the Functioning of the European Union, and in particular Article 207(2) thereof,</w:t>
      </w:r>
    </w:p>
    <w:p w14:paraId="3E109634"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Having regard to the proposal from the European Commission,</w:t>
      </w:r>
    </w:p>
    <w:p w14:paraId="1D5F1E9C"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After transmission of the draft legislative act to the national parliaments,</w:t>
      </w:r>
    </w:p>
    <w:p w14:paraId="652618B7"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Acting in accordance with the ordinary legislative procedure</w:t>
      </w:r>
      <w:r w:rsidRPr="00257AC6">
        <w:rPr>
          <w:rFonts w:eastAsia="Calibri"/>
          <w:b/>
          <w:szCs w:val="24"/>
          <w:vertAlign w:val="superscript"/>
          <w:lang w:eastAsia="en-US"/>
        </w:rPr>
        <w:footnoteReference w:id="2"/>
      </w:r>
      <w:r w:rsidRPr="00257AC6">
        <w:rPr>
          <w:rFonts w:eastAsia="Calibri"/>
          <w:szCs w:val="24"/>
          <w:lang w:eastAsia="en-US"/>
        </w:rPr>
        <w:t>,</w:t>
      </w:r>
    </w:p>
    <w:p w14:paraId="018F20B7" w14:textId="77777777" w:rsidR="00362EF8" w:rsidRPr="00257AC6" w:rsidRDefault="00362EF8" w:rsidP="00362EF8">
      <w:pPr>
        <w:widowControl/>
        <w:spacing w:after="160" w:line="259" w:lineRule="auto"/>
        <w:rPr>
          <w:rFonts w:eastAsia="Calibri"/>
          <w:szCs w:val="24"/>
          <w:lang w:eastAsia="en-US"/>
        </w:rPr>
      </w:pPr>
      <w:r w:rsidRPr="00257AC6">
        <w:rPr>
          <w:rFonts w:eastAsia="Calibri"/>
          <w:szCs w:val="24"/>
          <w:lang w:eastAsia="en-US"/>
        </w:rPr>
        <w:br w:type="page"/>
      </w:r>
    </w:p>
    <w:p w14:paraId="6AE6C619"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lastRenderedPageBreak/>
        <w:t>Whereas:</w:t>
      </w:r>
    </w:p>
    <w:p w14:paraId="324AA113"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(1)</w:t>
      </w:r>
      <w:r w:rsidRPr="00257AC6">
        <w:rPr>
          <w:rFonts w:eastAsia="Calibri"/>
          <w:szCs w:val="24"/>
          <w:lang w:eastAsia="en-US"/>
        </w:rPr>
        <w:tab/>
        <w:t>The Union and the United States of America (the ‘United States’) have the largest and deepest bilateral trade and investment relationship in the world and have highly integrated economies. The total two-way trade between them was worth more than EUR 1,6 trillion in 2024. That deep and comprehensive partnership is underpinned by significant mutual investments in each other's markets, worth approximately EUR 5,3 trillion.</w:t>
      </w:r>
    </w:p>
    <w:p w14:paraId="74121BCF"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(2)</w:t>
      </w:r>
      <w:r w:rsidRPr="00257AC6">
        <w:rPr>
          <w:rFonts w:eastAsia="Calibri"/>
          <w:szCs w:val="24"/>
          <w:lang w:eastAsia="en-US"/>
        </w:rPr>
        <w:tab/>
        <w:t>To avoid disruption of their trade and investment relationship, and to continue improving that relationship</w:t>
      </w:r>
      <w:r w:rsidRPr="00257AC6">
        <w:rPr>
          <w:rFonts w:eastAsia="Calibri"/>
          <w:b/>
          <w:i/>
          <w:szCs w:val="24"/>
          <w:lang w:eastAsia="en-US"/>
        </w:rPr>
        <w:t>, the Union and the United States agreed the Joint Statement on a Tariff Agreement, announced on 21 August 2020 (the ‘2020 Joint Statement’), under which the Union committed to eliminate tariffs on imports of United States live and frozen lobster products and the United States committed in return to reduce by 50 % its tariff rates on certain products exported by the Union worth an average annual trade value of USD 160 million, including certain prepared meals, certain crystal glassware, surface preparations, propellant powders, cigarette lighters and lighter parts. In order to implement the 2020 Joint Statement</w:t>
      </w:r>
      <w:r w:rsidRPr="00257AC6">
        <w:rPr>
          <w:rFonts w:eastAsia="Calibri"/>
          <w:szCs w:val="24"/>
          <w:lang w:eastAsia="en-US"/>
        </w:rPr>
        <w:t>, on 16 December 2020, the Union adopted Regulation (EU) 2020/2131 of the European Parliament and of the Council</w:t>
      </w:r>
      <w:r w:rsidRPr="00257AC6">
        <w:rPr>
          <w:rFonts w:eastAsia="Calibri"/>
          <w:b/>
          <w:szCs w:val="24"/>
          <w:vertAlign w:val="superscript"/>
          <w:lang w:eastAsia="en-US"/>
        </w:rPr>
        <w:footnoteReference w:id="3"/>
      </w:r>
      <w:r w:rsidRPr="00257AC6">
        <w:rPr>
          <w:rFonts w:eastAsia="Calibri"/>
          <w:iCs/>
          <w:szCs w:val="24"/>
          <w:lang w:eastAsia="en-US"/>
        </w:rPr>
        <w:t xml:space="preserve"> </w:t>
      </w:r>
      <w:r w:rsidRPr="00257AC6">
        <w:rPr>
          <w:rFonts w:eastAsia="Calibri"/>
          <w:szCs w:val="24"/>
          <w:lang w:eastAsia="en-US"/>
        </w:rPr>
        <w:t>on the elimination of customs duties on ▌</w:t>
      </w:r>
      <w:r w:rsidRPr="00257AC6">
        <w:rPr>
          <w:rFonts w:eastAsia="Calibri"/>
          <w:b/>
          <w:i/>
          <w:szCs w:val="24"/>
          <w:lang w:eastAsia="en-US"/>
        </w:rPr>
        <w:t xml:space="preserve">an </w:t>
      </w:r>
      <w:proofErr w:type="spellStart"/>
      <w:r w:rsidRPr="00257AC6">
        <w:rPr>
          <w:rFonts w:eastAsia="Calibri"/>
          <w:b/>
          <w:i/>
          <w:szCs w:val="24"/>
          <w:lang w:eastAsia="en-US"/>
        </w:rPr>
        <w:t>erga</w:t>
      </w:r>
      <w:proofErr w:type="spellEnd"/>
      <w:r w:rsidRPr="00257AC6">
        <w:rPr>
          <w:rFonts w:eastAsia="Calibri"/>
          <w:b/>
          <w:i/>
          <w:szCs w:val="24"/>
          <w:lang w:eastAsia="en-US"/>
        </w:rPr>
        <w:t xml:space="preserve"> omnes basis, on a limited number of</w:t>
      </w:r>
      <w:r w:rsidRPr="00257AC6">
        <w:rPr>
          <w:rFonts w:eastAsia="Calibri"/>
          <w:szCs w:val="24"/>
          <w:lang w:eastAsia="en-US"/>
        </w:rPr>
        <w:t xml:space="preserve"> goods, ▌</w:t>
      </w:r>
      <w:r w:rsidRPr="00257AC6">
        <w:rPr>
          <w:rFonts w:eastAsia="Calibri"/>
          <w:b/>
          <w:i/>
          <w:szCs w:val="24"/>
          <w:lang w:eastAsia="en-US"/>
        </w:rPr>
        <w:t>including live and frozen</w:t>
      </w:r>
      <w:r w:rsidRPr="00257AC6">
        <w:rPr>
          <w:rFonts w:eastAsia="Calibri"/>
          <w:szCs w:val="24"/>
          <w:lang w:eastAsia="en-US"/>
        </w:rPr>
        <w:t xml:space="preserve"> lobster</w:t>
      </w:r>
      <w:r w:rsidRPr="00257AC6">
        <w:rPr>
          <w:rFonts w:eastAsia="Calibri"/>
          <w:b/>
          <w:i/>
          <w:szCs w:val="24"/>
          <w:lang w:eastAsia="en-US"/>
        </w:rPr>
        <w:t xml:space="preserve"> ▌products originating in the United States, for the period</w:t>
      </w:r>
      <w:r w:rsidRPr="00257AC6">
        <w:rPr>
          <w:rFonts w:eastAsia="Calibri"/>
          <w:szCs w:val="24"/>
          <w:lang w:eastAsia="en-US"/>
        </w:rPr>
        <w:t xml:space="preserve"> from 1 August 2020 ▌</w:t>
      </w:r>
      <w:r w:rsidRPr="00257AC6">
        <w:rPr>
          <w:rFonts w:eastAsia="Calibri"/>
          <w:b/>
          <w:i/>
          <w:szCs w:val="24"/>
          <w:lang w:eastAsia="en-US"/>
        </w:rPr>
        <w:t>until</w:t>
      </w:r>
      <w:r w:rsidRPr="00257AC6">
        <w:rPr>
          <w:rFonts w:eastAsia="Calibri"/>
          <w:szCs w:val="24"/>
          <w:lang w:eastAsia="en-US"/>
        </w:rPr>
        <w:t xml:space="preserve"> 31 July 2025.</w:t>
      </w:r>
    </w:p>
    <w:p w14:paraId="75C1C018" w14:textId="77777777" w:rsidR="00362EF8" w:rsidRPr="00257AC6" w:rsidRDefault="00362EF8" w:rsidP="00362EF8">
      <w:pPr>
        <w:widowControl/>
        <w:spacing w:after="160" w:line="259" w:lineRule="auto"/>
        <w:rPr>
          <w:rFonts w:eastAsia="Calibri"/>
          <w:szCs w:val="24"/>
          <w:lang w:eastAsia="en-US"/>
        </w:rPr>
      </w:pPr>
      <w:r w:rsidRPr="00257AC6">
        <w:rPr>
          <w:rFonts w:eastAsia="Calibri"/>
          <w:szCs w:val="24"/>
          <w:lang w:eastAsia="en-US"/>
        </w:rPr>
        <w:br w:type="page"/>
      </w:r>
    </w:p>
    <w:p w14:paraId="24F34824"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lastRenderedPageBreak/>
        <w:t>(3)</w:t>
      </w:r>
      <w:r w:rsidRPr="00257AC6">
        <w:rPr>
          <w:rFonts w:eastAsia="Calibri"/>
          <w:szCs w:val="24"/>
          <w:lang w:eastAsia="en-US"/>
        </w:rPr>
        <w:tab/>
        <w:t xml:space="preserve">On 27 July 2025, the President of the Commission and the President of the United States reached a political agreement which was subsequently reflected in the Joint Statement on a European Union – United States Framework on an Agreement on Reciprocal, Fair and Balanced Trade of 21 August 2025 (the ‘Joint Statement’). In line with that political agreement and the Joint Statement, and </w:t>
      </w:r>
      <w:proofErr w:type="gramStart"/>
      <w:r w:rsidRPr="00257AC6">
        <w:rPr>
          <w:rFonts w:eastAsia="Calibri"/>
          <w:szCs w:val="24"/>
          <w:lang w:eastAsia="en-US"/>
        </w:rPr>
        <w:t>in order to</w:t>
      </w:r>
      <w:proofErr w:type="gramEnd"/>
      <w:r w:rsidRPr="00257AC6">
        <w:rPr>
          <w:rFonts w:eastAsia="Calibri"/>
          <w:szCs w:val="24"/>
          <w:lang w:eastAsia="en-US"/>
        </w:rPr>
        <w:t xml:space="preserve"> secure continued access for Union goods to the United States’ market, the Union should provide for the non-application, for a further period, of the customs duties on imports into the Union of the types of lobster covered by Regulation (EU) 2020/2131. In line with that political agreement and the Joint Statement, the non-application of customs duties should also include imports of processed lobster classified under code 1605 30 90 of the Combined Nomenclature (CN), </w:t>
      </w:r>
      <w:r w:rsidRPr="00257AC6">
        <w:rPr>
          <w:rFonts w:eastAsia="Calibri"/>
          <w:bCs/>
          <w:iCs/>
          <w:szCs w:val="24"/>
          <w:lang w:eastAsia="en-US"/>
        </w:rPr>
        <w:t>as laid down in Council Regulation (EEC) No 2658/87</w:t>
      </w:r>
      <w:r w:rsidRPr="00257AC6">
        <w:rPr>
          <w:rFonts w:eastAsia="Calibri"/>
          <w:bCs/>
          <w:iCs/>
          <w:szCs w:val="24"/>
          <w:vertAlign w:val="superscript"/>
          <w:lang w:eastAsia="en-US"/>
        </w:rPr>
        <w:footnoteReference w:id="4"/>
      </w:r>
      <w:r w:rsidRPr="00257AC6">
        <w:rPr>
          <w:rFonts w:eastAsia="Calibri"/>
          <w:szCs w:val="24"/>
          <w:lang w:eastAsia="en-US"/>
        </w:rPr>
        <w:t>.</w:t>
      </w:r>
    </w:p>
    <w:p w14:paraId="24234474"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(4)</w:t>
      </w:r>
      <w:r w:rsidRPr="00257AC6">
        <w:rPr>
          <w:rFonts w:eastAsia="Calibri"/>
          <w:szCs w:val="24"/>
          <w:lang w:eastAsia="en-US"/>
        </w:rPr>
        <w:tab/>
        <w:t>Therefore, the applicable customs duties on imports of the goods covered by this Regulation should be 0 % ▌</w:t>
      </w:r>
      <w:r w:rsidRPr="00257AC6">
        <w:rPr>
          <w:rFonts w:eastAsia="Calibri"/>
          <w:b/>
          <w:i/>
          <w:szCs w:val="24"/>
          <w:lang w:eastAsia="en-US"/>
        </w:rPr>
        <w:t>unless</w:t>
      </w:r>
      <w:r w:rsidRPr="00257AC6">
        <w:rPr>
          <w:rFonts w:eastAsia="Calibri"/>
          <w:szCs w:val="24"/>
          <w:lang w:eastAsia="en-US"/>
        </w:rPr>
        <w:t xml:space="preserve"> the United States </w:t>
      </w:r>
      <w:r w:rsidRPr="00257AC6">
        <w:rPr>
          <w:rFonts w:eastAsia="Calibri"/>
          <w:b/>
          <w:i/>
          <w:szCs w:val="24"/>
          <w:lang w:eastAsia="en-US"/>
        </w:rPr>
        <w:t>no longer</w:t>
      </w:r>
      <w:r w:rsidRPr="00257AC6">
        <w:rPr>
          <w:rFonts w:eastAsia="Calibri"/>
          <w:szCs w:val="24"/>
          <w:lang w:eastAsia="en-US"/>
        </w:rPr>
        <w:t xml:space="preserve"> implements the Joint Statement in an effective manner.</w:t>
      </w:r>
    </w:p>
    <w:p w14:paraId="7805D288"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(5)</w:t>
      </w:r>
      <w:r w:rsidRPr="00257AC6">
        <w:rPr>
          <w:rFonts w:eastAsia="Calibri"/>
          <w:szCs w:val="24"/>
          <w:lang w:eastAsia="en-US"/>
        </w:rPr>
        <w:tab/>
        <w:t>In order to ensure uniform conditions for the implementation of this Regulation, implementing powers should be conferred on the Commission to suspend, in whole or in part, the non-application of customs duties on goods covered by this Regulation, in specific circumstances. Those powers should be exercised in accordance with Regulation (EU) No 182/2011 of the European Parliament and of the Council</w:t>
      </w:r>
      <w:r w:rsidRPr="00257AC6">
        <w:rPr>
          <w:rFonts w:eastAsia="Calibri"/>
          <w:b/>
          <w:szCs w:val="24"/>
          <w:vertAlign w:val="superscript"/>
          <w:lang w:eastAsia="en-US"/>
        </w:rPr>
        <w:footnoteReference w:id="5"/>
      </w:r>
      <w:r w:rsidRPr="00257AC6">
        <w:rPr>
          <w:rFonts w:eastAsia="Calibri"/>
          <w:szCs w:val="24"/>
          <w:lang w:eastAsia="en-US"/>
        </w:rPr>
        <w:t>.</w:t>
      </w:r>
    </w:p>
    <w:p w14:paraId="126A94AF" w14:textId="77777777" w:rsidR="00362EF8" w:rsidRPr="00257AC6" w:rsidRDefault="00362EF8" w:rsidP="00362EF8">
      <w:pPr>
        <w:widowControl/>
        <w:spacing w:after="160" w:line="259" w:lineRule="auto"/>
        <w:rPr>
          <w:rFonts w:eastAsia="Calibri"/>
          <w:b/>
          <w:i/>
          <w:szCs w:val="24"/>
          <w:lang w:eastAsia="en-US"/>
        </w:rPr>
      </w:pPr>
      <w:r w:rsidRPr="00257AC6">
        <w:rPr>
          <w:rFonts w:eastAsia="Calibri"/>
          <w:b/>
          <w:i/>
          <w:szCs w:val="24"/>
          <w:lang w:eastAsia="en-US"/>
        </w:rPr>
        <w:br w:type="page"/>
      </w:r>
    </w:p>
    <w:p w14:paraId="1DD6B8FF"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b/>
          <w:i/>
          <w:szCs w:val="24"/>
          <w:lang w:eastAsia="en-US"/>
        </w:rPr>
        <w:lastRenderedPageBreak/>
        <w:t>(6)</w:t>
      </w:r>
      <w:r w:rsidRPr="00257AC6">
        <w:rPr>
          <w:rFonts w:eastAsia="Calibri"/>
          <w:szCs w:val="24"/>
          <w:lang w:eastAsia="en-US"/>
        </w:rPr>
        <w:tab/>
      </w:r>
      <w:r w:rsidRPr="00257AC6">
        <w:rPr>
          <w:rFonts w:eastAsia="Calibri"/>
          <w:b/>
          <w:i/>
          <w:szCs w:val="24"/>
          <w:lang w:eastAsia="en-US"/>
        </w:rPr>
        <w:t>By 31 January 2030, the Commission should present an assessment of the effects of this Regulation. That assessment should cover the changes since 1 August 2025 in trade volumes and values of United States exports to the Union of the goods covered by this Regulation. Where appropriate, that assessment should be accompanied by a legislative proposal to extend the period of application of this Regulation.</w:t>
      </w:r>
    </w:p>
    <w:p w14:paraId="5183C3AF"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(7)</w:t>
      </w:r>
      <w:r w:rsidRPr="00257AC6">
        <w:rPr>
          <w:rFonts w:eastAsia="Calibri"/>
          <w:szCs w:val="24"/>
          <w:lang w:eastAsia="en-US"/>
        </w:rPr>
        <w:tab/>
        <w:t xml:space="preserve">In view of the importance of avoiding disruption of the trade and investment relationship between the Union and the United States, this Regulation should enter into force on the day of its publication. For the same reason, this Regulation should apply with retroactive effect from 1 August 2025. Customs duties paid </w:t>
      </w:r>
      <w:proofErr w:type="gramStart"/>
      <w:r w:rsidRPr="00257AC6">
        <w:rPr>
          <w:rFonts w:eastAsia="Calibri"/>
          <w:szCs w:val="24"/>
          <w:lang w:eastAsia="en-US"/>
        </w:rPr>
        <w:t>in excess of</w:t>
      </w:r>
      <w:proofErr w:type="gramEnd"/>
      <w:r w:rsidRPr="00257AC6">
        <w:rPr>
          <w:rFonts w:eastAsia="Calibri"/>
          <w:szCs w:val="24"/>
          <w:lang w:eastAsia="en-US"/>
        </w:rPr>
        <w:t xml:space="preserve"> those applicable pursuant to this Regulation in the period between 1 August 2025 and the date of entry into force of this Regulation should be reimbursed upon request,</w:t>
      </w:r>
    </w:p>
    <w:p w14:paraId="46F7017E" w14:textId="77777777" w:rsidR="00362EF8" w:rsidRPr="00257AC6" w:rsidRDefault="00362EF8" w:rsidP="00362EF8">
      <w:pPr>
        <w:spacing w:before="120" w:after="120" w:line="360" w:lineRule="auto"/>
        <w:rPr>
          <w:rFonts w:eastAsia="Calibri"/>
          <w:szCs w:val="24"/>
          <w:lang w:eastAsia="en-US"/>
        </w:rPr>
      </w:pPr>
      <w:r w:rsidRPr="00257AC6">
        <w:rPr>
          <w:rFonts w:eastAsia="Calibri"/>
          <w:szCs w:val="24"/>
          <w:lang w:eastAsia="en-US"/>
        </w:rPr>
        <w:t>HAVE ADOPTED THIS REGULATION:</w:t>
      </w:r>
    </w:p>
    <w:p w14:paraId="0D010E5A" w14:textId="77777777" w:rsidR="00362EF8" w:rsidRPr="00257AC6" w:rsidRDefault="00362EF8" w:rsidP="00362EF8">
      <w:pPr>
        <w:widowControl/>
        <w:spacing w:after="160" w:line="259" w:lineRule="auto"/>
        <w:rPr>
          <w:rFonts w:eastAsia="Calibri"/>
          <w:i/>
          <w:szCs w:val="24"/>
          <w:lang w:eastAsia="en-US"/>
        </w:rPr>
      </w:pPr>
      <w:r w:rsidRPr="00257AC6">
        <w:rPr>
          <w:rFonts w:eastAsia="Calibri"/>
          <w:szCs w:val="24"/>
          <w:lang w:eastAsia="en-US"/>
        </w:rPr>
        <w:br w:type="page"/>
      </w:r>
    </w:p>
    <w:p w14:paraId="7C90426C" w14:textId="77777777" w:rsidR="00362EF8" w:rsidRPr="00257AC6" w:rsidRDefault="00362EF8" w:rsidP="00362EF8">
      <w:pPr>
        <w:widowControl/>
        <w:spacing w:before="360" w:after="120" w:line="360" w:lineRule="auto"/>
        <w:jc w:val="center"/>
        <w:rPr>
          <w:rFonts w:eastAsia="Calibri"/>
          <w:i/>
          <w:iCs/>
          <w:szCs w:val="24"/>
          <w:lang w:eastAsia="en-US"/>
        </w:rPr>
      </w:pPr>
      <w:r w:rsidRPr="00257AC6">
        <w:rPr>
          <w:rFonts w:eastAsia="Calibri"/>
          <w:i/>
          <w:iCs/>
          <w:szCs w:val="24"/>
          <w:lang w:eastAsia="en-US"/>
        </w:rPr>
        <w:lastRenderedPageBreak/>
        <w:t>Article 1</w:t>
      </w:r>
      <w:r w:rsidRPr="00257AC6">
        <w:rPr>
          <w:rFonts w:eastAsia="Calibri"/>
          <w:i/>
          <w:iCs/>
          <w:szCs w:val="24"/>
          <w:lang w:eastAsia="en-US"/>
        </w:rPr>
        <w:br/>
      </w:r>
      <w:proofErr w:type="gramStart"/>
      <w:r w:rsidRPr="00257AC6">
        <w:rPr>
          <w:rFonts w:eastAsia="Calibri"/>
          <w:i/>
          <w:iCs/>
          <w:szCs w:val="24"/>
          <w:lang w:eastAsia="en-US"/>
        </w:rPr>
        <w:t>Non-application</w:t>
      </w:r>
      <w:proofErr w:type="gramEnd"/>
      <w:r w:rsidRPr="00257AC6">
        <w:rPr>
          <w:rFonts w:eastAsia="Calibri"/>
          <w:i/>
          <w:iCs/>
          <w:szCs w:val="24"/>
          <w:lang w:eastAsia="en-US"/>
        </w:rPr>
        <w:t xml:space="preserve"> of customs duties</w:t>
      </w:r>
    </w:p>
    <w:p w14:paraId="45511E1F"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The applicable customs duties of the Common Customs Tariff</w:t>
      </w:r>
      <w:r w:rsidRPr="00257AC6">
        <w:rPr>
          <w:rFonts w:eastAsia="Calibri"/>
          <w:bCs/>
          <w:iCs/>
          <w:szCs w:val="24"/>
          <w:lang w:eastAsia="en-US"/>
        </w:rPr>
        <w:t xml:space="preserve"> established by Regulation (EEC) No 2658/87</w:t>
      </w:r>
      <w:r w:rsidRPr="00257AC6">
        <w:rPr>
          <w:rFonts w:eastAsia="Calibri"/>
          <w:szCs w:val="24"/>
          <w:lang w:eastAsia="en-US"/>
        </w:rPr>
        <w:t xml:space="preserve"> on imports into the Union </w:t>
      </w:r>
      <w:r w:rsidRPr="00257AC6">
        <w:rPr>
          <w:rFonts w:eastAsia="Calibri"/>
          <w:b/>
          <w:i/>
          <w:szCs w:val="24"/>
          <w:lang w:eastAsia="en-US"/>
        </w:rPr>
        <w:t>of the</w:t>
      </w:r>
      <w:r w:rsidRPr="00257AC6">
        <w:rPr>
          <w:rFonts w:eastAsia="Calibri"/>
          <w:szCs w:val="24"/>
          <w:lang w:eastAsia="en-US"/>
        </w:rPr>
        <w:t xml:space="preserve"> goods classified under the Combined Nomenclature (CN) codes listed in the Annex to this Regulation shall be 0 %.</w:t>
      </w:r>
    </w:p>
    <w:p w14:paraId="53FD72E3" w14:textId="77777777" w:rsidR="00362EF8" w:rsidRPr="00257AC6" w:rsidRDefault="00362EF8" w:rsidP="00362EF8">
      <w:pPr>
        <w:widowControl/>
        <w:spacing w:before="360" w:after="120" w:line="360" w:lineRule="auto"/>
        <w:jc w:val="center"/>
        <w:rPr>
          <w:rFonts w:eastAsia="Calibri"/>
          <w:i/>
          <w:iCs/>
          <w:szCs w:val="24"/>
          <w:lang w:eastAsia="en-US"/>
        </w:rPr>
      </w:pPr>
      <w:r w:rsidRPr="00257AC6">
        <w:rPr>
          <w:rFonts w:eastAsia="Calibri"/>
          <w:i/>
          <w:iCs/>
          <w:szCs w:val="24"/>
          <w:lang w:eastAsia="en-US"/>
        </w:rPr>
        <w:t>Article 2</w:t>
      </w:r>
      <w:r w:rsidRPr="00257AC6">
        <w:rPr>
          <w:rFonts w:eastAsia="Calibri"/>
          <w:i/>
          <w:iCs/>
          <w:szCs w:val="24"/>
          <w:lang w:eastAsia="en-US"/>
        </w:rPr>
        <w:br/>
        <w:t>Suspension</w:t>
      </w:r>
    </w:p>
    <w:p w14:paraId="3D2D5052"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1.</w:t>
      </w:r>
      <w:r w:rsidRPr="00257AC6">
        <w:rPr>
          <w:rFonts w:eastAsia="Calibri"/>
          <w:szCs w:val="24"/>
          <w:lang w:eastAsia="en-US"/>
        </w:rPr>
        <w:tab/>
        <w:t>The Commission may adopt an implementing act suspending in whole or in part the application of Article 1 in any of the following circumstances:</w:t>
      </w:r>
    </w:p>
    <w:p w14:paraId="0E6F3C2C" w14:textId="77777777" w:rsidR="00362EF8" w:rsidRPr="00257AC6" w:rsidRDefault="00362EF8" w:rsidP="00362EF8">
      <w:pPr>
        <w:widowControl/>
        <w:spacing w:before="120" w:after="120" w:line="360" w:lineRule="auto"/>
        <w:ind w:left="1418" w:hanging="567"/>
        <w:rPr>
          <w:rFonts w:eastAsia="Calibri"/>
          <w:szCs w:val="24"/>
          <w:lang w:eastAsia="en-US"/>
        </w:rPr>
      </w:pPr>
      <w:r w:rsidRPr="00257AC6">
        <w:rPr>
          <w:rFonts w:eastAsia="Calibri"/>
          <w:szCs w:val="24"/>
          <w:lang w:eastAsia="en-US"/>
        </w:rPr>
        <w:t>(a)</w:t>
      </w:r>
      <w:r w:rsidRPr="00257AC6">
        <w:rPr>
          <w:rFonts w:eastAsia="Calibri"/>
          <w:szCs w:val="24"/>
          <w:lang w:eastAsia="en-US"/>
        </w:rPr>
        <w:tab/>
        <w:t>where the United States fails to implement the Joint Statement on a European Union – United States Framework on an Agreement on Reciprocal, Fair and Balanced Trade, announced on 21 August 2025 (the ‘Joint Statement’), or otherwise undermines the objectives of improving the trade and investment relationship between the Union and the United States and the objectives pursued by the Joint Statement, or undermines access of Union economic operators to the United States market, or otherwise disrupts the trade and investment relationship between the Union and the United States;</w:t>
      </w:r>
    </w:p>
    <w:p w14:paraId="5C642A6A" w14:textId="77777777" w:rsidR="00362EF8" w:rsidRPr="00257AC6" w:rsidRDefault="00362EF8" w:rsidP="00362EF8">
      <w:pPr>
        <w:widowControl/>
        <w:spacing w:before="120" w:after="120" w:line="360" w:lineRule="auto"/>
        <w:ind w:left="1418" w:hanging="567"/>
        <w:rPr>
          <w:rFonts w:eastAsia="Calibri"/>
          <w:szCs w:val="24"/>
          <w:lang w:eastAsia="en-US"/>
        </w:rPr>
      </w:pPr>
      <w:r w:rsidRPr="00257AC6">
        <w:rPr>
          <w:rFonts w:eastAsia="Calibri"/>
          <w:szCs w:val="24"/>
          <w:lang w:eastAsia="en-US"/>
        </w:rPr>
        <w:t>(b)</w:t>
      </w:r>
      <w:r w:rsidRPr="00257AC6">
        <w:rPr>
          <w:rFonts w:eastAsia="Calibri"/>
          <w:szCs w:val="24"/>
          <w:lang w:eastAsia="en-US"/>
        </w:rPr>
        <w:tab/>
        <w:t>where there is sufficient indication that the United States will act in the manner referred to in point (a) in the future;</w:t>
      </w:r>
      <w:r w:rsidRPr="00257AC6">
        <w:rPr>
          <w:rFonts w:eastAsia="Calibri"/>
          <w:b/>
          <w:i/>
          <w:szCs w:val="24"/>
          <w:lang w:eastAsia="en-US"/>
        </w:rPr>
        <w:t xml:space="preserve"> or</w:t>
      </w:r>
    </w:p>
    <w:p w14:paraId="09BC1AD3" w14:textId="77777777" w:rsidR="00362EF8" w:rsidRPr="00257AC6" w:rsidRDefault="00362EF8" w:rsidP="00362EF8">
      <w:pPr>
        <w:widowControl/>
        <w:spacing w:after="160" w:line="259" w:lineRule="auto"/>
        <w:rPr>
          <w:rFonts w:eastAsia="Calibri"/>
          <w:szCs w:val="24"/>
          <w:lang w:eastAsia="en-US"/>
        </w:rPr>
      </w:pPr>
      <w:r w:rsidRPr="00257AC6">
        <w:rPr>
          <w:rFonts w:eastAsia="Calibri"/>
          <w:szCs w:val="24"/>
          <w:lang w:eastAsia="en-US"/>
        </w:rPr>
        <w:br w:type="page"/>
      </w:r>
    </w:p>
    <w:p w14:paraId="105DBCDD" w14:textId="77777777" w:rsidR="00362EF8" w:rsidRPr="00257AC6" w:rsidRDefault="00362EF8" w:rsidP="00362EF8">
      <w:pPr>
        <w:widowControl/>
        <w:spacing w:before="120" w:after="120" w:line="360" w:lineRule="auto"/>
        <w:ind w:left="1418" w:hanging="567"/>
        <w:rPr>
          <w:rFonts w:eastAsia="Calibri"/>
          <w:szCs w:val="24"/>
          <w:lang w:eastAsia="en-US"/>
        </w:rPr>
      </w:pPr>
      <w:r w:rsidRPr="00257AC6">
        <w:rPr>
          <w:rFonts w:eastAsia="Calibri"/>
          <w:szCs w:val="24"/>
          <w:lang w:eastAsia="en-US"/>
        </w:rPr>
        <w:lastRenderedPageBreak/>
        <w:t>(c)</w:t>
      </w:r>
      <w:r w:rsidRPr="00257AC6">
        <w:rPr>
          <w:rFonts w:eastAsia="Calibri"/>
          <w:szCs w:val="24"/>
          <w:lang w:eastAsia="en-US"/>
        </w:rPr>
        <w:tab/>
        <w:t xml:space="preserve">where a change of objective circumstances has occurred </w:t>
      </w:r>
      <w:proofErr w:type="gramStart"/>
      <w:r w:rsidRPr="00257AC6">
        <w:rPr>
          <w:rFonts w:eastAsia="Calibri"/>
          <w:szCs w:val="24"/>
          <w:lang w:eastAsia="en-US"/>
        </w:rPr>
        <w:t>with regard to</w:t>
      </w:r>
      <w:proofErr w:type="gramEnd"/>
      <w:r w:rsidRPr="00257AC6">
        <w:rPr>
          <w:rFonts w:eastAsia="Calibri"/>
          <w:szCs w:val="24"/>
          <w:lang w:eastAsia="en-US"/>
        </w:rPr>
        <w:t xml:space="preserve"> those existing on the date of the Joint Statement.</w:t>
      </w:r>
    </w:p>
    <w:p w14:paraId="77232434" w14:textId="77777777" w:rsidR="00362EF8" w:rsidRPr="00257AC6" w:rsidRDefault="00362EF8" w:rsidP="00362EF8">
      <w:pPr>
        <w:widowControl/>
        <w:spacing w:before="120" w:after="120" w:line="360" w:lineRule="auto"/>
        <w:ind w:left="851"/>
        <w:rPr>
          <w:rFonts w:eastAsia="Calibri"/>
          <w:szCs w:val="24"/>
          <w:lang w:eastAsia="en-US"/>
        </w:rPr>
      </w:pPr>
      <w:r w:rsidRPr="00257AC6">
        <w:rPr>
          <w:rFonts w:eastAsia="Calibri"/>
          <w:szCs w:val="24"/>
          <w:lang w:eastAsia="en-US"/>
        </w:rPr>
        <w:t>That implementing act shall be adopted in accordance with the examination procedure referred to in Article 3(2).</w:t>
      </w:r>
    </w:p>
    <w:p w14:paraId="1A30C864"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2.</w:t>
      </w:r>
      <w:r w:rsidRPr="00257AC6">
        <w:rPr>
          <w:rFonts w:eastAsia="Calibri"/>
          <w:szCs w:val="24"/>
          <w:lang w:eastAsia="en-US"/>
        </w:rPr>
        <w:tab/>
        <w:t>The implementing act referred to in paragraph 1 shall apply for as long as the circumstances referred to in that paragraph persist.</w:t>
      </w:r>
    </w:p>
    <w:p w14:paraId="5C847493" w14:textId="77777777" w:rsidR="00362EF8" w:rsidRPr="00257AC6" w:rsidRDefault="00362EF8" w:rsidP="00362EF8">
      <w:pPr>
        <w:widowControl/>
        <w:spacing w:before="360" w:after="120" w:line="360" w:lineRule="auto"/>
        <w:jc w:val="center"/>
        <w:rPr>
          <w:rFonts w:eastAsia="Calibri"/>
          <w:i/>
          <w:iCs/>
          <w:szCs w:val="24"/>
          <w:lang w:eastAsia="en-US"/>
        </w:rPr>
      </w:pPr>
      <w:r w:rsidRPr="00257AC6">
        <w:rPr>
          <w:rFonts w:eastAsia="Calibri"/>
          <w:i/>
          <w:iCs/>
          <w:szCs w:val="24"/>
          <w:lang w:eastAsia="en-US"/>
        </w:rPr>
        <w:t>Article 3</w:t>
      </w:r>
      <w:r w:rsidRPr="00257AC6">
        <w:rPr>
          <w:rFonts w:eastAsia="Calibri"/>
          <w:i/>
          <w:iCs/>
          <w:szCs w:val="24"/>
          <w:lang w:eastAsia="en-US"/>
        </w:rPr>
        <w:br/>
        <w:t>Committee procedure</w:t>
      </w:r>
    </w:p>
    <w:p w14:paraId="607919D8"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1.</w:t>
      </w:r>
      <w:r w:rsidRPr="00257AC6">
        <w:rPr>
          <w:rFonts w:eastAsia="Calibri"/>
          <w:szCs w:val="24"/>
          <w:lang w:eastAsia="en-US"/>
        </w:rPr>
        <w:tab/>
        <w:t>The Commission shall be assisted by the Trade Barriers Committee established by Regulation (EU) 2015/1843 of the European Parliament and of the Council</w:t>
      </w:r>
      <w:r w:rsidRPr="00257AC6">
        <w:rPr>
          <w:rFonts w:eastAsia="Calibri"/>
          <w:b/>
          <w:szCs w:val="24"/>
          <w:vertAlign w:val="superscript"/>
          <w:lang w:eastAsia="en-US"/>
        </w:rPr>
        <w:footnoteReference w:id="6"/>
      </w:r>
      <w:r w:rsidRPr="00257AC6">
        <w:rPr>
          <w:rFonts w:eastAsia="Calibri"/>
          <w:szCs w:val="24"/>
          <w:lang w:eastAsia="en-US"/>
        </w:rPr>
        <w:t>.</w:t>
      </w:r>
      <w:r w:rsidRPr="00257AC6">
        <w:rPr>
          <w:rFonts w:eastAsia="Calibri"/>
          <w:b/>
          <w:i/>
          <w:szCs w:val="24"/>
          <w:lang w:eastAsia="en-US"/>
        </w:rPr>
        <w:t xml:space="preserve"> That committee shall be a committee within the meaning of Regulation (EU) No 182/2011.</w:t>
      </w:r>
    </w:p>
    <w:p w14:paraId="20E169A2" w14:textId="77777777" w:rsidR="00362EF8" w:rsidRPr="00257AC6" w:rsidRDefault="00362EF8" w:rsidP="00362EF8">
      <w:pPr>
        <w:widowControl/>
        <w:spacing w:before="120" w:after="120" w:line="360" w:lineRule="auto"/>
        <w:ind w:left="851" w:hanging="851"/>
        <w:rPr>
          <w:rFonts w:eastAsia="Calibri"/>
          <w:szCs w:val="24"/>
          <w:lang w:eastAsia="en-US"/>
        </w:rPr>
      </w:pPr>
      <w:r w:rsidRPr="00257AC6">
        <w:rPr>
          <w:rFonts w:eastAsia="Calibri"/>
          <w:szCs w:val="24"/>
          <w:lang w:eastAsia="en-US"/>
        </w:rPr>
        <w:t>2.</w:t>
      </w:r>
      <w:r w:rsidRPr="00257AC6">
        <w:rPr>
          <w:rFonts w:eastAsia="Calibri"/>
          <w:szCs w:val="24"/>
          <w:lang w:eastAsia="en-US"/>
        </w:rPr>
        <w:tab/>
        <w:t>Where reference is made to this paragraph, Article 5 of Regulation (EU) No 182/2011 shall apply.</w:t>
      </w:r>
    </w:p>
    <w:p w14:paraId="029E307D" w14:textId="77777777" w:rsidR="00362EF8" w:rsidRPr="00257AC6" w:rsidRDefault="00362EF8" w:rsidP="00362EF8">
      <w:pPr>
        <w:widowControl/>
        <w:spacing w:after="160" w:line="259" w:lineRule="auto"/>
        <w:rPr>
          <w:rFonts w:eastAsia="Calibri"/>
          <w:i/>
          <w:szCs w:val="24"/>
          <w:lang w:eastAsia="en-US"/>
        </w:rPr>
      </w:pPr>
      <w:r w:rsidRPr="00257AC6">
        <w:rPr>
          <w:rFonts w:eastAsia="Calibri"/>
          <w:szCs w:val="24"/>
          <w:lang w:eastAsia="en-US"/>
        </w:rPr>
        <w:br w:type="page"/>
      </w:r>
    </w:p>
    <w:p w14:paraId="09B6ED93" w14:textId="77777777" w:rsidR="00362EF8" w:rsidRPr="00257AC6" w:rsidRDefault="00362EF8" w:rsidP="00362EF8">
      <w:pPr>
        <w:widowControl/>
        <w:spacing w:before="360" w:after="120" w:line="360" w:lineRule="auto"/>
        <w:jc w:val="center"/>
        <w:rPr>
          <w:rFonts w:eastAsia="Calibri"/>
          <w:i/>
          <w:iCs/>
          <w:szCs w:val="24"/>
          <w:lang w:eastAsia="en-US"/>
        </w:rPr>
      </w:pPr>
      <w:r w:rsidRPr="00257AC6">
        <w:rPr>
          <w:rFonts w:eastAsia="Calibri"/>
          <w:i/>
          <w:iCs/>
          <w:szCs w:val="24"/>
          <w:lang w:eastAsia="en-US"/>
        </w:rPr>
        <w:lastRenderedPageBreak/>
        <w:t>Article 4</w:t>
      </w:r>
      <w:r w:rsidRPr="00257AC6">
        <w:rPr>
          <w:rFonts w:eastAsia="Calibri"/>
          <w:i/>
          <w:iCs/>
          <w:szCs w:val="24"/>
          <w:lang w:eastAsia="en-US"/>
        </w:rPr>
        <w:br/>
        <w:t>Reimbursement of customs duties</w:t>
      </w:r>
    </w:p>
    <w:p w14:paraId="49C4E2CA"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Upon request by the economic operators concerned, the competent national customs authorities of the Member States shall reimburse any customs duties paid in excess of those applicable pursuant to this Regulation in respect of goods classified under the CN codes listed in the Annex imported into the Union between 1 August 2025 and … [the date of entry into force of this Regulation].</w:t>
      </w:r>
    </w:p>
    <w:p w14:paraId="213D4DAC" w14:textId="77777777" w:rsidR="00362EF8" w:rsidRPr="00257AC6" w:rsidRDefault="00362EF8" w:rsidP="00362EF8">
      <w:pPr>
        <w:widowControl/>
        <w:spacing w:before="360" w:after="120" w:line="360" w:lineRule="auto"/>
        <w:jc w:val="center"/>
        <w:rPr>
          <w:rFonts w:eastAsia="Calibri"/>
          <w:b/>
          <w:bCs/>
          <w:i/>
          <w:iCs/>
          <w:szCs w:val="24"/>
          <w:lang w:eastAsia="en-US"/>
        </w:rPr>
      </w:pPr>
      <w:r w:rsidRPr="00257AC6">
        <w:rPr>
          <w:rFonts w:eastAsia="Calibri"/>
          <w:b/>
          <w:bCs/>
          <w:i/>
          <w:iCs/>
          <w:szCs w:val="24"/>
          <w:lang w:eastAsia="en-US"/>
        </w:rPr>
        <w:t>Article 5</w:t>
      </w:r>
      <w:r w:rsidRPr="00257AC6">
        <w:rPr>
          <w:rFonts w:eastAsia="Calibri"/>
          <w:b/>
          <w:bCs/>
          <w:i/>
          <w:iCs/>
          <w:szCs w:val="24"/>
          <w:lang w:eastAsia="en-US"/>
        </w:rPr>
        <w:br/>
        <w:t>Assessment and reporting</w:t>
      </w:r>
    </w:p>
    <w:p w14:paraId="47D97210" w14:textId="77777777" w:rsidR="00362EF8" w:rsidRPr="00257AC6" w:rsidRDefault="00362EF8" w:rsidP="00362EF8">
      <w:pPr>
        <w:widowControl/>
        <w:spacing w:before="120" w:after="120" w:line="360" w:lineRule="auto"/>
        <w:ind w:left="851" w:hanging="851"/>
        <w:rPr>
          <w:rFonts w:eastAsia="Calibri"/>
          <w:b/>
          <w:i/>
          <w:szCs w:val="24"/>
          <w:lang w:eastAsia="en-US"/>
        </w:rPr>
      </w:pPr>
      <w:r w:rsidRPr="00257AC6">
        <w:rPr>
          <w:rFonts w:eastAsia="Calibri"/>
          <w:b/>
          <w:i/>
          <w:szCs w:val="24"/>
          <w:lang w:eastAsia="en-US"/>
        </w:rPr>
        <w:t>1.</w:t>
      </w:r>
      <w:r w:rsidRPr="00257AC6">
        <w:rPr>
          <w:rFonts w:eastAsia="Calibri"/>
          <w:b/>
          <w:i/>
          <w:szCs w:val="24"/>
          <w:lang w:eastAsia="en-US"/>
        </w:rPr>
        <w:tab/>
        <w:t xml:space="preserve">By 31 January 2030, the Commission shall present an assessment </w:t>
      </w:r>
      <w:proofErr w:type="gramStart"/>
      <w:r w:rsidRPr="00257AC6">
        <w:rPr>
          <w:rFonts w:eastAsia="Calibri"/>
          <w:b/>
          <w:i/>
          <w:szCs w:val="24"/>
          <w:lang w:eastAsia="en-US"/>
        </w:rPr>
        <w:t>of  the</w:t>
      </w:r>
      <w:proofErr w:type="gramEnd"/>
      <w:r w:rsidRPr="00257AC6">
        <w:rPr>
          <w:rFonts w:eastAsia="Calibri"/>
          <w:b/>
          <w:i/>
          <w:szCs w:val="24"/>
          <w:lang w:eastAsia="en-US"/>
        </w:rPr>
        <w:t xml:space="preserve"> effects of this Regulation. That assessment shall cover the changes since 1 August 2025 in trade volumes and values of United States exports to the Union of the goods classified under the CN codes listed in the Annex.</w:t>
      </w:r>
    </w:p>
    <w:p w14:paraId="7BF99A96" w14:textId="77777777" w:rsidR="00362EF8" w:rsidRPr="00257AC6" w:rsidRDefault="00362EF8" w:rsidP="00362EF8">
      <w:pPr>
        <w:widowControl/>
        <w:spacing w:before="120" w:after="120" w:line="360" w:lineRule="auto"/>
        <w:ind w:left="851" w:hanging="851"/>
        <w:rPr>
          <w:rFonts w:eastAsia="Calibri"/>
          <w:b/>
          <w:i/>
          <w:szCs w:val="24"/>
          <w:lang w:eastAsia="en-US"/>
        </w:rPr>
      </w:pPr>
      <w:r w:rsidRPr="00257AC6">
        <w:rPr>
          <w:rFonts w:eastAsia="Calibri"/>
          <w:b/>
          <w:i/>
          <w:szCs w:val="24"/>
          <w:lang w:eastAsia="en-US"/>
        </w:rPr>
        <w:t>2.</w:t>
      </w:r>
      <w:r w:rsidRPr="00257AC6">
        <w:rPr>
          <w:rFonts w:eastAsia="Calibri"/>
          <w:b/>
          <w:i/>
          <w:szCs w:val="24"/>
          <w:lang w:eastAsia="en-US"/>
        </w:rPr>
        <w:tab/>
        <w:t>Where appropriate, the assessment referred to in paragraph 1 shall be accompanied by a legislative proposal to extend the period of application of this Regulation.</w:t>
      </w:r>
    </w:p>
    <w:p w14:paraId="31AC7756" w14:textId="77777777" w:rsidR="00362EF8" w:rsidRPr="00257AC6" w:rsidRDefault="00362EF8" w:rsidP="00362EF8">
      <w:pPr>
        <w:widowControl/>
        <w:spacing w:before="120" w:after="120" w:line="360" w:lineRule="auto"/>
        <w:ind w:left="851" w:hanging="851"/>
        <w:rPr>
          <w:rFonts w:eastAsia="Calibri"/>
          <w:b/>
          <w:i/>
          <w:szCs w:val="24"/>
          <w:lang w:eastAsia="en-US"/>
        </w:rPr>
      </w:pPr>
      <w:r w:rsidRPr="00257AC6">
        <w:rPr>
          <w:rFonts w:eastAsia="Calibri"/>
          <w:b/>
          <w:i/>
          <w:szCs w:val="24"/>
          <w:lang w:eastAsia="en-US"/>
        </w:rPr>
        <w:t>3.</w:t>
      </w:r>
      <w:r w:rsidRPr="00257AC6">
        <w:rPr>
          <w:rFonts w:eastAsia="Calibri"/>
          <w:b/>
          <w:i/>
          <w:szCs w:val="24"/>
          <w:lang w:eastAsia="en-US"/>
        </w:rPr>
        <w:tab/>
        <w:t>The Commission shall keep the European Parliament and the Council regularly informed, in a timely manner, of relevant developments in the application of this Regulation.</w:t>
      </w:r>
    </w:p>
    <w:p w14:paraId="406AE80C" w14:textId="77777777" w:rsidR="00362EF8" w:rsidRPr="00257AC6" w:rsidRDefault="00362EF8" w:rsidP="00362EF8">
      <w:pPr>
        <w:widowControl/>
        <w:spacing w:after="160" w:line="259" w:lineRule="auto"/>
        <w:rPr>
          <w:rFonts w:eastAsia="Calibri"/>
          <w:i/>
          <w:szCs w:val="24"/>
          <w:lang w:eastAsia="en-US"/>
        </w:rPr>
      </w:pPr>
      <w:r w:rsidRPr="00257AC6">
        <w:rPr>
          <w:rFonts w:eastAsia="Calibri"/>
          <w:szCs w:val="24"/>
          <w:lang w:eastAsia="en-US"/>
        </w:rPr>
        <w:br w:type="page"/>
      </w:r>
    </w:p>
    <w:p w14:paraId="6054EAFA" w14:textId="77777777" w:rsidR="00362EF8" w:rsidRPr="00257AC6" w:rsidRDefault="00362EF8" w:rsidP="00362EF8">
      <w:pPr>
        <w:widowControl/>
        <w:spacing w:before="360" w:after="120" w:line="360" w:lineRule="auto"/>
        <w:jc w:val="center"/>
        <w:rPr>
          <w:rFonts w:eastAsia="Calibri"/>
          <w:i/>
          <w:iCs/>
          <w:szCs w:val="24"/>
          <w:lang w:eastAsia="en-US"/>
        </w:rPr>
      </w:pPr>
      <w:r w:rsidRPr="00257AC6">
        <w:rPr>
          <w:rFonts w:eastAsia="Calibri"/>
          <w:i/>
          <w:iCs/>
          <w:szCs w:val="24"/>
          <w:lang w:eastAsia="en-US"/>
        </w:rPr>
        <w:lastRenderedPageBreak/>
        <w:t>Article 6</w:t>
      </w:r>
      <w:r w:rsidRPr="00257AC6">
        <w:rPr>
          <w:rFonts w:eastAsia="Calibri"/>
          <w:i/>
          <w:iCs/>
          <w:szCs w:val="24"/>
          <w:lang w:eastAsia="en-US"/>
        </w:rPr>
        <w:br/>
        <w:t>Entry into force and application</w:t>
      </w:r>
    </w:p>
    <w:p w14:paraId="34C751C3"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 xml:space="preserve">This Regulation shall enter into force on the day of its publication in the </w:t>
      </w:r>
      <w:r w:rsidRPr="00257AC6">
        <w:rPr>
          <w:rFonts w:eastAsia="Calibri"/>
          <w:i/>
          <w:iCs/>
          <w:szCs w:val="24"/>
          <w:lang w:eastAsia="en-US"/>
        </w:rPr>
        <w:t>Official Journal of the European Union</w:t>
      </w:r>
      <w:r w:rsidRPr="00257AC6">
        <w:rPr>
          <w:rFonts w:eastAsia="Calibri"/>
          <w:szCs w:val="24"/>
          <w:lang w:eastAsia="en-US"/>
        </w:rPr>
        <w:t>.</w:t>
      </w:r>
    </w:p>
    <w:p w14:paraId="5D98709E" w14:textId="77777777" w:rsidR="00362EF8" w:rsidRPr="00257AC6" w:rsidRDefault="00362EF8" w:rsidP="00362EF8">
      <w:pPr>
        <w:widowControl/>
        <w:spacing w:before="120" w:after="120" w:line="360" w:lineRule="auto"/>
        <w:rPr>
          <w:rFonts w:eastAsia="Calibri"/>
          <w:szCs w:val="24"/>
          <w:lang w:eastAsia="en-US"/>
        </w:rPr>
      </w:pPr>
      <w:r w:rsidRPr="00257AC6">
        <w:rPr>
          <w:rFonts w:eastAsia="Calibri"/>
          <w:szCs w:val="24"/>
          <w:lang w:eastAsia="en-US"/>
        </w:rPr>
        <w:t>It shall apply from 1 August 2025</w:t>
      </w:r>
      <w:r w:rsidRPr="00257AC6">
        <w:rPr>
          <w:rFonts w:eastAsia="Calibri"/>
          <w:b/>
          <w:i/>
          <w:szCs w:val="24"/>
          <w:lang w:eastAsia="en-US"/>
        </w:rPr>
        <w:t xml:space="preserve"> until 31 July 2030</w:t>
      </w:r>
      <w:r w:rsidRPr="00257AC6">
        <w:rPr>
          <w:rFonts w:eastAsia="Calibri"/>
          <w:szCs w:val="24"/>
          <w:lang w:eastAsia="en-US"/>
        </w:rPr>
        <w:t>.</w:t>
      </w:r>
    </w:p>
    <w:p w14:paraId="3C2541E1" w14:textId="77777777" w:rsidR="00362EF8" w:rsidRPr="00257AC6" w:rsidRDefault="00362EF8" w:rsidP="00FA3C3F">
      <w:pPr>
        <w:widowControl/>
        <w:spacing w:before="480" w:after="120" w:line="360" w:lineRule="auto"/>
        <w:rPr>
          <w:rFonts w:eastAsia="Calibri"/>
          <w:szCs w:val="24"/>
          <w:lang w:eastAsia="en-US"/>
        </w:rPr>
      </w:pPr>
      <w:r w:rsidRPr="00257AC6">
        <w:rPr>
          <w:rFonts w:eastAsia="Calibri"/>
          <w:szCs w:val="24"/>
          <w:lang w:eastAsia="en-US"/>
        </w:rPr>
        <w:t>This Regulation shall be binding in its entirety and directly applicable in all Member States.</w:t>
      </w:r>
    </w:p>
    <w:p w14:paraId="7C5D1E77" w14:textId="77777777" w:rsidR="00362EF8" w:rsidRPr="00257AC6" w:rsidRDefault="00362EF8" w:rsidP="00362EF8">
      <w:pPr>
        <w:spacing w:before="120" w:line="360" w:lineRule="auto"/>
        <w:rPr>
          <w:szCs w:val="24"/>
          <w:lang w:eastAsia="en-US"/>
        </w:rPr>
      </w:pPr>
      <w:r w:rsidRPr="00257AC6">
        <w:rPr>
          <w:szCs w:val="24"/>
          <w:lang w:eastAsia="en-US"/>
        </w:rPr>
        <w:t>Done at …,</w:t>
      </w:r>
    </w:p>
    <w:p w14:paraId="1B66B13F" w14:textId="77777777" w:rsidR="00362EF8" w:rsidRPr="00257AC6" w:rsidRDefault="00362EF8" w:rsidP="00362EF8">
      <w:pPr>
        <w:widowControl/>
        <w:tabs>
          <w:tab w:val="left" w:pos="5103"/>
        </w:tabs>
        <w:spacing w:before="720" w:line="360" w:lineRule="auto"/>
        <w:rPr>
          <w:rFonts w:eastAsia="Calibri"/>
          <w:i/>
          <w:iCs/>
          <w:szCs w:val="24"/>
          <w:lang w:eastAsia="en-US"/>
        </w:rPr>
      </w:pPr>
      <w:r w:rsidRPr="00257AC6">
        <w:rPr>
          <w:rFonts w:eastAsia="Calibri"/>
          <w:i/>
          <w:iCs/>
          <w:szCs w:val="24"/>
          <w:lang w:eastAsia="en-US"/>
        </w:rPr>
        <w:t>For the European Parliament</w:t>
      </w:r>
      <w:r w:rsidRPr="00257AC6">
        <w:rPr>
          <w:rFonts w:eastAsia="Calibri"/>
          <w:i/>
          <w:iCs/>
          <w:szCs w:val="24"/>
          <w:lang w:eastAsia="en-US"/>
        </w:rPr>
        <w:tab/>
      </w:r>
      <w:proofErr w:type="gramStart"/>
      <w:r w:rsidRPr="00257AC6">
        <w:rPr>
          <w:rFonts w:eastAsia="Calibri"/>
          <w:i/>
          <w:iCs/>
          <w:szCs w:val="24"/>
          <w:lang w:eastAsia="en-US"/>
        </w:rPr>
        <w:t>For</w:t>
      </w:r>
      <w:proofErr w:type="gramEnd"/>
      <w:r w:rsidRPr="00257AC6">
        <w:rPr>
          <w:rFonts w:eastAsia="Calibri"/>
          <w:i/>
          <w:iCs/>
          <w:szCs w:val="24"/>
          <w:lang w:eastAsia="en-US"/>
        </w:rPr>
        <w:t xml:space="preserve"> the Council</w:t>
      </w:r>
    </w:p>
    <w:p w14:paraId="4DAA74A9" w14:textId="77777777" w:rsidR="00362EF8" w:rsidRPr="00257AC6" w:rsidRDefault="00362EF8" w:rsidP="00362EF8">
      <w:pPr>
        <w:widowControl/>
        <w:tabs>
          <w:tab w:val="left" w:pos="5103"/>
        </w:tabs>
        <w:spacing w:after="120" w:line="360" w:lineRule="auto"/>
        <w:rPr>
          <w:rFonts w:eastAsia="Calibri"/>
          <w:i/>
          <w:iCs/>
          <w:szCs w:val="24"/>
          <w:lang w:eastAsia="en-US"/>
        </w:rPr>
      </w:pPr>
      <w:r w:rsidRPr="00257AC6">
        <w:rPr>
          <w:rFonts w:eastAsia="Calibri"/>
          <w:i/>
          <w:iCs/>
          <w:szCs w:val="24"/>
          <w:lang w:eastAsia="en-US"/>
        </w:rPr>
        <w:t>The President</w:t>
      </w:r>
      <w:r w:rsidRPr="00257AC6">
        <w:rPr>
          <w:rFonts w:eastAsia="Calibri"/>
          <w:i/>
          <w:iCs/>
          <w:szCs w:val="24"/>
          <w:lang w:eastAsia="en-US"/>
        </w:rPr>
        <w:tab/>
      </w:r>
      <w:proofErr w:type="gramStart"/>
      <w:r w:rsidRPr="00257AC6">
        <w:rPr>
          <w:rFonts w:eastAsia="Calibri"/>
          <w:i/>
          <w:iCs/>
          <w:szCs w:val="24"/>
          <w:lang w:eastAsia="en-US"/>
        </w:rPr>
        <w:t>The</w:t>
      </w:r>
      <w:proofErr w:type="gramEnd"/>
      <w:r w:rsidRPr="00257AC6">
        <w:rPr>
          <w:rFonts w:eastAsia="Calibri"/>
          <w:i/>
          <w:iCs/>
          <w:szCs w:val="24"/>
          <w:lang w:eastAsia="en-US"/>
        </w:rPr>
        <w:t xml:space="preserve"> President</w:t>
      </w:r>
    </w:p>
    <w:p w14:paraId="1F4A48C5" w14:textId="77777777" w:rsidR="00362EF8" w:rsidRPr="00257AC6" w:rsidRDefault="00362EF8" w:rsidP="00362EF8">
      <w:pPr>
        <w:widowControl/>
        <w:tabs>
          <w:tab w:val="left" w:pos="5103"/>
        </w:tabs>
        <w:spacing w:after="120" w:line="360" w:lineRule="auto"/>
        <w:rPr>
          <w:rFonts w:eastAsia="Calibri"/>
          <w:i/>
          <w:iCs/>
          <w:szCs w:val="24"/>
          <w:lang w:eastAsia="en-US"/>
        </w:rPr>
      </w:pPr>
    </w:p>
    <w:p w14:paraId="7FD66B14" w14:textId="77777777" w:rsidR="00362EF8" w:rsidRPr="00257AC6" w:rsidRDefault="00362EF8" w:rsidP="00362EF8">
      <w:pPr>
        <w:widowControl/>
        <w:spacing w:before="120" w:after="120" w:line="360" w:lineRule="auto"/>
        <w:rPr>
          <w:rFonts w:eastAsia="Calibri"/>
          <w:szCs w:val="24"/>
          <w:lang w:eastAsia="en-US"/>
        </w:rPr>
        <w:sectPr w:rsidR="00362EF8" w:rsidRPr="00257AC6" w:rsidSect="00362EF8">
          <w:footerReference w:type="default" r:id="rId15"/>
          <w:footnotePr>
            <w:numRestart w:val="eachSect"/>
          </w:footnotePr>
          <w:endnotePr>
            <w:numFmt w:val="decimal"/>
          </w:endnotePr>
          <w:pgSz w:w="11907" w:h="16840" w:code="9"/>
          <w:pgMar w:top="1134" w:right="1134" w:bottom="1134" w:left="1134" w:header="567" w:footer="567" w:gutter="0"/>
          <w:cols w:space="720"/>
          <w:docGrid w:linePitch="360"/>
        </w:sectPr>
      </w:pPr>
    </w:p>
    <w:p w14:paraId="5FD6E356" w14:textId="77777777" w:rsidR="00362EF8" w:rsidRPr="00257AC6" w:rsidRDefault="00362EF8" w:rsidP="00362EF8">
      <w:pPr>
        <w:widowControl/>
        <w:spacing w:before="120" w:after="120" w:line="360" w:lineRule="auto"/>
        <w:jc w:val="center"/>
        <w:rPr>
          <w:rFonts w:eastAsia="Calibri"/>
          <w:szCs w:val="24"/>
          <w:lang w:eastAsia="en-US"/>
        </w:rPr>
      </w:pPr>
      <w:r w:rsidRPr="00257AC6">
        <w:rPr>
          <w:rFonts w:eastAsia="Calibri"/>
          <w:b/>
          <w:bCs/>
          <w:szCs w:val="24"/>
          <w:u w:val="single"/>
          <w:lang w:eastAsia="en-US"/>
        </w:rPr>
        <w:lastRenderedPageBreak/>
        <w:t>ANNEX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376"/>
      </w:tblGrid>
      <w:tr w:rsidR="00362EF8" w:rsidRPr="00257AC6" w14:paraId="6675B11F" w14:textId="77777777" w:rsidTr="00F12252">
        <w:trPr>
          <w:tblHeader/>
          <w:jc w:val="center"/>
        </w:trPr>
        <w:tc>
          <w:tcPr>
            <w:tcW w:w="1980" w:type="dxa"/>
            <w:vAlign w:val="center"/>
          </w:tcPr>
          <w:p w14:paraId="51DC4ADC" w14:textId="77777777" w:rsidR="00362EF8" w:rsidRPr="00257AC6" w:rsidRDefault="00362EF8" w:rsidP="00362EF8">
            <w:pPr>
              <w:widowControl/>
              <w:spacing w:before="60" w:after="60"/>
              <w:jc w:val="center"/>
              <w:rPr>
                <w:rFonts w:eastAsia="Calibri"/>
                <w:szCs w:val="24"/>
                <w:lang w:eastAsia="en-US"/>
              </w:rPr>
            </w:pPr>
            <w:r w:rsidRPr="00257AC6">
              <w:rPr>
                <w:rFonts w:eastAsia="Calibri"/>
                <w:szCs w:val="24"/>
                <w:lang w:eastAsia="en-US"/>
              </w:rPr>
              <w:t>CN 2025 code</w:t>
            </w:r>
            <w:r w:rsidRPr="00257AC6">
              <w:rPr>
                <w:rFonts w:eastAsia="Calibri"/>
                <w:b/>
                <w:szCs w:val="24"/>
                <w:vertAlign w:val="superscript"/>
                <w:lang w:eastAsia="en-US"/>
              </w:rPr>
              <w:footnoteReference w:id="7"/>
            </w:r>
          </w:p>
        </w:tc>
        <w:tc>
          <w:tcPr>
            <w:tcW w:w="7376" w:type="dxa"/>
            <w:vAlign w:val="center"/>
          </w:tcPr>
          <w:p w14:paraId="0B30B3FD" w14:textId="77777777" w:rsidR="00362EF8" w:rsidRPr="00257AC6" w:rsidRDefault="00362EF8" w:rsidP="00362EF8">
            <w:pPr>
              <w:widowControl/>
              <w:spacing w:before="60" w:after="60"/>
              <w:jc w:val="center"/>
              <w:rPr>
                <w:rFonts w:eastAsia="Calibri"/>
                <w:szCs w:val="24"/>
                <w:lang w:eastAsia="en-US"/>
              </w:rPr>
            </w:pPr>
            <w:r w:rsidRPr="00257AC6">
              <w:rPr>
                <w:rFonts w:eastAsia="Calibri"/>
                <w:szCs w:val="24"/>
                <w:lang w:eastAsia="en-US"/>
              </w:rPr>
              <w:t>Description</w:t>
            </w:r>
          </w:p>
        </w:tc>
      </w:tr>
      <w:tr w:rsidR="00362EF8" w:rsidRPr="00257AC6" w14:paraId="112D0C02" w14:textId="77777777" w:rsidTr="00F12252">
        <w:trPr>
          <w:jc w:val="center"/>
        </w:trPr>
        <w:tc>
          <w:tcPr>
            <w:tcW w:w="1980" w:type="dxa"/>
          </w:tcPr>
          <w:p w14:paraId="4C18E5A7"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0306 11 90</w:t>
            </w:r>
          </w:p>
        </w:tc>
        <w:tc>
          <w:tcPr>
            <w:tcW w:w="7376" w:type="dxa"/>
          </w:tcPr>
          <w:p w14:paraId="722F0704"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Frozen rock lobster and other sea crawfish (</w:t>
            </w:r>
            <w:r w:rsidRPr="00257AC6">
              <w:rPr>
                <w:rFonts w:eastAsia="Calibri"/>
                <w:i/>
                <w:iCs/>
                <w:szCs w:val="24"/>
                <w:lang w:eastAsia="en-US"/>
              </w:rPr>
              <w:t>Palinurus</w:t>
            </w:r>
            <w:r w:rsidRPr="00257AC6">
              <w:rPr>
                <w:rFonts w:eastAsia="Calibri"/>
                <w:szCs w:val="24"/>
                <w:lang w:eastAsia="en-US"/>
              </w:rPr>
              <w:t xml:space="preserve"> spp., </w:t>
            </w:r>
            <w:proofErr w:type="spellStart"/>
            <w:r w:rsidRPr="00257AC6">
              <w:rPr>
                <w:rFonts w:eastAsia="Calibri"/>
                <w:i/>
                <w:iCs/>
                <w:szCs w:val="24"/>
                <w:lang w:eastAsia="en-US"/>
              </w:rPr>
              <w:t>Panulirus</w:t>
            </w:r>
            <w:proofErr w:type="spellEnd"/>
            <w:r w:rsidRPr="00257AC6">
              <w:rPr>
                <w:rFonts w:eastAsia="Calibri"/>
                <w:szCs w:val="24"/>
                <w:lang w:eastAsia="en-US"/>
              </w:rPr>
              <w:t xml:space="preserve"> spp. and </w:t>
            </w:r>
            <w:proofErr w:type="spellStart"/>
            <w:r w:rsidRPr="00257AC6">
              <w:rPr>
                <w:rFonts w:eastAsia="Calibri"/>
                <w:i/>
                <w:iCs/>
                <w:szCs w:val="24"/>
                <w:lang w:eastAsia="en-US"/>
              </w:rPr>
              <w:t>Jasus</w:t>
            </w:r>
            <w:proofErr w:type="spellEnd"/>
            <w:r w:rsidRPr="00257AC6">
              <w:rPr>
                <w:rFonts w:eastAsia="Calibri"/>
                <w:szCs w:val="24"/>
                <w:lang w:eastAsia="en-US"/>
              </w:rPr>
              <w:t xml:space="preserve"> spp.), even smoked, whether in shell or not, including ones in shell, cooked by steaming or by boiling in water (excluding crawfish tails)</w:t>
            </w:r>
          </w:p>
        </w:tc>
      </w:tr>
      <w:tr w:rsidR="00362EF8" w:rsidRPr="00257AC6" w14:paraId="26A3F3F4" w14:textId="77777777" w:rsidTr="00F12252">
        <w:trPr>
          <w:jc w:val="center"/>
        </w:trPr>
        <w:tc>
          <w:tcPr>
            <w:tcW w:w="1980" w:type="dxa"/>
          </w:tcPr>
          <w:p w14:paraId="08325D68"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0306 12 10</w:t>
            </w:r>
          </w:p>
        </w:tc>
        <w:tc>
          <w:tcPr>
            <w:tcW w:w="7376" w:type="dxa"/>
          </w:tcPr>
          <w:p w14:paraId="0F36067F"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Frozen lobsters (</w:t>
            </w:r>
            <w:r w:rsidRPr="00257AC6">
              <w:rPr>
                <w:rFonts w:eastAsia="Calibri"/>
                <w:i/>
                <w:iCs/>
                <w:szCs w:val="24"/>
                <w:lang w:eastAsia="en-US"/>
              </w:rPr>
              <w:t>Homarus</w:t>
            </w:r>
            <w:r w:rsidRPr="00257AC6">
              <w:rPr>
                <w:rFonts w:eastAsia="Calibri"/>
                <w:szCs w:val="24"/>
                <w:lang w:eastAsia="en-US"/>
              </w:rPr>
              <w:t xml:space="preserve"> spp.), whole, even smoked or cooked by steaming or by boiling in water</w:t>
            </w:r>
          </w:p>
        </w:tc>
      </w:tr>
      <w:tr w:rsidR="00362EF8" w:rsidRPr="00257AC6" w14:paraId="556DAFB9" w14:textId="77777777" w:rsidTr="00F12252">
        <w:trPr>
          <w:jc w:val="center"/>
        </w:trPr>
        <w:tc>
          <w:tcPr>
            <w:tcW w:w="1980" w:type="dxa"/>
          </w:tcPr>
          <w:p w14:paraId="7AD2ABDB"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0306 12 90</w:t>
            </w:r>
          </w:p>
        </w:tc>
        <w:tc>
          <w:tcPr>
            <w:tcW w:w="7376" w:type="dxa"/>
          </w:tcPr>
          <w:p w14:paraId="7F17F70D"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Frozen lobsters (</w:t>
            </w:r>
            <w:r w:rsidRPr="00257AC6">
              <w:rPr>
                <w:rFonts w:eastAsia="Calibri"/>
                <w:i/>
                <w:iCs/>
                <w:szCs w:val="24"/>
                <w:lang w:eastAsia="en-US"/>
              </w:rPr>
              <w:t>Homarus</w:t>
            </w:r>
            <w:r w:rsidRPr="00257AC6">
              <w:rPr>
                <w:rFonts w:eastAsia="Calibri"/>
                <w:szCs w:val="24"/>
                <w:lang w:eastAsia="en-US"/>
              </w:rPr>
              <w:t xml:space="preserve"> spp.), even smoked, whether in shell or not, including lobsters in shell, cooked by steaming or by boiling in water (excluding whole)</w:t>
            </w:r>
          </w:p>
        </w:tc>
      </w:tr>
      <w:tr w:rsidR="00362EF8" w:rsidRPr="00257AC6" w14:paraId="64F7B822" w14:textId="77777777" w:rsidTr="00F12252">
        <w:trPr>
          <w:jc w:val="center"/>
        </w:trPr>
        <w:tc>
          <w:tcPr>
            <w:tcW w:w="1980" w:type="dxa"/>
          </w:tcPr>
          <w:p w14:paraId="6BFB2BBD"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0306 32 10</w:t>
            </w:r>
          </w:p>
        </w:tc>
        <w:tc>
          <w:tcPr>
            <w:tcW w:w="7376" w:type="dxa"/>
          </w:tcPr>
          <w:p w14:paraId="1DC9E234"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Live lobsters (</w:t>
            </w:r>
            <w:r w:rsidRPr="00257AC6">
              <w:rPr>
                <w:rFonts w:eastAsia="Calibri"/>
                <w:i/>
                <w:iCs/>
                <w:szCs w:val="24"/>
                <w:lang w:eastAsia="en-US"/>
              </w:rPr>
              <w:t>Homarus</w:t>
            </w:r>
            <w:r w:rsidRPr="00257AC6">
              <w:rPr>
                <w:rFonts w:eastAsia="Calibri"/>
                <w:szCs w:val="24"/>
                <w:lang w:eastAsia="en-US"/>
              </w:rPr>
              <w:t xml:space="preserve"> spp.)</w:t>
            </w:r>
          </w:p>
        </w:tc>
      </w:tr>
      <w:tr w:rsidR="00362EF8" w:rsidRPr="00257AC6" w14:paraId="31EB7B69" w14:textId="77777777" w:rsidTr="00F12252">
        <w:trPr>
          <w:jc w:val="center"/>
        </w:trPr>
        <w:tc>
          <w:tcPr>
            <w:tcW w:w="1980" w:type="dxa"/>
          </w:tcPr>
          <w:p w14:paraId="0E5FE8FD"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1605 30 90</w:t>
            </w:r>
          </w:p>
        </w:tc>
        <w:tc>
          <w:tcPr>
            <w:tcW w:w="7376" w:type="dxa"/>
          </w:tcPr>
          <w:p w14:paraId="1079F653" w14:textId="77777777" w:rsidR="00362EF8" w:rsidRPr="00257AC6" w:rsidRDefault="00362EF8" w:rsidP="00362EF8">
            <w:pPr>
              <w:widowControl/>
              <w:spacing w:before="60" w:after="60"/>
              <w:rPr>
                <w:rFonts w:eastAsia="Calibri"/>
                <w:szCs w:val="24"/>
                <w:lang w:eastAsia="en-US"/>
              </w:rPr>
            </w:pPr>
            <w:r w:rsidRPr="00257AC6">
              <w:rPr>
                <w:rFonts w:eastAsia="Calibri"/>
                <w:szCs w:val="24"/>
                <w:lang w:eastAsia="en-US"/>
              </w:rPr>
              <w:t>Lobster, prepared or preserved (excl. merely smoked; excl. lobster meat, cooked, for the manufacture of lobster butter or of lobster pastes, pâtés, soups or sauces)</w:t>
            </w:r>
          </w:p>
        </w:tc>
      </w:tr>
    </w:tbl>
    <w:p w14:paraId="31EA39E5" w14:textId="77777777" w:rsidR="00362EF8" w:rsidRPr="00257AC6" w:rsidRDefault="00362EF8" w:rsidP="00362EF8">
      <w:pPr>
        <w:widowControl/>
        <w:spacing w:before="120" w:after="120" w:line="360" w:lineRule="auto"/>
        <w:jc w:val="center"/>
        <w:rPr>
          <w:rFonts w:eastAsia="Calibri"/>
          <w:szCs w:val="24"/>
          <w:lang w:eastAsia="en-US"/>
        </w:rPr>
      </w:pPr>
    </w:p>
    <w:p w14:paraId="714E1CB5" w14:textId="77777777" w:rsidR="00972D6B" w:rsidRPr="00257AC6" w:rsidRDefault="00972D6B" w:rsidP="00BC59D0">
      <w:pPr>
        <w:rPr>
          <w:szCs w:val="24"/>
        </w:rPr>
      </w:pPr>
    </w:p>
    <w:sectPr w:rsidR="00972D6B" w:rsidRPr="00257AC6" w:rsidSect="00D5275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86A1F" w14:textId="77777777" w:rsidR="00BF2835" w:rsidRPr="00D52750" w:rsidRDefault="00BF2835">
      <w:r w:rsidRPr="00D52750">
        <w:separator/>
      </w:r>
    </w:p>
  </w:endnote>
  <w:endnote w:type="continuationSeparator" w:id="0">
    <w:p w14:paraId="1F4FAD78" w14:textId="77777777" w:rsidR="00BF2835" w:rsidRPr="00D52750" w:rsidRDefault="00BF2835">
      <w:r w:rsidRPr="00D527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4F80" w14:textId="77777777" w:rsidR="00064002" w:rsidRPr="00D5275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64C7" w14:textId="77777777" w:rsidR="00064002" w:rsidRPr="00D5275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6B95" w14:textId="77777777" w:rsidR="00064002" w:rsidRPr="00D52750"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CFB6" w14:textId="77777777" w:rsidR="00362EF8" w:rsidRPr="009F0919" w:rsidRDefault="00362EF8" w:rsidP="009F0919">
    <w:pPr>
      <w:pStyle w:val="Footer"/>
      <w:tabs>
        <w:tab w:val="center" w:pos="3969"/>
        <w:tab w:val="left" w:pos="6379"/>
        <w:tab w:val="right" w:pos="8789"/>
      </w:tabs>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457C5" w14:textId="77777777" w:rsidR="00BF2835" w:rsidRPr="00D52750" w:rsidRDefault="00BF2835">
      <w:r w:rsidRPr="00D52750">
        <w:separator/>
      </w:r>
    </w:p>
  </w:footnote>
  <w:footnote w:type="continuationSeparator" w:id="0">
    <w:p w14:paraId="5AEA7161" w14:textId="77777777" w:rsidR="00BF2835" w:rsidRPr="00D52750" w:rsidRDefault="00BF2835">
      <w:r w:rsidRPr="00D52750">
        <w:continuationSeparator/>
      </w:r>
    </w:p>
  </w:footnote>
  <w:footnote w:id="1">
    <w:p w14:paraId="30D4C2DD" w14:textId="48043F3E" w:rsidR="00E01BD2" w:rsidRPr="00FA3C3F" w:rsidRDefault="00E01BD2" w:rsidP="00FA3C3F">
      <w:pPr>
        <w:pStyle w:val="FootnoteText"/>
        <w:ind w:left="709" w:hanging="709"/>
        <w:rPr>
          <w:sz w:val="24"/>
          <w:szCs w:val="24"/>
          <w:lang w:val="en-GB"/>
        </w:rPr>
      </w:pPr>
      <w:r w:rsidRPr="00FA3C3F">
        <w:rPr>
          <w:rStyle w:val="FootnoteReference"/>
          <w:sz w:val="24"/>
          <w:szCs w:val="24"/>
        </w:rPr>
        <w:footnoteRef/>
      </w:r>
      <w:r w:rsidRPr="00FA3C3F">
        <w:rPr>
          <w:sz w:val="24"/>
          <w:szCs w:val="24"/>
          <w:lang w:val="en-GB"/>
        </w:rPr>
        <w:t xml:space="preserve"> </w:t>
      </w:r>
      <w:r w:rsidRPr="00FA3C3F">
        <w:rPr>
          <w:sz w:val="24"/>
          <w:szCs w:val="24"/>
          <w:lang w:val="en-GB"/>
        </w:rPr>
        <w:tab/>
        <w:t xml:space="preserve">This position replaces the amendments adopted on 26 March 2026 (Texts adopted, </w:t>
      </w:r>
      <w:r w:rsidR="000B3BCE" w:rsidRPr="00FA3C3F">
        <w:rPr>
          <w:sz w:val="24"/>
          <w:szCs w:val="24"/>
          <w:lang w:val="en-GB"/>
        </w:rPr>
        <w:t>P10</w:t>
      </w:r>
      <w:r w:rsidRPr="00FA3C3F">
        <w:rPr>
          <w:sz w:val="24"/>
          <w:szCs w:val="24"/>
          <w:lang w:val="en-GB"/>
        </w:rPr>
        <w:t>_</w:t>
      </w:r>
      <w:proofErr w:type="gramStart"/>
      <w:r w:rsidRPr="00FA3C3F">
        <w:rPr>
          <w:sz w:val="24"/>
          <w:szCs w:val="24"/>
          <w:lang w:val="en-GB"/>
        </w:rPr>
        <w:t>TA(</w:t>
      </w:r>
      <w:proofErr w:type="gramEnd"/>
      <w:r w:rsidRPr="00FA3C3F">
        <w:rPr>
          <w:sz w:val="24"/>
          <w:szCs w:val="24"/>
          <w:lang w:val="en-GB"/>
        </w:rPr>
        <w:t>2026)0097).</w:t>
      </w:r>
    </w:p>
  </w:footnote>
  <w:footnote w:id="2">
    <w:p w14:paraId="01BBDC5D" w14:textId="69F770B9" w:rsidR="00362EF8" w:rsidRPr="00FA3C3F" w:rsidRDefault="00362EF8" w:rsidP="00362EF8">
      <w:pPr>
        <w:pStyle w:val="FootnoteText"/>
        <w:ind w:left="709" w:hanging="709"/>
        <w:rPr>
          <w:sz w:val="24"/>
          <w:szCs w:val="24"/>
          <w:lang w:val="en-GB"/>
        </w:rPr>
      </w:pPr>
      <w:r w:rsidRPr="00FA3C3F">
        <w:rPr>
          <w:rStyle w:val="FootnoteReference"/>
          <w:sz w:val="24"/>
          <w:szCs w:val="24"/>
        </w:rPr>
        <w:footnoteRef/>
      </w:r>
      <w:r w:rsidRPr="00FA3C3F">
        <w:rPr>
          <w:sz w:val="24"/>
          <w:szCs w:val="24"/>
          <w:lang w:val="en-GB"/>
        </w:rPr>
        <w:tab/>
        <w:t>Position of the European Parliament of 16 June 2026.</w:t>
      </w:r>
    </w:p>
  </w:footnote>
  <w:footnote w:id="3">
    <w:p w14:paraId="1F018AEB" w14:textId="2F9B699E" w:rsidR="00362EF8" w:rsidRPr="00FA3C3F" w:rsidRDefault="00362EF8" w:rsidP="00362EF8">
      <w:pPr>
        <w:pStyle w:val="FootnoteText"/>
        <w:ind w:left="709" w:hanging="709"/>
        <w:rPr>
          <w:sz w:val="24"/>
          <w:szCs w:val="24"/>
          <w:lang w:val="sk-SK"/>
        </w:rPr>
      </w:pPr>
      <w:r w:rsidRPr="00FA3C3F">
        <w:rPr>
          <w:rStyle w:val="FootnoteReference"/>
          <w:sz w:val="24"/>
          <w:szCs w:val="24"/>
        </w:rPr>
        <w:footnoteRef/>
      </w:r>
      <w:r w:rsidRPr="00FA3C3F">
        <w:rPr>
          <w:sz w:val="24"/>
          <w:szCs w:val="24"/>
          <w:lang w:val="en-GB"/>
        </w:rPr>
        <w:tab/>
        <w:t xml:space="preserve">Regulation (EU) 2020/2131 of the European Parliament and of the Council of 16 December 2020 on the elimination of customs duties on certain goods (OJ L 430, 18.12.2020, p. 1, ELI: </w:t>
      </w:r>
      <w:r w:rsidR="00257AC6">
        <w:fldChar w:fldCharType="begin"/>
      </w:r>
      <w:r w:rsidR="00257AC6" w:rsidRPr="00A85C8B">
        <w:rPr>
          <w:lang w:val="en-GB"/>
        </w:rPr>
        <w:instrText>HYPERLINK "http://data.europa.eu/eli/reg/2020/2131/oj"</w:instrText>
      </w:r>
      <w:r w:rsidR="00257AC6">
        <w:fldChar w:fldCharType="separate"/>
      </w:r>
      <w:r w:rsidR="00257AC6" w:rsidRPr="00FA3C3F">
        <w:rPr>
          <w:rStyle w:val="Hyperlink"/>
          <w:sz w:val="24"/>
          <w:szCs w:val="24"/>
          <w:lang w:val="en-GB"/>
        </w:rPr>
        <w:t>http://data.europa.eu/eli/reg/2020/2131/oj</w:t>
      </w:r>
      <w:r w:rsidR="00257AC6">
        <w:fldChar w:fldCharType="end"/>
      </w:r>
      <w:r w:rsidRPr="00FA3C3F">
        <w:rPr>
          <w:sz w:val="24"/>
          <w:szCs w:val="24"/>
          <w:lang w:val="en-GB"/>
        </w:rPr>
        <w:t>).</w:t>
      </w:r>
    </w:p>
  </w:footnote>
  <w:footnote w:id="4">
    <w:p w14:paraId="193B1685" w14:textId="1236800C" w:rsidR="00362EF8" w:rsidRPr="00FA3C3F" w:rsidRDefault="00362EF8" w:rsidP="00362EF8">
      <w:pPr>
        <w:pStyle w:val="FootnoteText"/>
        <w:ind w:left="709" w:hanging="709"/>
        <w:rPr>
          <w:sz w:val="24"/>
          <w:szCs w:val="24"/>
          <w:lang w:val="en-GB"/>
        </w:rPr>
      </w:pPr>
      <w:r w:rsidRPr="00FA3C3F">
        <w:rPr>
          <w:rStyle w:val="FootnoteReference"/>
          <w:sz w:val="24"/>
          <w:szCs w:val="24"/>
        </w:rPr>
        <w:footnoteRef/>
      </w:r>
      <w:r w:rsidRPr="00FA3C3F">
        <w:rPr>
          <w:sz w:val="24"/>
          <w:szCs w:val="24"/>
          <w:lang w:val="en-GB"/>
        </w:rPr>
        <w:t xml:space="preserve"> </w:t>
      </w:r>
      <w:r w:rsidRPr="00FA3C3F">
        <w:rPr>
          <w:sz w:val="24"/>
          <w:szCs w:val="24"/>
          <w:lang w:val="en-GB"/>
        </w:rPr>
        <w:tab/>
        <w:t>Council Regulation (EEC) No 2658/87 of 23 July 1987 on the tariff and statistical nomenclature and on the Common Customs Tariff (OJ L 256, 7.9.1987, p. 1, ELI: </w:t>
      </w:r>
      <w:r w:rsidR="00257AC6">
        <w:fldChar w:fldCharType="begin"/>
      </w:r>
      <w:r w:rsidR="00257AC6" w:rsidRPr="00A85C8B">
        <w:rPr>
          <w:lang w:val="en-GB"/>
        </w:rPr>
        <w:instrText>HYPERLINK "http://data.europa.eu/eli/reg/1987/2658/oj"</w:instrText>
      </w:r>
      <w:r w:rsidR="00257AC6">
        <w:fldChar w:fldCharType="separate"/>
      </w:r>
      <w:r w:rsidR="00257AC6" w:rsidRPr="00FA3C3F">
        <w:rPr>
          <w:rStyle w:val="Hyperlink"/>
          <w:sz w:val="24"/>
          <w:szCs w:val="24"/>
          <w:lang w:val="en-GB"/>
        </w:rPr>
        <w:t>http://data.europa.eu/eli/reg/1987/2658/oj</w:t>
      </w:r>
      <w:r w:rsidR="00257AC6">
        <w:fldChar w:fldCharType="end"/>
      </w:r>
      <w:r w:rsidRPr="00FA3C3F">
        <w:rPr>
          <w:sz w:val="24"/>
          <w:szCs w:val="24"/>
          <w:lang w:val="en-GB"/>
        </w:rPr>
        <w:t>).</w:t>
      </w:r>
    </w:p>
  </w:footnote>
  <w:footnote w:id="5">
    <w:p w14:paraId="0ADB98D4" w14:textId="5DD502BB" w:rsidR="00362EF8" w:rsidRPr="00FA3C3F" w:rsidRDefault="00362EF8" w:rsidP="00362EF8">
      <w:pPr>
        <w:pStyle w:val="FootnoteText"/>
        <w:ind w:left="709" w:hanging="709"/>
        <w:rPr>
          <w:sz w:val="24"/>
          <w:szCs w:val="24"/>
          <w:lang w:val="en-GB"/>
        </w:rPr>
      </w:pPr>
      <w:r w:rsidRPr="00FA3C3F">
        <w:rPr>
          <w:rStyle w:val="FootnoteReference"/>
          <w:bCs/>
          <w:sz w:val="24"/>
          <w:szCs w:val="24"/>
        </w:rPr>
        <w:footnoteRef/>
      </w:r>
      <w:r w:rsidRPr="00FA3C3F">
        <w:rPr>
          <w:sz w:val="24"/>
          <w:szCs w:val="24"/>
          <w:lang w:val="en-GB"/>
        </w:rPr>
        <w:tab/>
        <w:t xml:space="preserve">Regulation (EU) No 182/2011 of the European Parliament and of the Council of 16 February 2011 laying down the rules and general principles concerning mechanisms for control by Member States of the Commission’s exercise of implementing powers (OJ L 55, 28.2.2011, p. 13, ELI: </w:t>
      </w:r>
      <w:r w:rsidR="00257AC6">
        <w:fldChar w:fldCharType="begin"/>
      </w:r>
      <w:r w:rsidR="00257AC6" w:rsidRPr="00A85C8B">
        <w:rPr>
          <w:lang w:val="en-GB"/>
        </w:rPr>
        <w:instrText>HYPERLINK "http://data.europa.eu/eli/reg/2011/182/oj"</w:instrText>
      </w:r>
      <w:r w:rsidR="00257AC6">
        <w:fldChar w:fldCharType="separate"/>
      </w:r>
      <w:r w:rsidR="00257AC6" w:rsidRPr="00FA3C3F">
        <w:rPr>
          <w:rStyle w:val="Hyperlink"/>
          <w:sz w:val="24"/>
          <w:szCs w:val="24"/>
          <w:lang w:val="en-GB"/>
        </w:rPr>
        <w:t>http://data.europa.eu/eli/reg/2011/182/oj</w:t>
      </w:r>
      <w:r w:rsidR="00257AC6">
        <w:fldChar w:fldCharType="end"/>
      </w:r>
      <w:r w:rsidRPr="00FA3C3F">
        <w:rPr>
          <w:sz w:val="24"/>
          <w:szCs w:val="24"/>
          <w:lang w:val="en-GB"/>
        </w:rPr>
        <w:t>).</w:t>
      </w:r>
    </w:p>
  </w:footnote>
  <w:footnote w:id="6">
    <w:p w14:paraId="2582AC72" w14:textId="052CB719" w:rsidR="00362EF8" w:rsidRPr="00FA3C3F" w:rsidRDefault="00362EF8" w:rsidP="00362EF8">
      <w:pPr>
        <w:pStyle w:val="FootnoteText"/>
        <w:ind w:left="709" w:hanging="709"/>
        <w:rPr>
          <w:sz w:val="24"/>
          <w:szCs w:val="24"/>
          <w:lang w:val="en-GB"/>
        </w:rPr>
      </w:pPr>
      <w:r w:rsidRPr="00FA3C3F">
        <w:rPr>
          <w:rStyle w:val="FootnoteReference"/>
          <w:sz w:val="24"/>
          <w:szCs w:val="24"/>
        </w:rPr>
        <w:footnoteRef/>
      </w:r>
      <w:r w:rsidRPr="00FA3C3F">
        <w:rPr>
          <w:sz w:val="24"/>
          <w:szCs w:val="24"/>
          <w:lang w:val="en-GB"/>
        </w:rPr>
        <w:tab/>
        <w:t xml:space="preserve">Regulation (EU) 2015/1843 of the European Parliament and of the Council of 6 October 2015 laying down Union procedures in the field of the common commercial policy in order to ensure the exercise of the Union’s rights under international trade rules, in particular those established under the auspices of the World Trade Organization (OJ L 272, 16.10.2015, p. 1, ELI: </w:t>
      </w:r>
      <w:r w:rsidR="00257AC6">
        <w:fldChar w:fldCharType="begin"/>
      </w:r>
      <w:r w:rsidR="00257AC6" w:rsidRPr="00A85C8B">
        <w:rPr>
          <w:lang w:val="en-GB"/>
        </w:rPr>
        <w:instrText>HYPERLINK "http://data.europa.eu/eli/reg/2015/1843/oj"</w:instrText>
      </w:r>
      <w:r w:rsidR="00257AC6">
        <w:fldChar w:fldCharType="separate"/>
      </w:r>
      <w:r w:rsidR="00257AC6" w:rsidRPr="00FA3C3F">
        <w:rPr>
          <w:rStyle w:val="Hyperlink"/>
          <w:sz w:val="24"/>
          <w:szCs w:val="24"/>
          <w:lang w:val="en-GB"/>
        </w:rPr>
        <w:t>http://data.europa.eu/eli/reg/2015/1843/oj</w:t>
      </w:r>
      <w:r w:rsidR="00257AC6">
        <w:fldChar w:fldCharType="end"/>
      </w:r>
      <w:r w:rsidRPr="00FA3C3F">
        <w:rPr>
          <w:sz w:val="24"/>
          <w:szCs w:val="24"/>
          <w:lang w:val="en-GB"/>
        </w:rPr>
        <w:t>).</w:t>
      </w:r>
    </w:p>
  </w:footnote>
  <w:footnote w:id="7">
    <w:p w14:paraId="211E6A6E" w14:textId="77777777" w:rsidR="00362EF8" w:rsidRPr="00257AC6" w:rsidRDefault="00362EF8" w:rsidP="00362EF8">
      <w:pPr>
        <w:pStyle w:val="FootnoteText"/>
        <w:ind w:left="709" w:hanging="709"/>
        <w:rPr>
          <w:sz w:val="24"/>
          <w:szCs w:val="24"/>
          <w:lang w:val="en-GB"/>
        </w:rPr>
      </w:pPr>
      <w:r w:rsidRPr="00FA3C3F">
        <w:rPr>
          <w:rStyle w:val="FootnoteReference"/>
          <w:sz w:val="24"/>
          <w:szCs w:val="24"/>
        </w:rPr>
        <w:footnoteRef/>
      </w:r>
      <w:r w:rsidRPr="00FA3C3F">
        <w:rPr>
          <w:sz w:val="24"/>
          <w:szCs w:val="24"/>
          <w:lang w:val="en-GB"/>
        </w:rPr>
        <w:tab/>
        <w:t>The nomenclature codes are taken from the Combined Nomenclature as laid down in Council Regulation (EEC) No 2658/87 of 23 July 1987 on the tariff and statistical nomenclature and on the Common Customs Tariff, as applicable in 2025, and mutatis mutandis as amended by subsequent legal acts.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295D" w14:textId="77777777" w:rsidR="00064002" w:rsidRPr="00D5275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D87E" w14:textId="77777777" w:rsidR="00064002" w:rsidRPr="00D5275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B71B" w14:textId="77777777" w:rsidR="00064002" w:rsidRPr="00D5275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77422519">
    <w:abstractNumId w:val="9"/>
  </w:num>
  <w:num w:numId="2" w16cid:durableId="888609010">
    <w:abstractNumId w:val="9"/>
  </w:num>
  <w:num w:numId="3" w16cid:durableId="59718921">
    <w:abstractNumId w:val="7"/>
  </w:num>
  <w:num w:numId="4" w16cid:durableId="229728327">
    <w:abstractNumId w:val="7"/>
  </w:num>
  <w:num w:numId="5" w16cid:durableId="1696424736">
    <w:abstractNumId w:val="6"/>
  </w:num>
  <w:num w:numId="6" w16cid:durableId="733509332">
    <w:abstractNumId w:val="6"/>
  </w:num>
  <w:num w:numId="7" w16cid:durableId="654531333">
    <w:abstractNumId w:val="5"/>
  </w:num>
  <w:num w:numId="8" w16cid:durableId="1851993177">
    <w:abstractNumId w:val="5"/>
  </w:num>
  <w:num w:numId="9" w16cid:durableId="984625116">
    <w:abstractNumId w:val="4"/>
  </w:num>
  <w:num w:numId="10" w16cid:durableId="820197024">
    <w:abstractNumId w:val="4"/>
  </w:num>
  <w:num w:numId="11" w16cid:durableId="502666470">
    <w:abstractNumId w:val="8"/>
  </w:num>
  <w:num w:numId="12" w16cid:durableId="2062896253">
    <w:abstractNumId w:val="8"/>
  </w:num>
  <w:num w:numId="13" w16cid:durableId="1904021804">
    <w:abstractNumId w:val="3"/>
  </w:num>
  <w:num w:numId="14" w16cid:durableId="1336498316">
    <w:abstractNumId w:val="3"/>
  </w:num>
  <w:num w:numId="15" w16cid:durableId="782111405">
    <w:abstractNumId w:val="2"/>
  </w:num>
  <w:num w:numId="16" w16cid:durableId="2041280523">
    <w:abstractNumId w:val="2"/>
  </w:num>
  <w:num w:numId="17" w16cid:durableId="1022245384">
    <w:abstractNumId w:val="1"/>
  </w:num>
  <w:num w:numId="18" w16cid:durableId="55976856">
    <w:abstractNumId w:val="1"/>
  </w:num>
  <w:num w:numId="19" w16cid:durableId="1041785603">
    <w:abstractNumId w:val="0"/>
  </w:num>
  <w:num w:numId="20" w16cid:durableId="660154677">
    <w:abstractNumId w:val="0"/>
  </w:num>
  <w:num w:numId="21" w16cid:durableId="2111201228">
    <w:abstractNumId w:val="9"/>
  </w:num>
  <w:num w:numId="22" w16cid:durableId="1219828630">
    <w:abstractNumId w:val="7"/>
  </w:num>
  <w:num w:numId="23" w16cid:durableId="113255671">
    <w:abstractNumId w:val="6"/>
  </w:num>
  <w:num w:numId="24" w16cid:durableId="440271068">
    <w:abstractNumId w:val="5"/>
  </w:num>
  <w:num w:numId="25" w16cid:durableId="1439301893">
    <w:abstractNumId w:val="4"/>
  </w:num>
  <w:num w:numId="26" w16cid:durableId="1536236530">
    <w:abstractNumId w:val="8"/>
  </w:num>
  <w:num w:numId="27" w16cid:durableId="1895853489">
    <w:abstractNumId w:val="3"/>
  </w:num>
  <w:num w:numId="28" w16cid:durableId="999037919">
    <w:abstractNumId w:val="2"/>
  </w:num>
  <w:num w:numId="29" w16cid:durableId="883517337">
    <w:abstractNumId w:val="1"/>
  </w:num>
  <w:num w:numId="30" w16cid:durableId="537861638">
    <w:abstractNumId w:val="0"/>
  </w:num>
  <w:num w:numId="31" w16cid:durableId="8795965">
    <w:abstractNumId w:val="9"/>
  </w:num>
  <w:num w:numId="32" w16cid:durableId="941960979">
    <w:abstractNumId w:val="7"/>
  </w:num>
  <w:num w:numId="33" w16cid:durableId="1388459264">
    <w:abstractNumId w:val="6"/>
  </w:num>
  <w:num w:numId="34" w16cid:durableId="661542690">
    <w:abstractNumId w:val="5"/>
  </w:num>
  <w:num w:numId="35" w16cid:durableId="939145808">
    <w:abstractNumId w:val="4"/>
  </w:num>
  <w:num w:numId="36" w16cid:durableId="603803574">
    <w:abstractNumId w:val="8"/>
  </w:num>
  <w:num w:numId="37" w16cid:durableId="1688410568">
    <w:abstractNumId w:val="3"/>
  </w:num>
  <w:num w:numId="38" w16cid:durableId="821852390">
    <w:abstractNumId w:val="2"/>
  </w:num>
  <w:num w:numId="39" w16cid:durableId="1573655706">
    <w:abstractNumId w:val="1"/>
  </w:num>
  <w:num w:numId="40" w16cid:durableId="1379013558">
    <w:abstractNumId w:val="0"/>
  </w:num>
  <w:num w:numId="41" w16cid:durableId="2028828634">
    <w:abstractNumId w:val="10"/>
  </w:num>
  <w:num w:numId="42" w16cid:durableId="1116366781">
    <w:abstractNumId w:val="10"/>
  </w:num>
  <w:num w:numId="43" w16cid:durableId="1766270857">
    <w:abstractNumId w:val="10"/>
  </w:num>
  <w:num w:numId="44" w16cid:durableId="550918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0/2026"/>
    <w:docVar w:name="dvlangue" w:val="EN"/>
    <w:docVar w:name="dvnumam" w:val="17"/>
    <w:docVar w:name="dvpe" w:val="779.298"/>
    <w:docVar w:name="dvrapporteur" w:val="Rapporteur: "/>
    <w:docVar w:name="dvstar" w:val="***I"/>
    <w:docVar w:name="dvtitre" w:val="European Parliament legislative resolution of xx Xxxx 2026 on the proposal for a regulation of the European Parliament and of the Council on the non-application of customs duties on imports of certain goods(COM(2025)0472 – C10-0192/2025 – 2025/0260(COD))"/>
  </w:docVars>
  <w:rsids>
    <w:rsidRoot w:val="00BF2835"/>
    <w:rsid w:val="00002272"/>
    <w:rsid w:val="000560E9"/>
    <w:rsid w:val="00064002"/>
    <w:rsid w:val="000677B9"/>
    <w:rsid w:val="000831BA"/>
    <w:rsid w:val="000A42CC"/>
    <w:rsid w:val="000B3BCE"/>
    <w:rsid w:val="000B7719"/>
    <w:rsid w:val="000E7DD9"/>
    <w:rsid w:val="0010095E"/>
    <w:rsid w:val="00125B37"/>
    <w:rsid w:val="00182B66"/>
    <w:rsid w:val="00187494"/>
    <w:rsid w:val="001F32AE"/>
    <w:rsid w:val="00215D3E"/>
    <w:rsid w:val="00257AC6"/>
    <w:rsid w:val="002767FF"/>
    <w:rsid w:val="002B18FE"/>
    <w:rsid w:val="002B5493"/>
    <w:rsid w:val="00343214"/>
    <w:rsid w:val="00361C00"/>
    <w:rsid w:val="00362EF8"/>
    <w:rsid w:val="003940C8"/>
    <w:rsid w:val="00395FA1"/>
    <w:rsid w:val="003E15D4"/>
    <w:rsid w:val="00411CCE"/>
    <w:rsid w:val="0041666E"/>
    <w:rsid w:val="00421060"/>
    <w:rsid w:val="00471C19"/>
    <w:rsid w:val="004867E3"/>
    <w:rsid w:val="00494A28"/>
    <w:rsid w:val="004C0004"/>
    <w:rsid w:val="004C5D52"/>
    <w:rsid w:val="004D6FAA"/>
    <w:rsid w:val="004E7111"/>
    <w:rsid w:val="0050519A"/>
    <w:rsid w:val="005072A1"/>
    <w:rsid w:val="00514517"/>
    <w:rsid w:val="00545827"/>
    <w:rsid w:val="00560270"/>
    <w:rsid w:val="005C2568"/>
    <w:rsid w:val="005F1B17"/>
    <w:rsid w:val="006037C0"/>
    <w:rsid w:val="006631B6"/>
    <w:rsid w:val="00680577"/>
    <w:rsid w:val="006F74FA"/>
    <w:rsid w:val="00700932"/>
    <w:rsid w:val="0072787C"/>
    <w:rsid w:val="00731ADD"/>
    <w:rsid w:val="00734777"/>
    <w:rsid w:val="00747932"/>
    <w:rsid w:val="00751A4A"/>
    <w:rsid w:val="00756632"/>
    <w:rsid w:val="00762C74"/>
    <w:rsid w:val="00786EC0"/>
    <w:rsid w:val="007D1690"/>
    <w:rsid w:val="007E22AD"/>
    <w:rsid w:val="00817416"/>
    <w:rsid w:val="00842779"/>
    <w:rsid w:val="00846407"/>
    <w:rsid w:val="00865F67"/>
    <w:rsid w:val="00881A7B"/>
    <w:rsid w:val="008840E5"/>
    <w:rsid w:val="00887B3E"/>
    <w:rsid w:val="008C2AC6"/>
    <w:rsid w:val="00930C23"/>
    <w:rsid w:val="0093193B"/>
    <w:rsid w:val="009509D8"/>
    <w:rsid w:val="00950B64"/>
    <w:rsid w:val="00972D6B"/>
    <w:rsid w:val="00981893"/>
    <w:rsid w:val="00A1687D"/>
    <w:rsid w:val="00A43E52"/>
    <w:rsid w:val="00A4678D"/>
    <w:rsid w:val="00A778C7"/>
    <w:rsid w:val="00A85C8B"/>
    <w:rsid w:val="00AB441E"/>
    <w:rsid w:val="00AB6293"/>
    <w:rsid w:val="00AE0928"/>
    <w:rsid w:val="00AF3B82"/>
    <w:rsid w:val="00B12E95"/>
    <w:rsid w:val="00B22876"/>
    <w:rsid w:val="00B558F0"/>
    <w:rsid w:val="00BC59D0"/>
    <w:rsid w:val="00BD2745"/>
    <w:rsid w:val="00BD48FE"/>
    <w:rsid w:val="00BD7BD8"/>
    <w:rsid w:val="00BE6ADC"/>
    <w:rsid w:val="00BF2835"/>
    <w:rsid w:val="00C05BFE"/>
    <w:rsid w:val="00C23CD4"/>
    <w:rsid w:val="00C61C0C"/>
    <w:rsid w:val="00C941CB"/>
    <w:rsid w:val="00CC2357"/>
    <w:rsid w:val="00CF071A"/>
    <w:rsid w:val="00D058B8"/>
    <w:rsid w:val="00D52750"/>
    <w:rsid w:val="00D56C11"/>
    <w:rsid w:val="00D834A0"/>
    <w:rsid w:val="00D872DF"/>
    <w:rsid w:val="00D91E21"/>
    <w:rsid w:val="00DA7FCD"/>
    <w:rsid w:val="00DA7FD5"/>
    <w:rsid w:val="00E01BD2"/>
    <w:rsid w:val="00E13952"/>
    <w:rsid w:val="00E365E1"/>
    <w:rsid w:val="00E820A4"/>
    <w:rsid w:val="00EB006A"/>
    <w:rsid w:val="00EB4772"/>
    <w:rsid w:val="00ED169E"/>
    <w:rsid w:val="00ED4235"/>
    <w:rsid w:val="00F04346"/>
    <w:rsid w:val="00F075DC"/>
    <w:rsid w:val="00F149E9"/>
    <w:rsid w:val="00F5134D"/>
    <w:rsid w:val="00F74202"/>
    <w:rsid w:val="00F87713"/>
    <w:rsid w:val="00FA3C3F"/>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0B9DF"/>
  <w15:chartTrackingRefBased/>
  <w15:docId w15:val="{A7AB1576-CE10-44BC-9308-2B1E67C8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972D6B"/>
    <w:pPr>
      <w:spacing w:after="120"/>
    </w:pPr>
  </w:style>
  <w:style w:type="paragraph" w:customStyle="1" w:styleId="NormalBold">
    <w:name w:val="NormalBold"/>
    <w:basedOn w:val="Normal"/>
    <w:link w:val="NormalBoldChar"/>
    <w:rsid w:val="00972D6B"/>
    <w:rPr>
      <w:b/>
    </w:rPr>
  </w:style>
  <w:style w:type="paragraph" w:customStyle="1" w:styleId="NormalHanging12a">
    <w:name w:val="NormalHanging12a"/>
    <w:basedOn w:val="Normal"/>
    <w:rsid w:val="00972D6B"/>
    <w:pPr>
      <w:spacing w:after="240"/>
      <w:ind w:left="567" w:hanging="567"/>
    </w:pPr>
  </w:style>
  <w:style w:type="paragraph" w:customStyle="1" w:styleId="AmColumnHeading">
    <w:name w:val="AmColumnHeading"/>
    <w:basedOn w:val="Normal"/>
    <w:rsid w:val="00972D6B"/>
    <w:pPr>
      <w:spacing w:after="240"/>
      <w:jc w:val="center"/>
    </w:pPr>
    <w:rPr>
      <w:i/>
    </w:rPr>
  </w:style>
  <w:style w:type="paragraph" w:customStyle="1" w:styleId="AmNumberTabs">
    <w:name w:val="AmNumberTabs"/>
    <w:basedOn w:val="Normal"/>
    <w:rsid w:val="00972D6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72D6B"/>
    <w:pPr>
      <w:spacing w:before="240"/>
    </w:pPr>
    <w:rPr>
      <w:b/>
    </w:rPr>
  </w:style>
  <w:style w:type="paragraph" w:customStyle="1" w:styleId="EPComma">
    <w:name w:val="EPComma"/>
    <w:basedOn w:val="Normal"/>
    <w:rsid w:val="00972D6B"/>
    <w:pPr>
      <w:spacing w:before="480" w:after="240"/>
    </w:pPr>
  </w:style>
  <w:style w:type="character" w:customStyle="1" w:styleId="Normal6Char">
    <w:name w:val="Normal6 Char"/>
    <w:link w:val="Normal6"/>
    <w:locked/>
    <w:rsid w:val="00972D6B"/>
    <w:rPr>
      <w:sz w:val="24"/>
      <w:lang w:val="fr-FR"/>
    </w:rPr>
  </w:style>
  <w:style w:type="paragraph" w:customStyle="1" w:styleId="Normal6">
    <w:name w:val="Normal6"/>
    <w:basedOn w:val="Normal"/>
    <w:link w:val="Normal6Char"/>
    <w:rsid w:val="00972D6B"/>
    <w:pPr>
      <w:spacing w:after="120"/>
    </w:pPr>
    <w:rPr>
      <w:lang w:val="fr-FR"/>
    </w:rPr>
  </w:style>
  <w:style w:type="character" w:customStyle="1" w:styleId="NormalBoldChar">
    <w:name w:val="NormalBold Char"/>
    <w:link w:val="NormalBold"/>
    <w:locked/>
    <w:rsid w:val="00972D6B"/>
    <w:rPr>
      <w:b/>
      <w:sz w:val="24"/>
    </w:rPr>
  </w:style>
  <w:style w:type="paragraph" w:customStyle="1" w:styleId="ColumnHeading">
    <w:name w:val="ColumnHeading"/>
    <w:basedOn w:val="Normal"/>
    <w:rsid w:val="00972D6B"/>
    <w:pPr>
      <w:spacing w:after="240"/>
      <w:jc w:val="center"/>
    </w:pPr>
    <w:rPr>
      <w:i/>
      <w:lang w:val="fr-FR"/>
    </w:rPr>
  </w:style>
  <w:style w:type="character" w:styleId="Hyperlink">
    <w:name w:val="Hyperlink"/>
    <w:basedOn w:val="DefaultParagraphFont"/>
    <w:uiPriority w:val="99"/>
    <w:rsid w:val="00972D6B"/>
    <w:rPr>
      <w:color w:val="0563C1" w:themeColor="hyperlink"/>
      <w:u w:val="single"/>
    </w:rPr>
  </w:style>
  <w:style w:type="paragraph" w:styleId="Revision">
    <w:name w:val="Revision"/>
    <w:hidden/>
    <w:uiPriority w:val="99"/>
    <w:semiHidden/>
    <w:rsid w:val="00E01BD2"/>
    <w:rPr>
      <w:sz w:val="24"/>
    </w:rPr>
  </w:style>
  <w:style w:type="paragraph" w:styleId="Footer">
    <w:name w:val="footer"/>
    <w:basedOn w:val="Normal"/>
    <w:link w:val="FooterChar"/>
    <w:rsid w:val="00362EF8"/>
    <w:pPr>
      <w:tabs>
        <w:tab w:val="center" w:pos="4513"/>
        <w:tab w:val="right" w:pos="9026"/>
      </w:tabs>
    </w:pPr>
  </w:style>
  <w:style w:type="character" w:customStyle="1" w:styleId="FooterChar">
    <w:name w:val="Footer Char"/>
    <w:basedOn w:val="DefaultParagraphFont"/>
    <w:link w:val="Footer"/>
    <w:rsid w:val="00362EF8"/>
    <w:rPr>
      <w:sz w:val="24"/>
    </w:rPr>
  </w:style>
  <w:style w:type="character" w:styleId="CommentReference">
    <w:name w:val="annotation reference"/>
    <w:basedOn w:val="DefaultParagraphFont"/>
    <w:rsid w:val="000560E9"/>
    <w:rPr>
      <w:sz w:val="16"/>
      <w:szCs w:val="16"/>
    </w:rPr>
  </w:style>
  <w:style w:type="paragraph" w:styleId="CommentText">
    <w:name w:val="annotation text"/>
    <w:basedOn w:val="Normal"/>
    <w:link w:val="CommentTextChar"/>
    <w:rsid w:val="000560E9"/>
    <w:rPr>
      <w:sz w:val="20"/>
    </w:rPr>
  </w:style>
  <w:style w:type="character" w:customStyle="1" w:styleId="CommentTextChar">
    <w:name w:val="Comment Text Char"/>
    <w:basedOn w:val="DefaultParagraphFont"/>
    <w:link w:val="CommentText"/>
    <w:rsid w:val="000560E9"/>
  </w:style>
  <w:style w:type="paragraph" w:styleId="CommentSubject">
    <w:name w:val="annotation subject"/>
    <w:basedOn w:val="CommentText"/>
    <w:next w:val="CommentText"/>
    <w:link w:val="CommentSubjectChar"/>
    <w:rsid w:val="000560E9"/>
    <w:rPr>
      <w:b/>
      <w:bCs/>
    </w:rPr>
  </w:style>
  <w:style w:type="character" w:customStyle="1" w:styleId="CommentSubjectChar">
    <w:name w:val="Comment Subject Char"/>
    <w:basedOn w:val="CommentTextChar"/>
    <w:link w:val="CommentSubject"/>
    <w:rsid w:val="000560E9"/>
    <w:rPr>
      <w:b/>
      <w:bCs/>
    </w:rPr>
  </w:style>
  <w:style w:type="character" w:styleId="UnresolvedMention">
    <w:name w:val="Unresolved Mention"/>
    <w:basedOn w:val="DefaultParagraphFont"/>
    <w:uiPriority w:val="99"/>
    <w:semiHidden/>
    <w:unhideWhenUsed/>
    <w:rsid w:val="00056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1668</Words>
  <Characters>8969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2026-06-16T10:48:00Z</dcterms:created>
  <dcterms:modified xsi:type="dcterms:W3CDTF">2026-06-16T10:48:00Z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A10-0070/2026</vt:lpwstr>
  </property>
  <property fmtid="{D5CDD505-2E9C-101B-9397-08002B2CF9AE}" pid="4" name="&lt;Type&gt;">
    <vt:lpwstr>RR</vt:lpwstr>
  </property>
</Properties>
</file>