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5449E5A" w14:textId="77777777" w:rsidTr="0010095E">
        <w:tblPrEx>
          <w:tblW w:w="9072" w:type="dxa"/>
          <w:tblLook w:val="01E0"/>
        </w:tblPrEx>
        <w:trPr>
          <w:trHeight w:hRule="exact" w:val="1418"/>
        </w:trPr>
        <w:tc>
          <w:tcPr>
            <w:tcW w:w="6804" w:type="dxa"/>
            <w:shd w:val="clear" w:color="auto" w:fill="auto"/>
            <w:vAlign w:val="center"/>
          </w:tcPr>
          <w:p w:rsidR="00751A4A" w:rsidRPr="00A137D8" w:rsidP="0010095E" w14:paraId="6831FCEF" w14:textId="77777777">
            <w:pPr>
              <w:pStyle w:val="EPName"/>
            </w:pPr>
            <w:r w:rsidRPr="00A137D8">
              <w:t>Parlamento Europeo</w:t>
            </w:r>
          </w:p>
          <w:p w:rsidR="00751A4A" w:rsidRPr="00A137D8" w:rsidP="005F1B17" w14:paraId="60C14DF7" w14:textId="77777777">
            <w:pPr>
              <w:pStyle w:val="EPTerm"/>
              <w:rPr>
                <w:rStyle w:val="HideTWBExt"/>
                <w:noProof w:val="0"/>
                <w:vanish w:val="0"/>
                <w:color w:val="auto"/>
              </w:rPr>
            </w:pPr>
            <w:r w:rsidRPr="00A137D8">
              <w:t>2024</w:t>
            </w:r>
            <w:r w:rsidRPr="00A137D8" w:rsidR="00817416">
              <w:t>-202</w:t>
            </w:r>
            <w:r w:rsidRPr="00A137D8">
              <w:t>9</w:t>
            </w:r>
          </w:p>
        </w:tc>
        <w:tc>
          <w:tcPr>
            <w:tcW w:w="2268" w:type="dxa"/>
            <w:shd w:val="clear" w:color="auto" w:fill="auto"/>
          </w:tcPr>
          <w:p w:rsidR="00751A4A" w:rsidRPr="00A137D8" w:rsidP="0010095E" w14:paraId="72D8E135" w14:textId="77777777">
            <w:pPr>
              <w:pStyle w:val="EPLogo"/>
            </w:pPr>
            <w:r w:rsidRPr="00A137D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137D8" w:rsidP="004C5D52" w14:paraId="347B8BFB" w14:textId="77777777">
      <w:pPr>
        <w:pStyle w:val="LineTop"/>
      </w:pPr>
    </w:p>
    <w:p w:rsidR="00680577" w:rsidRPr="00A137D8" w:rsidP="00680577" w14:paraId="02B5F940" w14:textId="77777777">
      <w:pPr>
        <w:pStyle w:val="EPBodyTA1"/>
      </w:pPr>
      <w:r w:rsidRPr="00A137D8">
        <w:t>TEXTOS APROBADOS</w:t>
      </w:r>
    </w:p>
    <w:p w:rsidR="00D058B8" w:rsidRPr="00A137D8" w:rsidP="00D058B8" w14:paraId="1A27B04B" w14:textId="77777777">
      <w:pPr>
        <w:pStyle w:val="LineBottom"/>
      </w:pPr>
    </w:p>
    <w:p w:rsidR="00482AC0" w:rsidRPr="00A137D8" w:rsidP="00482AC0" w14:paraId="5DAB99CE" w14:textId="2C964EB4">
      <w:pPr>
        <w:pStyle w:val="ATHeading1"/>
      </w:pPr>
      <w:bookmarkStart w:id="0" w:name="TANumber"/>
      <w:r w:rsidRPr="00A137D8">
        <w:t>P10_</w:t>
      </w:r>
      <w:r w:rsidRPr="00A137D8">
        <w:t>TA(</w:t>
      </w:r>
      <w:r w:rsidRPr="00A137D8">
        <w:t>2026)0</w:t>
      </w:r>
      <w:r w:rsidRPr="00A137D8" w:rsidR="00284420">
        <w:t>197</w:t>
      </w:r>
      <w:bookmarkEnd w:id="0"/>
    </w:p>
    <w:p w:rsidR="00482AC0" w:rsidRPr="00A137D8" w:rsidP="00482AC0" w14:paraId="4ACE3BBC" w14:textId="77777777">
      <w:pPr>
        <w:pStyle w:val="ATHeading2"/>
      </w:pPr>
      <w:bookmarkStart w:id="1" w:name="title"/>
      <w:r w:rsidRPr="00A137D8">
        <w:t>No aplicación de derechos de aduana a las importaciones de determinadas mercancías</w:t>
      </w:r>
      <w:bookmarkEnd w:id="1"/>
    </w:p>
    <w:p w:rsidR="00482AC0" w:rsidRPr="00A137D8" w:rsidP="00482AC0" w14:paraId="21714B87" w14:textId="77777777">
      <w:pPr>
        <w:rPr>
          <w:i/>
          <w:vanish/>
        </w:rPr>
      </w:pPr>
      <w:r>
        <w:rPr>
          <w:i/>
        </w:rPr>
        <w:fldChar w:fldCharType="begin"/>
      </w:r>
      <w:r w:rsidRPr="00A137D8">
        <w:rPr>
          <w:i/>
        </w:rPr>
        <w:instrText xml:space="preserve"> TC"(</w:instrText>
      </w:r>
      <w:bookmarkStart w:id="2" w:name="DocNumber"/>
      <w:r w:rsidRPr="00A137D8">
        <w:rPr>
          <w:i/>
        </w:rPr>
        <w:instrText>A10-0070/2026</w:instrText>
      </w:r>
      <w:bookmarkEnd w:id="2"/>
      <w:r w:rsidRPr="00A137D8">
        <w:rPr>
          <w:i/>
        </w:rPr>
        <w:instrText xml:space="preserve"> - Ponente: Bernd Lange)"\l3 \n&gt; \* MERGEFORMAT </w:instrText>
      </w:r>
      <w:r>
        <w:rPr>
          <w:i/>
        </w:rPr>
        <w:fldChar w:fldCharType="end"/>
      </w:r>
    </w:p>
    <w:p w:rsidR="00482AC0" w:rsidRPr="00A137D8" w:rsidP="00482AC0" w14:paraId="5800F7C2" w14:textId="77777777">
      <w:pPr>
        <w:rPr>
          <w:vanish/>
        </w:rPr>
      </w:pPr>
      <w:bookmarkStart w:id="3" w:name="Commission"/>
      <w:r w:rsidRPr="00A137D8">
        <w:rPr>
          <w:vanish/>
        </w:rPr>
        <w:t>Comisión de Comercio Internacional</w:t>
      </w:r>
      <w:bookmarkEnd w:id="3"/>
    </w:p>
    <w:p w:rsidR="00482AC0" w:rsidRPr="00A137D8" w:rsidP="00482AC0" w14:paraId="0C1A41B5" w14:textId="77777777">
      <w:pPr>
        <w:rPr>
          <w:vanish/>
        </w:rPr>
      </w:pPr>
      <w:bookmarkStart w:id="4" w:name="PE"/>
      <w:r w:rsidRPr="00A137D8">
        <w:rPr>
          <w:vanish/>
        </w:rPr>
        <w:t>PE779.298</w:t>
      </w:r>
      <w:bookmarkEnd w:id="4"/>
    </w:p>
    <w:p w:rsidR="00482AC0" w:rsidRPr="00A137D8" w:rsidP="00482AC0" w14:paraId="6B49B398" w14:textId="61406FD1">
      <w:pPr>
        <w:pStyle w:val="ATHeading3"/>
      </w:pPr>
      <w:bookmarkStart w:id="5" w:name="Sujet"/>
      <w:r w:rsidRPr="00A137D8">
        <w:t xml:space="preserve">Resolución legislativa del Parlamento Europeo, de </w:t>
      </w:r>
      <w:r w:rsidRPr="00A137D8" w:rsidR="00B7667E">
        <w:t>16</w:t>
      </w:r>
      <w:r w:rsidRPr="00A137D8">
        <w:t xml:space="preserve"> de junio de 2026, sobre la propuesta de Reglamento del Parlamento Europeo y del Consejo relativo a la no aplicación de derechos de aduana a las importaciones de determinadas mercancías</w:t>
      </w:r>
      <w:bookmarkEnd w:id="5"/>
      <w:r w:rsidRPr="00A137D8">
        <w:t xml:space="preserve"> </w:t>
      </w:r>
      <w:bookmarkStart w:id="6" w:name="References"/>
      <w:r w:rsidRPr="00A137D8">
        <w:t>(</w:t>
      </w:r>
      <w:r w:rsidRPr="00A137D8">
        <w:t>COM(</w:t>
      </w:r>
      <w:r w:rsidRPr="00A137D8">
        <w:t>2025)0472 – C10-0192/2025 – 2025/0260(COD))</w:t>
      </w:r>
      <w:bookmarkEnd w:id="6"/>
    </w:p>
    <w:p w:rsidR="0056296F" w:rsidRPr="00A137D8" w:rsidP="0056296F" w14:paraId="2AFE67ED" w14:textId="77777777">
      <w:pPr>
        <w:pStyle w:val="NormalBold"/>
      </w:pPr>
      <w:r w:rsidRPr="00A137D8">
        <w:t>(Procedimiento legislativo ordinario: primera lectura)</w:t>
      </w:r>
    </w:p>
    <w:p w:rsidR="0056296F" w:rsidRPr="00A137D8" w:rsidP="0056296F" w14:paraId="7CE5C470" w14:textId="77777777">
      <w:pPr>
        <w:pStyle w:val="EPComma"/>
      </w:pPr>
      <w:r w:rsidRPr="00A137D8">
        <w:rPr>
          <w:i/>
        </w:rPr>
        <w:t>El Parlamento Europeo</w:t>
      </w:r>
      <w:r w:rsidRPr="00A137D8">
        <w:t>,</w:t>
      </w:r>
    </w:p>
    <w:p w:rsidR="0056296F" w:rsidRPr="00A137D8" w:rsidP="0056296F" w14:paraId="15ADF89F" w14:textId="77777777">
      <w:pPr>
        <w:pStyle w:val="NormalHanging12a"/>
      </w:pPr>
      <w:r w:rsidRPr="00A137D8">
        <w:t>–</w:t>
      </w:r>
      <w:r w:rsidRPr="00A137D8">
        <w:tab/>
        <w:t>Vista la propuesta de la Comisión al Parlamento Europeo y al Consejo (</w:t>
      </w:r>
      <w:r w:rsidRPr="00A137D8">
        <w:t>COM(</w:t>
      </w:r>
      <w:r w:rsidRPr="00A137D8">
        <w:t>2025)0472),</w:t>
      </w:r>
    </w:p>
    <w:p w:rsidR="0056296F" w:rsidRPr="00A137D8" w:rsidP="0056296F" w14:paraId="4E27B005" w14:textId="77777777">
      <w:pPr>
        <w:pStyle w:val="NormalHanging12a"/>
      </w:pPr>
      <w:r w:rsidRPr="00A137D8">
        <w:t>–</w:t>
      </w:r>
      <w:r w:rsidRPr="00A137D8">
        <w:tab/>
        <w:t>Vistos el artículo 294, apartado 2, y el artículo 207, apartado 2, del Tratado de Funcionamiento de la Unión Europea, conforme a los cuales la Comisión le ha presentado su propuesta (C10</w:t>
      </w:r>
      <w:r w:rsidRPr="00A137D8">
        <w:noBreakHyphen/>
        <w:t>0192/2025),</w:t>
      </w:r>
    </w:p>
    <w:p w:rsidR="0056296F" w:rsidRPr="00A137D8" w:rsidP="0056296F" w14:paraId="63989BDC" w14:textId="77777777">
      <w:pPr>
        <w:pStyle w:val="NormalHanging12a"/>
      </w:pPr>
      <w:r w:rsidRPr="00A137D8">
        <w:t>–</w:t>
      </w:r>
      <w:r w:rsidRPr="00A137D8">
        <w:tab/>
        <w:t>Visto el artículo 294, apartado 3, del Tratado de Funcionamiento de la Unión Europea,</w:t>
      </w:r>
    </w:p>
    <w:p w:rsidR="0056296F" w:rsidRPr="00A137D8" w:rsidP="0056296F" w14:paraId="70A04446" w14:textId="77777777">
      <w:pPr>
        <w:pStyle w:val="NormalHanging12a"/>
      </w:pPr>
      <w:r w:rsidRPr="00A137D8">
        <w:t>–</w:t>
      </w:r>
      <w:r w:rsidRPr="00A137D8">
        <w:tab/>
        <w:t>Vista la evaluación presupuestaria emitida por la Comisión de Presupuestos,</w:t>
      </w:r>
    </w:p>
    <w:p w:rsidR="00B7667E" w:rsidRPr="00A137D8" w:rsidP="0056296F" w14:paraId="1D68C9C4" w14:textId="76D09742">
      <w:pPr>
        <w:pStyle w:val="NormalHanging12a"/>
      </w:pPr>
      <w:r w:rsidRPr="00A137D8">
        <w:t>–</w:t>
      </w:r>
      <w:r w:rsidRPr="00A137D8">
        <w:tab/>
        <w:t>Vistos el acuerdo provisional aprobado por la comisión competente con arreglo al artículo 75, apartado 4, de su Reglamento interno y el compromiso asumido por el representante del Consejo, mediante carta de 27 de mayo de 2026, de aprobar la Posición del Parlamento Europeo, de conformidad con el artículo 294, apartado 4, del Tratado de Funcionamiento de la Unión Europea,</w:t>
      </w:r>
    </w:p>
    <w:p w:rsidR="0056296F" w:rsidRPr="00A137D8" w:rsidP="0056296F" w14:paraId="4F682D36" w14:textId="41ACD856">
      <w:pPr>
        <w:pStyle w:val="NormalHanging12a"/>
      </w:pPr>
      <w:r w:rsidRPr="00A137D8">
        <w:t>–</w:t>
      </w:r>
      <w:r w:rsidRPr="00A137D8">
        <w:tab/>
        <w:t>Visto</w:t>
      </w:r>
      <w:r w:rsidRPr="00A137D8" w:rsidR="00B7667E">
        <w:t>s</w:t>
      </w:r>
      <w:r w:rsidRPr="00A137D8">
        <w:t xml:space="preserve"> </w:t>
      </w:r>
      <w:r w:rsidRPr="00A137D8" w:rsidR="00B7667E">
        <w:t>los</w:t>
      </w:r>
      <w:r w:rsidRPr="00A137D8">
        <w:t xml:space="preserve"> artículo</w:t>
      </w:r>
      <w:r w:rsidRPr="00A137D8" w:rsidR="00B7667E">
        <w:t>s</w:t>
      </w:r>
      <w:r w:rsidRPr="00A137D8">
        <w:t xml:space="preserve"> 60 </w:t>
      </w:r>
      <w:r w:rsidRPr="00A137D8" w:rsidR="00B7667E">
        <w:t xml:space="preserve">y 58 </w:t>
      </w:r>
      <w:r w:rsidRPr="00A137D8">
        <w:t>de su Reglamento interno,</w:t>
      </w:r>
    </w:p>
    <w:p w:rsidR="0056296F" w:rsidRPr="00A137D8" w:rsidP="0056296F" w14:paraId="6A9B4D27" w14:textId="77777777">
      <w:pPr>
        <w:pStyle w:val="NormalHanging12a"/>
      </w:pPr>
      <w:r w:rsidRPr="00A137D8">
        <w:t>–</w:t>
      </w:r>
      <w:r w:rsidRPr="00A137D8">
        <w:tab/>
        <w:t>Visto el informe de la Comisión de Comercio Internacional (A10</w:t>
      </w:r>
      <w:r w:rsidRPr="00A137D8">
        <w:noBreakHyphen/>
        <w:t>0070/2026),</w:t>
      </w:r>
    </w:p>
    <w:p w:rsidR="0056296F" w:rsidRPr="00A137D8" w:rsidP="0056296F" w14:paraId="62EBB785" w14:textId="457EC5CD">
      <w:pPr>
        <w:pStyle w:val="NormalHanging12a"/>
      </w:pPr>
      <w:r w:rsidRPr="00A137D8">
        <w:t>1.</w:t>
      </w:r>
      <w:r w:rsidRPr="00A137D8">
        <w:tab/>
        <w:t>Aprueba la Posición en primera lectura que figura a continuación</w:t>
      </w:r>
      <w:r>
        <w:rPr>
          <w:rStyle w:val="FootnoteReference"/>
        </w:rPr>
        <w:footnoteReference w:id="2"/>
      </w:r>
      <w:r w:rsidRPr="00A137D8">
        <w:t>;</w:t>
      </w:r>
    </w:p>
    <w:p w:rsidR="0056296F" w:rsidRPr="00A137D8" w:rsidP="0056296F" w14:paraId="07EC47CE" w14:textId="77777777">
      <w:pPr>
        <w:pStyle w:val="NormalHanging12a"/>
      </w:pPr>
      <w:r w:rsidRPr="00A137D8">
        <w:t>2.</w:t>
      </w:r>
      <w:r w:rsidRPr="00A137D8">
        <w:tab/>
        <w:t xml:space="preserve">Pide a la Comisión que le consulte de nuevo si sustituye su propuesta, la modifica </w:t>
      </w:r>
      <w:r w:rsidRPr="00A137D8">
        <w:t>sustancialmente o se propone modificarla sustancialmente;</w:t>
      </w:r>
    </w:p>
    <w:p w:rsidR="0056296F" w:rsidRPr="00A137D8" w:rsidP="0056296F" w14:paraId="0E8B5F30" w14:textId="77777777">
      <w:pPr>
        <w:pStyle w:val="NormalHanging12a"/>
      </w:pPr>
      <w:r w:rsidRPr="00A137D8">
        <w:t>3.</w:t>
      </w:r>
      <w:r w:rsidRPr="00A137D8">
        <w:tab/>
        <w:t>Encarga a su presidenta que transmita la Posición del Parlamento al Consejo y a la Comisión, así como a los Parlamentos nacionales.</w:t>
      </w:r>
    </w:p>
    <w:p w:rsidR="0056296F" w:rsidRPr="00A137D8" w:rsidP="0056296F" w14:paraId="13CF7481" w14:textId="4778D40C">
      <w:pPr>
        <w:widowControl/>
      </w:pPr>
    </w:p>
    <w:p w:rsidR="00B7667E" w:rsidRPr="00A137D8" w:rsidP="00B7667E" w14:paraId="016BA93B" w14:textId="77777777">
      <w:pPr>
        <w:pStyle w:val="Normal12Hanging"/>
        <w:ind w:left="0" w:firstLine="0"/>
        <w:rPr>
          <w:b/>
          <w:lang w:val="es-ES"/>
        </w:rPr>
        <w:sectPr w:rsidSect="00B7667E">
          <w:footnotePr>
            <w:numRestart w:val="eachSect"/>
          </w:footnotePr>
          <w:pgSz w:w="11907" w:h="16840" w:code="9"/>
          <w:pgMar w:top="1134" w:right="1134" w:bottom="1134" w:left="1134" w:header="567" w:footer="567" w:gutter="0"/>
          <w:cols w:space="720"/>
          <w:docGrid w:linePitch="360"/>
        </w:sectPr>
      </w:pPr>
    </w:p>
    <w:p w:rsidR="00B7667E" w:rsidRPr="00A137D8" w:rsidP="00B7667E" w14:paraId="729A928C" w14:textId="5CCA2290">
      <w:pPr>
        <w:pStyle w:val="Normal12Hanging"/>
        <w:ind w:left="0" w:firstLine="0"/>
        <w:rPr>
          <w:b/>
          <w:lang w:val="es-ES"/>
        </w:rPr>
      </w:pPr>
      <w:r w:rsidRPr="00A137D8">
        <w:rPr>
          <w:b/>
          <w:lang w:val="es-ES"/>
        </w:rPr>
        <w:t>P10_TC1-</w:t>
      </w:r>
      <w:r w:rsidRPr="00A137D8">
        <w:rPr>
          <w:b/>
          <w:lang w:val="es-ES"/>
        </w:rPr>
        <w:t>COD(</w:t>
      </w:r>
      <w:r w:rsidRPr="00A137D8">
        <w:rPr>
          <w:b/>
          <w:lang w:val="es-ES"/>
        </w:rPr>
        <w:t>2025)0260</w:t>
      </w:r>
    </w:p>
    <w:p w:rsidR="00B7667E" w:rsidRPr="00A137D8" w:rsidP="00B7667E" w14:paraId="276DD91B" w14:textId="466478BA">
      <w:pPr>
        <w:rPr>
          <w:b/>
          <w:bCs/>
          <w:lang w:eastAsia="fr-BE"/>
        </w:rPr>
      </w:pPr>
      <w:r w:rsidRPr="00A137D8">
        <w:rPr>
          <w:b/>
        </w:rPr>
        <w:t xml:space="preserve">Posición del Parlamento Europeo aprobada en primera lectura el 16 de junio de 2026 con vistas a la adopción del Reglamento (UE) 2026/... del Parlamento Europeo y del Consejo </w:t>
      </w:r>
      <w:r w:rsidRPr="00A137D8">
        <w:rPr>
          <w:b/>
          <w:lang w:eastAsia="fr-BE"/>
        </w:rPr>
        <w:t>relativo a la no aplicación de derechos de aduana a las importaciones de determinadas mercancías</w:t>
      </w:r>
    </w:p>
    <w:p w:rsidR="00B7667E" w:rsidRPr="00FC5BF0" w:rsidP="00FC5BF0" w14:paraId="0349206E" w14:textId="3B880EC6">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FC5BF0">
        <w:rPr>
          <w:i/>
          <w:lang w:val="es-ES_tradnl"/>
        </w:rPr>
        <w:t>definitivo, el Reglamento (UE) 2026/</w:t>
      </w:r>
      <w:r w:rsidRPr="00FC5BF0">
        <w:rPr>
          <w:i/>
          <w:lang w:val="es-ES_tradnl"/>
        </w:rPr>
        <w:t>1461</w:t>
      </w:r>
      <w:r w:rsidRPr="00FC5BF0">
        <w:rPr>
          <w:i/>
          <w:lang w:val="es-ES_tradnl"/>
        </w:rPr>
        <w:t>.)</w:t>
      </w:r>
    </w:p>
    <w:sectPr w:rsidSect="0037366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515DD1A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4DBFA24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40CEF4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2AC0" w:rsidRPr="00373665" w14:paraId="1F136189" w14:textId="77777777">
      <w:r w:rsidRPr="00373665">
        <w:separator/>
      </w:r>
    </w:p>
  </w:footnote>
  <w:footnote w:type="continuationSeparator" w:id="1">
    <w:p w:rsidR="00482AC0" w:rsidRPr="00373665" w14:paraId="7B1D5F44" w14:textId="77777777">
      <w:r w:rsidRPr="00373665">
        <w:continuationSeparator/>
      </w:r>
    </w:p>
  </w:footnote>
  <w:footnote w:id="2">
    <w:p w:rsidR="00B7667E" w:rsidRPr="00284420" w:rsidP="00284420" w14:paraId="2B77209E" w14:textId="335CEF03">
      <w:pPr>
        <w:pStyle w:val="FootnoteText"/>
        <w:ind w:left="567" w:hanging="567"/>
        <w:rPr>
          <w:sz w:val="24"/>
          <w:szCs w:val="24"/>
          <w:lang w:val="es-ES"/>
        </w:rPr>
      </w:pPr>
      <w:r w:rsidRPr="00284420">
        <w:rPr>
          <w:rStyle w:val="FootnoteReference"/>
          <w:sz w:val="24"/>
          <w:szCs w:val="24"/>
        </w:rPr>
        <w:footnoteRef/>
      </w:r>
      <w:r w:rsidRPr="00284420">
        <w:rPr>
          <w:sz w:val="24"/>
          <w:szCs w:val="24"/>
          <w:lang w:val="es-ES"/>
        </w:rPr>
        <w:t xml:space="preserve"> </w:t>
      </w:r>
      <w:r w:rsidRPr="00284420">
        <w:rPr>
          <w:sz w:val="24"/>
          <w:szCs w:val="24"/>
          <w:lang w:val="es-ES"/>
        </w:rPr>
        <w:tab/>
      </w:r>
      <w:r w:rsidRPr="00284420">
        <w:rPr>
          <w:sz w:val="24"/>
          <w:szCs w:val="24"/>
          <w:lang w:val="es-ES_tradnl"/>
        </w:rPr>
        <w:t>La presente Posición sustituye a las enmiendas aprobadas el 26 de </w:t>
      </w:r>
      <w:r>
        <w:rPr>
          <w:sz w:val="24"/>
          <w:szCs w:val="24"/>
          <w:lang w:val="es-ES_tradnl"/>
        </w:rPr>
        <w:t>marzo</w:t>
      </w:r>
      <w:r w:rsidRPr="00284420">
        <w:rPr>
          <w:sz w:val="24"/>
          <w:szCs w:val="24"/>
          <w:lang w:val="es-ES_tradnl"/>
        </w:rPr>
        <w:t xml:space="preserve"> de 202</w:t>
      </w:r>
      <w:r>
        <w:rPr>
          <w:sz w:val="24"/>
          <w:szCs w:val="24"/>
          <w:lang w:val="es-ES_tradnl"/>
        </w:rPr>
        <w:t>6</w:t>
      </w:r>
      <w:r w:rsidRPr="00284420">
        <w:rPr>
          <w:sz w:val="24"/>
          <w:szCs w:val="24"/>
          <w:lang w:val="es-ES_tradnl"/>
        </w:rPr>
        <w:t xml:space="preserve"> (Textos Aprobados, P10_</w:t>
      </w:r>
      <w:r w:rsidRPr="00284420">
        <w:rPr>
          <w:sz w:val="24"/>
          <w:szCs w:val="24"/>
          <w:lang w:val="es-ES_tradnl"/>
        </w:rPr>
        <w:t>TA(</w:t>
      </w:r>
      <w:r w:rsidRPr="00284420">
        <w:rPr>
          <w:sz w:val="24"/>
          <w:szCs w:val="24"/>
          <w:lang w:val="es-ES_tradnl"/>
        </w:rPr>
        <w:t>202</w:t>
      </w:r>
      <w:r>
        <w:rPr>
          <w:sz w:val="24"/>
          <w:szCs w:val="24"/>
          <w:lang w:val="es-ES_tradnl"/>
        </w:rPr>
        <w:t>6</w:t>
      </w:r>
      <w:r w:rsidRPr="00284420">
        <w:rPr>
          <w:sz w:val="24"/>
          <w:szCs w:val="24"/>
          <w:lang w:val="es-ES_tradnl"/>
        </w:rPr>
        <w:t>)0</w:t>
      </w:r>
      <w:r>
        <w:rPr>
          <w:sz w:val="24"/>
          <w:szCs w:val="24"/>
          <w:lang w:val="es-ES_tradnl"/>
        </w:rPr>
        <w:t>097</w:t>
      </w:r>
      <w:r w:rsidRPr="00284420">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0768E24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663CB5D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665" w14:paraId="018BBED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779959">
    <w:abstractNumId w:val="9"/>
  </w:num>
  <w:num w:numId="2" w16cid:durableId="42603805">
    <w:abstractNumId w:val="9"/>
  </w:num>
  <w:num w:numId="3" w16cid:durableId="1569917107">
    <w:abstractNumId w:val="7"/>
  </w:num>
  <w:num w:numId="4" w16cid:durableId="718438343">
    <w:abstractNumId w:val="7"/>
  </w:num>
  <w:num w:numId="5" w16cid:durableId="1369261523">
    <w:abstractNumId w:val="6"/>
  </w:num>
  <w:num w:numId="6" w16cid:durableId="1425418577">
    <w:abstractNumId w:val="6"/>
  </w:num>
  <w:num w:numId="7" w16cid:durableId="1123186272">
    <w:abstractNumId w:val="5"/>
  </w:num>
  <w:num w:numId="8" w16cid:durableId="1696812010">
    <w:abstractNumId w:val="5"/>
  </w:num>
  <w:num w:numId="9" w16cid:durableId="918296681">
    <w:abstractNumId w:val="4"/>
  </w:num>
  <w:num w:numId="10" w16cid:durableId="556669976">
    <w:abstractNumId w:val="4"/>
  </w:num>
  <w:num w:numId="11" w16cid:durableId="1462067112">
    <w:abstractNumId w:val="8"/>
  </w:num>
  <w:num w:numId="12" w16cid:durableId="1416438850">
    <w:abstractNumId w:val="8"/>
  </w:num>
  <w:num w:numId="13" w16cid:durableId="143357660">
    <w:abstractNumId w:val="3"/>
  </w:num>
  <w:num w:numId="14" w16cid:durableId="1733766827">
    <w:abstractNumId w:val="3"/>
  </w:num>
  <w:num w:numId="15" w16cid:durableId="1819955433">
    <w:abstractNumId w:val="2"/>
  </w:num>
  <w:num w:numId="16" w16cid:durableId="723986297">
    <w:abstractNumId w:val="2"/>
  </w:num>
  <w:num w:numId="17" w16cid:durableId="1851874435">
    <w:abstractNumId w:val="1"/>
  </w:num>
  <w:num w:numId="18" w16cid:durableId="137188866">
    <w:abstractNumId w:val="1"/>
  </w:num>
  <w:num w:numId="19" w16cid:durableId="185752746">
    <w:abstractNumId w:val="0"/>
  </w:num>
  <w:num w:numId="20" w16cid:durableId="2055961153">
    <w:abstractNumId w:val="0"/>
  </w:num>
  <w:num w:numId="21" w16cid:durableId="153880188">
    <w:abstractNumId w:val="9"/>
  </w:num>
  <w:num w:numId="22" w16cid:durableId="872501788">
    <w:abstractNumId w:val="7"/>
  </w:num>
  <w:num w:numId="23" w16cid:durableId="147748151">
    <w:abstractNumId w:val="6"/>
  </w:num>
  <w:num w:numId="24" w16cid:durableId="1301769817">
    <w:abstractNumId w:val="5"/>
  </w:num>
  <w:num w:numId="25" w16cid:durableId="1144084604">
    <w:abstractNumId w:val="4"/>
  </w:num>
  <w:num w:numId="26" w16cid:durableId="1633634314">
    <w:abstractNumId w:val="8"/>
  </w:num>
  <w:num w:numId="27" w16cid:durableId="391583969">
    <w:abstractNumId w:val="3"/>
  </w:num>
  <w:num w:numId="28" w16cid:durableId="1218976682">
    <w:abstractNumId w:val="2"/>
  </w:num>
  <w:num w:numId="29" w16cid:durableId="599408594">
    <w:abstractNumId w:val="1"/>
  </w:num>
  <w:num w:numId="30" w16cid:durableId="2031953532">
    <w:abstractNumId w:val="0"/>
  </w:num>
  <w:num w:numId="31" w16cid:durableId="788011849">
    <w:abstractNumId w:val="9"/>
  </w:num>
  <w:num w:numId="32" w16cid:durableId="2022079124">
    <w:abstractNumId w:val="7"/>
  </w:num>
  <w:num w:numId="33" w16cid:durableId="240337501">
    <w:abstractNumId w:val="6"/>
  </w:num>
  <w:num w:numId="34" w16cid:durableId="106898980">
    <w:abstractNumId w:val="5"/>
  </w:num>
  <w:num w:numId="35" w16cid:durableId="160826214">
    <w:abstractNumId w:val="4"/>
  </w:num>
  <w:num w:numId="36" w16cid:durableId="1912933512">
    <w:abstractNumId w:val="8"/>
  </w:num>
  <w:num w:numId="37" w16cid:durableId="1382828125">
    <w:abstractNumId w:val="3"/>
  </w:num>
  <w:num w:numId="38" w16cid:durableId="167446475">
    <w:abstractNumId w:val="2"/>
  </w:num>
  <w:num w:numId="39" w16cid:durableId="961112086">
    <w:abstractNumId w:val="1"/>
  </w:num>
  <w:num w:numId="40" w16cid:durableId="1310285672">
    <w:abstractNumId w:val="0"/>
  </w:num>
  <w:num w:numId="41" w16cid:durableId="1672563417">
    <w:abstractNumId w:val="10"/>
  </w:num>
  <w:num w:numId="42" w16cid:durableId="1150249538">
    <w:abstractNumId w:val="10"/>
  </w:num>
  <w:num w:numId="43" w16cid:durableId="1009987509">
    <w:abstractNumId w:val="10"/>
  </w:num>
  <w:num w:numId="44" w16cid:durableId="833960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C0"/>
    <w:rsid w:val="00002272"/>
    <w:rsid w:val="00064002"/>
    <w:rsid w:val="000677B9"/>
    <w:rsid w:val="000831BA"/>
    <w:rsid w:val="000A42CC"/>
    <w:rsid w:val="000D3963"/>
    <w:rsid w:val="000E7DD9"/>
    <w:rsid w:val="0010095E"/>
    <w:rsid w:val="00125B37"/>
    <w:rsid w:val="00187494"/>
    <w:rsid w:val="001F32AE"/>
    <w:rsid w:val="002767FF"/>
    <w:rsid w:val="00284420"/>
    <w:rsid w:val="002B18FE"/>
    <w:rsid w:val="002B5493"/>
    <w:rsid w:val="00343214"/>
    <w:rsid w:val="00361C00"/>
    <w:rsid w:val="00373665"/>
    <w:rsid w:val="00395FA1"/>
    <w:rsid w:val="003E15D4"/>
    <w:rsid w:val="00411CCE"/>
    <w:rsid w:val="0041666E"/>
    <w:rsid w:val="00421060"/>
    <w:rsid w:val="00471C19"/>
    <w:rsid w:val="00482AC0"/>
    <w:rsid w:val="004867E3"/>
    <w:rsid w:val="00494A28"/>
    <w:rsid w:val="004C0004"/>
    <w:rsid w:val="004C5D52"/>
    <w:rsid w:val="0050519A"/>
    <w:rsid w:val="005072A1"/>
    <w:rsid w:val="00514517"/>
    <w:rsid w:val="00545827"/>
    <w:rsid w:val="00560270"/>
    <w:rsid w:val="0056296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951"/>
    <w:rsid w:val="008840E5"/>
    <w:rsid w:val="00887B3E"/>
    <w:rsid w:val="008C2AC6"/>
    <w:rsid w:val="00930C23"/>
    <w:rsid w:val="0093193B"/>
    <w:rsid w:val="009509D8"/>
    <w:rsid w:val="00950B64"/>
    <w:rsid w:val="00981893"/>
    <w:rsid w:val="009F33A7"/>
    <w:rsid w:val="00A137D8"/>
    <w:rsid w:val="00A1687D"/>
    <w:rsid w:val="00A43E52"/>
    <w:rsid w:val="00A4678D"/>
    <w:rsid w:val="00A778C7"/>
    <w:rsid w:val="00AB441E"/>
    <w:rsid w:val="00AB6293"/>
    <w:rsid w:val="00AE0928"/>
    <w:rsid w:val="00AF3B82"/>
    <w:rsid w:val="00B12E95"/>
    <w:rsid w:val="00B22876"/>
    <w:rsid w:val="00B558F0"/>
    <w:rsid w:val="00B7667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BF0"/>
    <w:rsid w:val="00FD0C70"/>
  </w:rsids>
  <w:docVars>
    <w:docVar w:name="dvdocse" w:val="A10-0070/2026"/>
    <w:docVar w:name="dvlangue" w:val="ES"/>
    <w:docVar w:name="dvnumam" w:val="17"/>
    <w:docVar w:name="dvpe" w:val="779.298"/>
    <w:docVar w:name="dvrapporteur" w:val="Ponente: "/>
    <w:docVar w:name="dvstar" w:val="***I"/>
    <w:docVar w:name="dvtitre" w:val="Resolución legislativa del Parlamento Europeo, de x de junio de 2026, sobre la propuesta de Reglamento del Parlamento Europeo y del Consejo relativo a la no aplicación de derechos de aduana a las importaciones de determinadas mercancías(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BBB205"/>
  <w15:chartTrackingRefBased/>
  <w15:docId w15:val="{A3DC9AF2-2C28-4144-97AE-B8C6C003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6296F"/>
    <w:pPr>
      <w:spacing w:after="120"/>
    </w:pPr>
  </w:style>
  <w:style w:type="paragraph" w:customStyle="1" w:styleId="NormalBold">
    <w:name w:val="NormalBold"/>
    <w:basedOn w:val="Normal"/>
    <w:link w:val="NormalBoldChar"/>
    <w:rsid w:val="0056296F"/>
    <w:rPr>
      <w:b/>
    </w:rPr>
  </w:style>
  <w:style w:type="paragraph" w:customStyle="1" w:styleId="NormalHanging12a">
    <w:name w:val="NormalHanging12a"/>
    <w:basedOn w:val="Normal"/>
    <w:rsid w:val="0056296F"/>
    <w:pPr>
      <w:spacing w:after="240"/>
      <w:ind w:left="567" w:hanging="567"/>
    </w:pPr>
  </w:style>
  <w:style w:type="paragraph" w:customStyle="1" w:styleId="AmColumnHeading">
    <w:name w:val="AmColumnHeading"/>
    <w:basedOn w:val="Normal"/>
    <w:rsid w:val="0056296F"/>
    <w:pPr>
      <w:spacing w:after="240"/>
      <w:jc w:val="center"/>
    </w:pPr>
    <w:rPr>
      <w:i/>
    </w:rPr>
  </w:style>
  <w:style w:type="paragraph" w:customStyle="1" w:styleId="AmNumberTabs">
    <w:name w:val="AmNumberTabs"/>
    <w:basedOn w:val="Normal"/>
    <w:rsid w:val="005629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6296F"/>
    <w:pPr>
      <w:spacing w:before="240"/>
    </w:pPr>
    <w:rPr>
      <w:b/>
    </w:rPr>
  </w:style>
  <w:style w:type="paragraph" w:customStyle="1" w:styleId="EPComma">
    <w:name w:val="EPComma"/>
    <w:basedOn w:val="Normal"/>
    <w:rsid w:val="0056296F"/>
    <w:pPr>
      <w:spacing w:before="480" w:after="240"/>
    </w:pPr>
  </w:style>
  <w:style w:type="character" w:customStyle="1" w:styleId="Normal6Char">
    <w:name w:val="Normal6 Char"/>
    <w:link w:val="Normal6"/>
    <w:locked/>
    <w:rsid w:val="0056296F"/>
    <w:rPr>
      <w:sz w:val="24"/>
      <w:lang w:val="es-ES"/>
    </w:rPr>
  </w:style>
  <w:style w:type="paragraph" w:customStyle="1" w:styleId="Normal6">
    <w:name w:val="Normal6"/>
    <w:basedOn w:val="Normal"/>
    <w:link w:val="Normal6Char"/>
    <w:rsid w:val="0056296F"/>
    <w:pPr>
      <w:spacing w:after="120"/>
    </w:pPr>
    <w:rPr>
      <w:lang w:val="es-ES"/>
    </w:rPr>
  </w:style>
  <w:style w:type="character" w:customStyle="1" w:styleId="NormalBoldChar">
    <w:name w:val="NormalBold Char"/>
    <w:link w:val="NormalBold"/>
    <w:locked/>
    <w:rsid w:val="0056296F"/>
    <w:rPr>
      <w:b/>
      <w:sz w:val="24"/>
      <w:lang w:val="es-ES_tradnl"/>
    </w:rPr>
  </w:style>
  <w:style w:type="paragraph" w:customStyle="1" w:styleId="ColumnHeading">
    <w:name w:val="ColumnHeading"/>
    <w:basedOn w:val="Normal"/>
    <w:rsid w:val="0056296F"/>
    <w:pPr>
      <w:spacing w:after="240"/>
      <w:jc w:val="center"/>
    </w:pPr>
    <w:rPr>
      <w:i/>
      <w:lang w:val="es-ES"/>
    </w:rPr>
  </w:style>
  <w:style w:type="character" w:styleId="Hyperlink">
    <w:name w:val="Hyperlink"/>
    <w:basedOn w:val="DefaultParagraphFont"/>
    <w:rsid w:val="0056296F"/>
    <w:rPr>
      <w:color w:val="0563C1" w:themeColor="hyperlink"/>
      <w:u w:val="single"/>
    </w:rPr>
  </w:style>
  <w:style w:type="paragraph" w:customStyle="1" w:styleId="Normal12Hanging">
    <w:name w:val="Normal12Hanging"/>
    <w:basedOn w:val="Normal"/>
    <w:rsid w:val="00B7667E"/>
    <w:pPr>
      <w:spacing w:after="240"/>
      <w:ind w:left="357" w:hanging="357"/>
    </w:pPr>
    <w:rPr>
      <w:snapToGrid w:val="0"/>
    </w:rPr>
  </w:style>
  <w:style w:type="paragraph" w:styleId="Header">
    <w:name w:val="header"/>
    <w:basedOn w:val="Normal"/>
    <w:link w:val="HeaderChar"/>
    <w:rsid w:val="00B7667E"/>
    <w:pPr>
      <w:tabs>
        <w:tab w:val="center" w:pos="4513"/>
        <w:tab w:val="right" w:pos="9026"/>
      </w:tabs>
    </w:pPr>
  </w:style>
  <w:style w:type="character" w:customStyle="1" w:styleId="HeaderChar">
    <w:name w:val="Header Char"/>
    <w:basedOn w:val="DefaultParagraphFont"/>
    <w:link w:val="Header"/>
    <w:rsid w:val="00B7667E"/>
    <w:rPr>
      <w:sz w:val="24"/>
      <w:lang w:val="es-ES_tradnl"/>
    </w:rPr>
  </w:style>
  <w:style w:type="paragraph" w:customStyle="1" w:styleId="EPFooter2">
    <w:name w:val="EPFooter2"/>
    <w:basedOn w:val="Normal"/>
    <w:next w:val="Normal"/>
    <w:rsid w:val="00B7667E"/>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7667E"/>
    <w:pPr>
      <w:tabs>
        <w:tab w:val="center" w:pos="4535"/>
        <w:tab w:val="right" w:pos="9071"/>
      </w:tabs>
      <w:spacing w:before="240" w:after="240"/>
    </w:pPr>
    <w:rPr>
      <w:color w:val="010000"/>
      <w:sz w:val="22"/>
    </w:rPr>
  </w:style>
  <w:style w:type="paragraph" w:styleId="Footer">
    <w:name w:val="footer"/>
    <w:basedOn w:val="Normal"/>
    <w:link w:val="FooterChar"/>
    <w:rsid w:val="00B7667E"/>
    <w:pPr>
      <w:tabs>
        <w:tab w:val="center" w:pos="4513"/>
        <w:tab w:val="right" w:pos="9026"/>
      </w:tabs>
    </w:pPr>
  </w:style>
  <w:style w:type="character" w:customStyle="1" w:styleId="FooterChar">
    <w:name w:val="Footer Char"/>
    <w:basedOn w:val="DefaultParagraphFont"/>
    <w:link w:val="Footer"/>
    <w:rsid w:val="00B7667E"/>
    <w:rPr>
      <w:sz w:val="24"/>
      <w:lang w:val="es-ES_tradnl"/>
    </w:rPr>
  </w:style>
  <w:style w:type="character" w:customStyle="1" w:styleId="Hyperlink1">
    <w:name w:val="Hyperlink1"/>
    <w:basedOn w:val="DefaultParagraphFont"/>
    <w:uiPriority w:val="99"/>
    <w:unhideWhenUsed/>
    <w:rsid w:val="00B7667E"/>
    <w:rPr>
      <w:color w:val="0000FF"/>
      <w:u w:val="single"/>
    </w:rPr>
  </w:style>
  <w:style w:type="paragraph" w:styleId="Revision">
    <w:name w:val="Revision"/>
    <w:hidden/>
    <w:uiPriority w:val="99"/>
    <w:semiHidden/>
    <w:rsid w:val="00B7667E"/>
    <w:rPr>
      <w:sz w:val="24"/>
      <w:lang w:val="es-ES_tradnl"/>
    </w:rPr>
  </w:style>
  <w:style w:type="paragraph" w:customStyle="1" w:styleId="normal12hanging0">
    <w:name w:val="normal12hanging"/>
    <w:basedOn w:val="Normal"/>
    <w:rsid w:val="00FC5BF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345</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2026-06-16T11:40:00Z</dcterms:created>
  <dcterms:modified xsi:type="dcterms:W3CDTF">2026-08-31T12:51:00Z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A10-0070/2026</vt:lpwstr>
  </property>
  <property fmtid="{D5CDD505-2E9C-101B-9397-08002B2CF9AE}" pid="4" name="&lt;Type&gt;">
    <vt:lpwstr>RR</vt:lpwstr>
  </property>
</Properties>
</file>