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4DC83B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014B4" w:rsidP="0010095E" w14:paraId="6B318C72" w14:textId="77777777">
            <w:pPr>
              <w:pStyle w:val="EPName"/>
            </w:pPr>
            <w:r w:rsidRPr="00D014B4">
              <w:t>Euroopan parlamentti</w:t>
            </w:r>
          </w:p>
          <w:p w:rsidR="00751A4A" w:rsidRPr="00D014B4" w:rsidP="005F1B17" w14:paraId="66E5D21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014B4">
              <w:t>2024</w:t>
            </w:r>
            <w:r w:rsidRPr="00D014B4" w:rsidR="00817416">
              <w:t>-202</w:t>
            </w:r>
            <w:r w:rsidRPr="00D014B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014B4" w:rsidP="0010095E" w14:paraId="19B8E2AB" w14:textId="77777777">
            <w:pPr>
              <w:pStyle w:val="EPLogo"/>
            </w:pPr>
            <w:r w:rsidRPr="00D014B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014B4" w:rsidP="004C5D52" w14:paraId="7AB55219" w14:textId="77777777">
      <w:pPr>
        <w:pStyle w:val="LineTop"/>
      </w:pPr>
    </w:p>
    <w:p w:rsidR="00680577" w:rsidRPr="00D014B4" w:rsidP="00680577" w14:paraId="191B94C0" w14:textId="77777777">
      <w:pPr>
        <w:pStyle w:val="EPBodyTA1"/>
      </w:pPr>
      <w:r w:rsidRPr="00D014B4">
        <w:t>HYVÄKSYTYT TEKSTIT</w:t>
      </w:r>
    </w:p>
    <w:p w:rsidR="00D058B8" w:rsidRPr="00D014B4" w:rsidP="00D058B8" w14:paraId="52265367" w14:textId="77777777">
      <w:pPr>
        <w:pStyle w:val="LineBottom"/>
      </w:pPr>
    </w:p>
    <w:p w:rsidR="003A4EE7" w:rsidRPr="00D014B4" w:rsidP="003A4EE7" w14:paraId="235A8577" w14:textId="4F8F962E">
      <w:pPr>
        <w:pStyle w:val="ATHeading1"/>
      </w:pPr>
      <w:bookmarkStart w:id="0" w:name="TANumber"/>
      <w:r w:rsidRPr="00D014B4">
        <w:t>P10_TA(2026)0</w:t>
      </w:r>
      <w:bookmarkEnd w:id="0"/>
      <w:r w:rsidR="004B7D4C">
        <w:t>197</w:t>
      </w:r>
    </w:p>
    <w:p w:rsidR="003A4EE7" w:rsidRPr="00D014B4" w:rsidP="003A4EE7" w14:paraId="62BEE10C" w14:textId="50B4B021">
      <w:pPr>
        <w:pStyle w:val="ATHeading2"/>
      </w:pPr>
      <w:bookmarkStart w:id="1" w:name="title"/>
      <w:r w:rsidRPr="00D014B4">
        <w:t>Tullien soveltamatta jättäminen tiettyjen tavaroiden tuonnissa</w:t>
      </w:r>
      <w:bookmarkEnd w:id="1"/>
    </w:p>
    <w:p w:rsidR="003A4EE7" w:rsidRPr="00D014B4" w:rsidP="003A4EE7" w14:paraId="4FCC79C0" w14:textId="77777777">
      <w:pPr>
        <w:rPr>
          <w:i/>
          <w:vanish/>
        </w:rPr>
      </w:pPr>
      <w:r>
        <w:rPr>
          <w:i/>
        </w:rPr>
        <w:fldChar w:fldCharType="begin"/>
      </w:r>
      <w:r w:rsidRPr="00D014B4">
        <w:rPr>
          <w:i/>
        </w:rPr>
        <w:instrText xml:space="preserve"> TC"(</w:instrText>
      </w:r>
      <w:bookmarkStart w:id="2" w:name="DocNumber"/>
      <w:r w:rsidRPr="00D014B4">
        <w:rPr>
          <w:i/>
        </w:rPr>
        <w:instrText>A10-0070/2026</w:instrText>
      </w:r>
      <w:bookmarkEnd w:id="2"/>
      <w:r w:rsidRPr="00D014B4">
        <w:rPr>
          <w:i/>
        </w:rPr>
        <w:instrText xml:space="preserve"> - Esittelijä: Bernd Lange)"\l3 \n&gt; \* MERGEFORMAT </w:instrText>
      </w:r>
      <w:r>
        <w:rPr>
          <w:i/>
        </w:rPr>
        <w:fldChar w:fldCharType="end"/>
      </w:r>
    </w:p>
    <w:p w:rsidR="003A4EE7" w:rsidRPr="00D014B4" w:rsidP="003A4EE7" w14:paraId="7267A645" w14:textId="77777777">
      <w:pPr>
        <w:rPr>
          <w:vanish/>
        </w:rPr>
      </w:pPr>
      <w:bookmarkStart w:id="3" w:name="Commission"/>
      <w:r w:rsidRPr="00D014B4">
        <w:rPr>
          <w:vanish/>
        </w:rPr>
        <w:t>Kansainvälisen kaupan valiokunta</w:t>
      </w:r>
      <w:bookmarkEnd w:id="3"/>
    </w:p>
    <w:p w:rsidR="003A4EE7" w:rsidRPr="00D014B4" w:rsidP="003A4EE7" w14:paraId="0D629803" w14:textId="77777777">
      <w:pPr>
        <w:rPr>
          <w:vanish/>
        </w:rPr>
      </w:pPr>
      <w:bookmarkStart w:id="4" w:name="PE"/>
      <w:r w:rsidRPr="00D014B4">
        <w:rPr>
          <w:vanish/>
        </w:rPr>
        <w:t>PE779.298</w:t>
      </w:r>
      <w:bookmarkEnd w:id="4"/>
    </w:p>
    <w:p w:rsidR="003A4EE7" w:rsidRPr="00D014B4" w:rsidP="003A4EE7" w14:paraId="1A6E50C8" w14:textId="3D6D01A4">
      <w:pPr>
        <w:pStyle w:val="ATHeading3"/>
      </w:pPr>
      <w:bookmarkStart w:id="5" w:name="Sujet"/>
      <w:r w:rsidRPr="00D014B4">
        <w:t xml:space="preserve">Euroopan parlamentin lainsäädäntöpäätöslauselma </w:t>
      </w:r>
      <w:r w:rsidRPr="00D014B4" w:rsidR="00397F72">
        <w:t>16</w:t>
      </w:r>
      <w:r w:rsidRPr="00D014B4">
        <w:t xml:space="preserve">. </w:t>
      </w:r>
      <w:r w:rsidRPr="00D014B4" w:rsidR="00C23CEB">
        <w:t>kesä</w:t>
      </w:r>
      <w:r w:rsidRPr="00D014B4">
        <w:t>kuuta 2026 ehdotuksesta Euroopan parlamentin ja neuvoston asetukseksi tullien soveltamatta jättämisestä tiettyjen tavaroiden tuonnissa</w:t>
      </w:r>
      <w:bookmarkEnd w:id="5"/>
      <w:r w:rsidRPr="00D014B4">
        <w:t xml:space="preserve"> </w:t>
      </w:r>
      <w:bookmarkStart w:id="6" w:name="References"/>
      <w:r w:rsidRPr="00D014B4">
        <w:t>(COM(2025)0472 – C10-0192/2025 – 2025/0260(COD))</w:t>
      </w:r>
      <w:bookmarkEnd w:id="6"/>
    </w:p>
    <w:p w:rsidR="0061050B" w:rsidRPr="00D014B4" w:rsidP="0061050B" w14:paraId="162E3992" w14:textId="77777777">
      <w:pPr>
        <w:pStyle w:val="NormalBold"/>
        <w:widowControl/>
      </w:pPr>
      <w:r w:rsidRPr="00D014B4">
        <w:t>(Tavallinen lainsäätämisjärjestys: ensimmäinen käsittely)</w:t>
      </w:r>
    </w:p>
    <w:p w:rsidR="0061050B" w:rsidRPr="00D014B4" w:rsidP="00C23CEB" w14:paraId="06634DF0" w14:textId="77777777">
      <w:pPr>
        <w:pStyle w:val="EPComma"/>
        <w:widowControl/>
      </w:pPr>
      <w:r w:rsidRPr="00D014B4">
        <w:rPr>
          <w:i/>
        </w:rPr>
        <w:t>Euroopan parlamentti</w:t>
      </w:r>
      <w:r w:rsidRPr="00D014B4">
        <w:t>, joka</w:t>
      </w:r>
    </w:p>
    <w:p w:rsidR="0061050B" w:rsidRPr="00D014B4" w:rsidP="00C23CEB" w14:paraId="2AB1B6FF" w14:textId="1C0719F9">
      <w:pPr>
        <w:pStyle w:val="NormalHanging12a"/>
        <w:widowControl/>
      </w:pPr>
      <w:r w:rsidRPr="00D014B4">
        <w:t>–</w:t>
      </w:r>
      <w:r w:rsidRPr="00D014B4">
        <w:tab/>
        <w:t>ottaa huomioon komission ehdotuksen Euroopan parlamentille ja neuvostolle (COM(2025)0472),</w:t>
      </w:r>
    </w:p>
    <w:p w:rsidR="0061050B" w:rsidRPr="00D014B4" w:rsidP="00C23CEB" w14:paraId="7EC6210F" w14:textId="77777777">
      <w:pPr>
        <w:pStyle w:val="NormalHanging12a"/>
        <w:widowControl/>
      </w:pPr>
      <w:r w:rsidRPr="00D014B4">
        <w:t>–</w:t>
      </w:r>
      <w:r w:rsidRPr="00D014B4">
        <w:tab/>
        <w:t>ottaa huomioon Euroopan unionin toiminnasta tehdyn sopimuksen 294 artiklan 2 kohdan ja 207 artiklan 2 kohdan, joiden mukaisesti komissio on antanut ehdotuksen Euroopan parlamentille (C10</w:t>
      </w:r>
      <w:r w:rsidRPr="00D014B4">
        <w:noBreakHyphen/>
        <w:t>0192/2025),</w:t>
      </w:r>
    </w:p>
    <w:p w:rsidR="0061050B" w:rsidRPr="00D014B4" w:rsidP="00C23CEB" w14:paraId="11EF4725" w14:textId="77777777">
      <w:pPr>
        <w:pStyle w:val="NormalHanging12a"/>
        <w:widowControl/>
      </w:pPr>
      <w:r w:rsidRPr="00D014B4">
        <w:t>–</w:t>
      </w:r>
      <w:r w:rsidRPr="00D014B4">
        <w:tab/>
        <w:t>ottaa huomioon Euroopan unionin toiminnasta tehdyn sopimuksen 294 artiklan 3 kohdan,</w:t>
      </w:r>
    </w:p>
    <w:p w:rsidR="0061050B" w:rsidRPr="00D014B4" w:rsidP="00C23CEB" w14:paraId="23891250" w14:textId="77777777">
      <w:pPr>
        <w:pStyle w:val="NormalHanging12a"/>
        <w:widowControl/>
      </w:pPr>
      <w:r w:rsidRPr="00D014B4">
        <w:t>–</w:t>
      </w:r>
      <w:r w:rsidRPr="00D014B4">
        <w:tab/>
        <w:t>ottaa huomioon budjettivaliokunnan talousarvionäkökohtia koskevan arvion,</w:t>
      </w:r>
    </w:p>
    <w:p w:rsidR="00D014B4" w:rsidRPr="00D014B4" w:rsidP="00C23CEB" w14:paraId="4E21256A" w14:textId="77777777">
      <w:pPr>
        <w:pStyle w:val="NormalHanging12a"/>
        <w:widowControl/>
        <w:rPr>
          <w:szCs w:val="24"/>
        </w:rPr>
      </w:pPr>
      <w:bookmarkStart w:id="7" w:name="_Hlk229063293"/>
      <w:r w:rsidRPr="00D014B4">
        <w:rPr>
          <w:szCs w:val="24"/>
        </w:rPr>
        <w:t>–</w:t>
      </w:r>
      <w:r w:rsidRPr="00D014B4">
        <w:rPr>
          <w:szCs w:val="24"/>
        </w:rPr>
        <w:tab/>
        <w:t>ottaa huomioon asiasta vastaavan valiokunnan työjärjestyksen 75 artiklan 4 kohdan mukaisesti hyväksymän alustavan sopimuksen</w:t>
      </w:r>
      <w:r w:rsidRPr="00D014B4">
        <w:t xml:space="preserve"> </w:t>
      </w:r>
      <w:r w:rsidRPr="00D014B4">
        <w:rPr>
          <w:szCs w:val="24"/>
        </w:rPr>
        <w:t>sekä</w:t>
      </w:r>
      <w:r w:rsidRPr="00D014B4">
        <w:t xml:space="preserve"> </w:t>
      </w:r>
      <w:r w:rsidRPr="00D014B4">
        <w:rPr>
          <w:szCs w:val="24"/>
        </w:rPr>
        <w:t>neuvoston edustajan 27. toukokuuta 2026 päivätyllä kirjeellä antaman sitoumuksen hyväksyä Euroopan parlamentin kanta Euroopan unionin toiminnasta tehdyn sopimuksen 294 artiklan 4 kohdan mukaisesti,</w:t>
      </w:r>
      <w:bookmarkEnd w:id="7"/>
    </w:p>
    <w:p w:rsidR="0061050B" w:rsidRPr="00D014B4" w:rsidP="00C23CEB" w14:paraId="5C903F8F" w14:textId="06A0491A">
      <w:pPr>
        <w:pStyle w:val="NormalHanging12a"/>
        <w:widowControl/>
      </w:pPr>
      <w:r w:rsidRPr="00D014B4">
        <w:t>–</w:t>
      </w:r>
      <w:r w:rsidRPr="00D014B4">
        <w:tab/>
        <w:t>ottaa huomioon työjärjestyksen 60 artiklan</w:t>
      </w:r>
      <w:r w:rsidRPr="00D014B4" w:rsidR="00397F72">
        <w:t xml:space="preserve"> ja 58 artiklan</w:t>
      </w:r>
      <w:r w:rsidRPr="00D014B4">
        <w:t>,</w:t>
      </w:r>
    </w:p>
    <w:p w:rsidR="0061050B" w:rsidRPr="00D014B4" w:rsidP="00C23CEB" w14:paraId="24E32924" w14:textId="435A46E0">
      <w:pPr>
        <w:pStyle w:val="NormalHanging12a"/>
        <w:widowControl/>
      </w:pPr>
      <w:r w:rsidRPr="00D014B4">
        <w:t>–</w:t>
      </w:r>
      <w:r w:rsidRPr="00D014B4">
        <w:tab/>
        <w:t>ottaa huomioon kansainvälisen kaupan valiokunnan mietinnön (A10-0070/2026),</w:t>
      </w:r>
    </w:p>
    <w:p w:rsidR="0061050B" w:rsidRPr="00D014B4" w:rsidP="00C23CEB" w14:paraId="39AE1BE7" w14:textId="0D64D4AE">
      <w:pPr>
        <w:pStyle w:val="NormalHanging12a"/>
        <w:widowControl/>
      </w:pPr>
      <w:r w:rsidRPr="00D014B4">
        <w:t>1.</w:t>
      </w:r>
      <w:r w:rsidRPr="00D014B4">
        <w:tab/>
        <w:t>vahvistaa jäljempänä esitetyn ensimmäisen käsittelyn kannan</w:t>
      </w:r>
      <w:r>
        <w:rPr>
          <w:rStyle w:val="FootnoteReference"/>
        </w:rPr>
        <w:footnoteReference w:id="2"/>
      </w:r>
      <w:r w:rsidRPr="00D014B4">
        <w:t>;</w:t>
      </w:r>
    </w:p>
    <w:p w:rsidR="0061050B" w:rsidRPr="00D014B4" w:rsidP="00C23CEB" w14:paraId="67712DE1" w14:textId="77777777">
      <w:pPr>
        <w:pStyle w:val="NormalHanging12a"/>
        <w:widowControl/>
      </w:pPr>
      <w:r w:rsidRPr="00D014B4">
        <w:t>2.</w:t>
      </w:r>
      <w:r w:rsidRPr="00D014B4">
        <w:tab/>
        <w:t>pyytää komissiota antamaan asian uudelleen Euroopan parlamentin käsiteltäväksi, jos se korvaa ehdotuksensa, muuttaa sitä huomattavasti tai aikoo muuttaa sitä huomattavasti;</w:t>
      </w:r>
    </w:p>
    <w:p w:rsidR="00397F72" w:rsidRPr="00D014B4" w:rsidP="00397F72" w14:paraId="3FD3CD30" w14:textId="77777777">
      <w:pPr>
        <w:pStyle w:val="NormalHanging12a"/>
        <w:widowControl/>
        <w:sectPr w:rsidSect="00397F72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</w:sectPr>
      </w:pPr>
      <w:r w:rsidRPr="00D014B4">
        <w:t>3.</w:t>
      </w:r>
      <w:r w:rsidRPr="00D014B4">
        <w:tab/>
        <w:t>kehottaa puhemiestä välittämään parlamentin kannan neuvostolle ja komissiolle sekä kansallisille parlamenteille.</w:t>
      </w:r>
    </w:p>
    <w:p w:rsidR="00397F72" w:rsidRPr="00D014B4" w:rsidP="00397F72" w14:paraId="484C2E46" w14:textId="2012EA9B">
      <w:pPr>
        <w:pStyle w:val="NormalHanging12a"/>
        <w:widowControl/>
        <w:rPr>
          <w:rFonts w:eastAsia="Calibri"/>
          <w:b/>
          <w:bCs/>
          <w:color w:val="000000"/>
          <w:szCs w:val="24"/>
        </w:rPr>
      </w:pPr>
      <w:r w:rsidRPr="00D014B4">
        <w:rPr>
          <w:rFonts w:eastAsia="Calibri"/>
          <w:b/>
          <w:bCs/>
          <w:color w:val="000000"/>
          <w:szCs w:val="24"/>
        </w:rPr>
        <w:t>P10_TC1-COD(2025)0260</w:t>
      </w:r>
    </w:p>
    <w:p w:rsidR="00397F72" w:rsidRPr="00D014B4" w:rsidP="00397F72" w14:paraId="2000F68E" w14:textId="263CEED7">
      <w:pPr>
        <w:spacing w:after="240"/>
        <w:rPr>
          <w:rFonts w:eastAsia="Calibri"/>
          <w:b/>
          <w:bCs/>
          <w:szCs w:val="22"/>
          <w:lang w:eastAsia="en-US"/>
        </w:rPr>
      </w:pPr>
      <w:r w:rsidRPr="00D014B4">
        <w:rPr>
          <w:b/>
          <w:szCs w:val="24"/>
        </w:rPr>
        <w:t xml:space="preserve">Euroopan parlamentin kanta, vahvistettu ensimmäisessä käsittelyssä 16. kesäkuuta 2026, Euroopan parlamentin ja neuvoston asetuksen (EU) 2026/… antamiseksi </w:t>
      </w:r>
      <w:bookmarkStart w:id="8" w:name="DQC_RangeToBeChecked"/>
      <w:r w:rsidRPr="00D014B4">
        <w:rPr>
          <w:rFonts w:eastAsia="Calibri"/>
          <w:b/>
          <w:szCs w:val="22"/>
          <w:lang w:eastAsia="en-US"/>
        </w:rPr>
        <w:t>tullien soveltamatta jättämisestä tiettyjen tavaroiden tuonnissa</w:t>
      </w:r>
    </w:p>
    <w:p w:rsidR="000A5555" w:rsidP="000A5555" w14:paraId="059E8EC6" w14:textId="74761067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</w:t>
      </w:r>
      <w:r>
        <w:rPr>
          <w:i/>
          <w:szCs w:val="24"/>
        </w:rPr>
        <w:t>6</w:t>
      </w:r>
      <w:r w:rsidRPr="002F34F6">
        <w:rPr>
          <w:i/>
          <w:szCs w:val="24"/>
        </w:rPr>
        <w:t>/</w:t>
      </w:r>
      <w:r>
        <w:rPr>
          <w:i/>
          <w:szCs w:val="24"/>
        </w:rPr>
        <w:t>1461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bookmarkEnd w:id="8"/>
    <w:sectPr w:rsidSect="000A5555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A4EE7" w:rsidRPr="00C56DDA" w14:paraId="33F76B3D" w14:textId="77777777">
      <w:r w:rsidRPr="00C56DDA">
        <w:separator/>
      </w:r>
    </w:p>
  </w:footnote>
  <w:footnote w:type="continuationSeparator" w:id="1">
    <w:p w:rsidR="003A4EE7" w:rsidRPr="00C56DDA" w14:paraId="7F9EB616" w14:textId="77777777">
      <w:r w:rsidRPr="00C56DDA">
        <w:continuationSeparator/>
      </w:r>
    </w:p>
  </w:footnote>
  <w:footnote w:id="2">
    <w:p w:rsidR="00397F72" w:rsidRPr="00D014B4" w:rsidP="00D014B4" w14:paraId="703FCB6F" w14:textId="22FBB256">
      <w:pPr>
        <w:ind w:left="567" w:hanging="567"/>
      </w:pPr>
      <w:r w:rsidRPr="00D014B4">
        <w:rPr>
          <w:rStyle w:val="FootnoteReference"/>
        </w:rPr>
        <w:footnoteRef/>
      </w:r>
      <w:r w:rsidRPr="00D014B4">
        <w:t xml:space="preserve"> </w:t>
      </w:r>
      <w:r w:rsidRPr="00D014B4">
        <w:tab/>
      </w:r>
      <w:r w:rsidRPr="00D014B4">
        <w:rPr>
          <w:szCs w:val="24"/>
        </w:rPr>
        <w:t>Tämä kanta korvaa 26. maaliskuuta 2026 hyväksytyt tarkistukset (Hyväksytyt tekstit, P10_TA(2026)0097).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48580501">
    <w:abstractNumId w:val="9"/>
  </w:num>
  <w:num w:numId="2" w16cid:durableId="2010130609">
    <w:abstractNumId w:val="9"/>
  </w:num>
  <w:num w:numId="3" w16cid:durableId="1893804989">
    <w:abstractNumId w:val="7"/>
  </w:num>
  <w:num w:numId="4" w16cid:durableId="1143618194">
    <w:abstractNumId w:val="7"/>
  </w:num>
  <w:num w:numId="5" w16cid:durableId="229466830">
    <w:abstractNumId w:val="6"/>
  </w:num>
  <w:num w:numId="6" w16cid:durableId="1135681693">
    <w:abstractNumId w:val="6"/>
  </w:num>
  <w:num w:numId="7" w16cid:durableId="2090534771">
    <w:abstractNumId w:val="5"/>
  </w:num>
  <w:num w:numId="8" w16cid:durableId="545677580">
    <w:abstractNumId w:val="5"/>
  </w:num>
  <w:num w:numId="9" w16cid:durableId="802233494">
    <w:abstractNumId w:val="4"/>
  </w:num>
  <w:num w:numId="10" w16cid:durableId="1236672147">
    <w:abstractNumId w:val="4"/>
  </w:num>
  <w:num w:numId="11" w16cid:durableId="1608123228">
    <w:abstractNumId w:val="8"/>
  </w:num>
  <w:num w:numId="12" w16cid:durableId="1540702962">
    <w:abstractNumId w:val="8"/>
  </w:num>
  <w:num w:numId="13" w16cid:durableId="434710559">
    <w:abstractNumId w:val="3"/>
  </w:num>
  <w:num w:numId="14" w16cid:durableId="1864710691">
    <w:abstractNumId w:val="3"/>
  </w:num>
  <w:num w:numId="15" w16cid:durableId="1507404536">
    <w:abstractNumId w:val="2"/>
  </w:num>
  <w:num w:numId="16" w16cid:durableId="499396572">
    <w:abstractNumId w:val="2"/>
  </w:num>
  <w:num w:numId="17" w16cid:durableId="1270550925">
    <w:abstractNumId w:val="1"/>
  </w:num>
  <w:num w:numId="18" w16cid:durableId="1304853474">
    <w:abstractNumId w:val="1"/>
  </w:num>
  <w:num w:numId="19" w16cid:durableId="2049715130">
    <w:abstractNumId w:val="0"/>
  </w:num>
  <w:num w:numId="20" w16cid:durableId="1953005298">
    <w:abstractNumId w:val="0"/>
  </w:num>
  <w:num w:numId="21" w16cid:durableId="888146204">
    <w:abstractNumId w:val="9"/>
  </w:num>
  <w:num w:numId="22" w16cid:durableId="1135101192">
    <w:abstractNumId w:val="7"/>
  </w:num>
  <w:num w:numId="23" w16cid:durableId="2016762427">
    <w:abstractNumId w:val="6"/>
  </w:num>
  <w:num w:numId="24" w16cid:durableId="1920292058">
    <w:abstractNumId w:val="5"/>
  </w:num>
  <w:num w:numId="25" w16cid:durableId="620041995">
    <w:abstractNumId w:val="4"/>
  </w:num>
  <w:num w:numId="26" w16cid:durableId="2113624920">
    <w:abstractNumId w:val="8"/>
  </w:num>
  <w:num w:numId="27" w16cid:durableId="571038315">
    <w:abstractNumId w:val="3"/>
  </w:num>
  <w:num w:numId="28" w16cid:durableId="1287199402">
    <w:abstractNumId w:val="2"/>
  </w:num>
  <w:num w:numId="29" w16cid:durableId="529878713">
    <w:abstractNumId w:val="1"/>
  </w:num>
  <w:num w:numId="30" w16cid:durableId="478309226">
    <w:abstractNumId w:val="0"/>
  </w:num>
  <w:num w:numId="31" w16cid:durableId="573899808">
    <w:abstractNumId w:val="9"/>
  </w:num>
  <w:num w:numId="32" w16cid:durableId="1872181405">
    <w:abstractNumId w:val="7"/>
  </w:num>
  <w:num w:numId="33" w16cid:durableId="389307301">
    <w:abstractNumId w:val="6"/>
  </w:num>
  <w:num w:numId="34" w16cid:durableId="1382826003">
    <w:abstractNumId w:val="5"/>
  </w:num>
  <w:num w:numId="35" w16cid:durableId="2111510805">
    <w:abstractNumId w:val="4"/>
  </w:num>
  <w:num w:numId="36" w16cid:durableId="1277061551">
    <w:abstractNumId w:val="8"/>
  </w:num>
  <w:num w:numId="37" w16cid:durableId="1243562644">
    <w:abstractNumId w:val="3"/>
  </w:num>
  <w:num w:numId="38" w16cid:durableId="1236668366">
    <w:abstractNumId w:val="2"/>
  </w:num>
  <w:num w:numId="39" w16cid:durableId="500582092">
    <w:abstractNumId w:val="1"/>
  </w:num>
  <w:num w:numId="40" w16cid:durableId="1262837708">
    <w:abstractNumId w:val="0"/>
  </w:num>
  <w:num w:numId="41" w16cid:durableId="966743962">
    <w:abstractNumId w:val="10"/>
  </w:num>
  <w:num w:numId="42" w16cid:durableId="1745686721">
    <w:abstractNumId w:val="10"/>
  </w:num>
  <w:num w:numId="43" w16cid:durableId="1894152085">
    <w:abstractNumId w:val="10"/>
  </w:num>
  <w:num w:numId="44" w16cid:durableId="14286956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EE7"/>
    <w:rsid w:val="00002272"/>
    <w:rsid w:val="00064002"/>
    <w:rsid w:val="000677B9"/>
    <w:rsid w:val="000831BA"/>
    <w:rsid w:val="000A42CC"/>
    <w:rsid w:val="000A5555"/>
    <w:rsid w:val="000E7DD9"/>
    <w:rsid w:val="0010095E"/>
    <w:rsid w:val="00125B37"/>
    <w:rsid w:val="00187494"/>
    <w:rsid w:val="00191C30"/>
    <w:rsid w:val="001F32AE"/>
    <w:rsid w:val="002767FF"/>
    <w:rsid w:val="002B18FE"/>
    <w:rsid w:val="002B5493"/>
    <w:rsid w:val="002F34F6"/>
    <w:rsid w:val="00343214"/>
    <w:rsid w:val="00361C00"/>
    <w:rsid w:val="00395FA1"/>
    <w:rsid w:val="00397F72"/>
    <w:rsid w:val="003A4EE7"/>
    <w:rsid w:val="003E15D4"/>
    <w:rsid w:val="00411CCE"/>
    <w:rsid w:val="0041666E"/>
    <w:rsid w:val="00421060"/>
    <w:rsid w:val="004430D2"/>
    <w:rsid w:val="00471C19"/>
    <w:rsid w:val="004867E3"/>
    <w:rsid w:val="00494A28"/>
    <w:rsid w:val="004B7D4C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050B"/>
    <w:rsid w:val="00620CF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3D43"/>
    <w:rsid w:val="007E22AD"/>
    <w:rsid w:val="008046BC"/>
    <w:rsid w:val="00817416"/>
    <w:rsid w:val="00842779"/>
    <w:rsid w:val="008626E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27D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3CEB"/>
    <w:rsid w:val="00C56DDA"/>
    <w:rsid w:val="00C61C0C"/>
    <w:rsid w:val="00C941CB"/>
    <w:rsid w:val="00CC2357"/>
    <w:rsid w:val="00CE1FF7"/>
    <w:rsid w:val="00CF071A"/>
    <w:rsid w:val="00D014B4"/>
    <w:rsid w:val="00D058B8"/>
    <w:rsid w:val="00D56C11"/>
    <w:rsid w:val="00D834A0"/>
    <w:rsid w:val="00D872DF"/>
    <w:rsid w:val="00D91E21"/>
    <w:rsid w:val="00DA7FCD"/>
    <w:rsid w:val="00E365E1"/>
    <w:rsid w:val="00E444D4"/>
    <w:rsid w:val="00E820A4"/>
    <w:rsid w:val="00EB006A"/>
    <w:rsid w:val="00EB4772"/>
    <w:rsid w:val="00ED169E"/>
    <w:rsid w:val="00ED4235"/>
    <w:rsid w:val="00F04346"/>
    <w:rsid w:val="00F075DC"/>
    <w:rsid w:val="00F149E9"/>
    <w:rsid w:val="00F17BCC"/>
    <w:rsid w:val="00F5134D"/>
    <w:rsid w:val="00F74202"/>
    <w:rsid w:val="00F87713"/>
    <w:rsid w:val="00FB4360"/>
    <w:rsid w:val="00FD0C70"/>
  </w:rsids>
  <w:docVars>
    <w:docVar w:name="dvdocse" w:val="A10-0070/2026"/>
    <w:docVar w:name="dvlangue" w:val="FI"/>
    <w:docVar w:name="dvnumam" w:val="17"/>
    <w:docVar w:name="dvpe" w:val="779.298"/>
    <w:docVar w:name="dvrapporteur" w:val="Esittelijä: "/>
    <w:docVar w:name="dvstar" w:val="***I"/>
    <w:docVar w:name="dvtitre" w:val="Euroopan parlamentin lainsäädäntöpäätöslauselma xx. xxxkuuta 2026 ehdotuksesta Euroopan parlamentin ja neuvoston asetukseksi tullien soveltamatta jättämisestä tiettyjen tavaroiden tuonnissa(COM(2025)0472 – C10-0192/2025 – 2025/0260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CB50A8B"/>
  <w15:chartTrackingRefBased/>
  <w15:docId w15:val="{B85FEF67-A679-4F7D-BC78-B5A02F53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61050B"/>
    <w:pPr>
      <w:spacing w:after="120"/>
    </w:pPr>
  </w:style>
  <w:style w:type="paragraph" w:customStyle="1" w:styleId="NormalBold">
    <w:name w:val="NormalBold"/>
    <w:basedOn w:val="Normal"/>
    <w:link w:val="NormalBoldChar"/>
    <w:rsid w:val="0061050B"/>
    <w:rPr>
      <w:b/>
    </w:rPr>
  </w:style>
  <w:style w:type="paragraph" w:customStyle="1" w:styleId="NormalHanging12a">
    <w:name w:val="NormalHanging12a"/>
    <w:basedOn w:val="Normal"/>
    <w:rsid w:val="0061050B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61050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1050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1050B"/>
    <w:pPr>
      <w:spacing w:before="240"/>
    </w:pPr>
    <w:rPr>
      <w:b/>
    </w:rPr>
  </w:style>
  <w:style w:type="paragraph" w:customStyle="1" w:styleId="EPComma">
    <w:name w:val="EPComma"/>
    <w:basedOn w:val="Normal"/>
    <w:rsid w:val="0061050B"/>
    <w:pPr>
      <w:spacing w:before="480" w:after="240"/>
    </w:pPr>
  </w:style>
  <w:style w:type="character" w:customStyle="1" w:styleId="Normal6Char">
    <w:name w:val="Normal6 Char"/>
    <w:link w:val="Normal6"/>
    <w:locked/>
    <w:rsid w:val="0061050B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61050B"/>
    <w:pPr>
      <w:spacing w:after="120"/>
    </w:pPr>
  </w:style>
  <w:style w:type="character" w:customStyle="1" w:styleId="NormalBoldChar">
    <w:name w:val="NormalBold Char"/>
    <w:link w:val="NormalBold"/>
    <w:locked/>
    <w:rsid w:val="0061050B"/>
    <w:rPr>
      <w:b/>
      <w:sz w:val="24"/>
      <w:lang w:val="fi-FI"/>
    </w:rPr>
  </w:style>
  <w:style w:type="paragraph" w:customStyle="1" w:styleId="ColumnHeading">
    <w:name w:val="ColumnHeading"/>
    <w:basedOn w:val="Normal"/>
    <w:rsid w:val="0061050B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rsid w:val="0061050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23CEB"/>
    <w:rPr>
      <w:sz w:val="24"/>
      <w:lang w:val="fi-FI"/>
    </w:rPr>
  </w:style>
  <w:style w:type="paragraph" w:styleId="Footer">
    <w:name w:val="footer"/>
    <w:basedOn w:val="Normal"/>
    <w:link w:val="FooterChar"/>
    <w:rsid w:val="00C23C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23CEB"/>
    <w:rPr>
      <w:sz w:val="24"/>
      <w:lang w:val="fi-FI"/>
    </w:rPr>
  </w:style>
  <w:style w:type="paragraph" w:customStyle="1" w:styleId="EPFooter2">
    <w:name w:val="EPFooter2"/>
    <w:basedOn w:val="Normal"/>
    <w:next w:val="Normal"/>
    <w:rsid w:val="00397F7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397F7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rsid w:val="00397F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97F72"/>
    <w:rPr>
      <w:sz w:val="24"/>
      <w:lang w:val="fi-FI"/>
    </w:rPr>
  </w:style>
  <w:style w:type="character" w:styleId="CommentReference">
    <w:name w:val="annotation reference"/>
    <w:basedOn w:val="DefaultParagraphFont"/>
    <w:rsid w:val="00191C3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91C3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91C30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191C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91C30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223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2026-09-01T12:45:00Z</dcterms:created>
  <dcterms:modified xsi:type="dcterms:W3CDTF">2026-09-01T12:45:00Z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P10_TA(2026)0197_</vt:lpwstr>
  </property>
  <property fmtid="{D5CDD505-2E9C-101B-9397-08002B2CF9AE}" pid="4" name="&lt;Type&gt;">
    <vt:lpwstr>RR</vt:lpwstr>
  </property>
</Properties>
</file>